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  <w:br/>
        <w:t>Data Flow Diagram &amp; User Stories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19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LTVIP2026TMIDS80093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Prosperity Prognosticator: Machine Learning for Startup Success Prediction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2"/>
      </w:pPr>
      <w:r>
        <w:t>Data Flow Diagram</w:t>
      </w:r>
    </w:p>
    <w:p>
      <w:r>
        <w:drawing>
          <wp:inline xmlns:a="http://schemas.openxmlformats.org/drawingml/2006/main" xmlns:pic="http://schemas.openxmlformats.org/drawingml/2006/picture">
            <wp:extent cx="4572000" cy="2622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User Stories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Investor</w:t>
            </w:r>
          </w:p>
        </w:tc>
        <w:tc>
          <w:tcPr>
            <w:tcW w:type="dxa" w:w="2880"/>
          </w:tcPr>
          <w:p>
            <w:r>
              <w:t>Predict startup success before investing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Entrepreneur</w:t>
            </w:r>
          </w:p>
        </w:tc>
        <w:tc>
          <w:tcPr>
            <w:tcW w:type="dxa" w:w="2880"/>
          </w:tcPr>
          <w:p>
            <w:r>
              <w:t>Analyze startup performance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Study startup growth trends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