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B64AC" w14:textId="77777777" w:rsidR="00FB226E" w:rsidRDefault="00000000">
      <w:pPr>
        <w:spacing w:after="40"/>
        <w:jc w:val="center"/>
      </w:pPr>
      <w:r>
        <w:rPr>
          <w:b/>
          <w:bCs/>
          <w:color w:val="1F4E79"/>
          <w:sz w:val="34"/>
          <w:szCs w:val="34"/>
        </w:rPr>
        <w:t>Executive Summary Report</w:t>
      </w:r>
    </w:p>
    <w:p w14:paraId="7E81E7BB" w14:textId="77777777" w:rsidR="00FB226E" w:rsidRDefault="00000000">
      <w:pPr>
        <w:spacing w:after="30"/>
        <w:jc w:val="center"/>
      </w:pPr>
      <w:r>
        <w:rPr>
          <w:color w:val="2E75B6"/>
          <w:sz w:val="22"/>
          <w:szCs w:val="22"/>
        </w:rPr>
        <w:t>Superstore Sales Performance Dashboard (2014–2017)</w:t>
      </w:r>
    </w:p>
    <w:p w14:paraId="58A3FB8D" w14:textId="77777777" w:rsidR="00FB226E" w:rsidRDefault="00000000">
      <w:pPr>
        <w:spacing w:after="120"/>
        <w:jc w:val="center"/>
      </w:pPr>
      <w:r>
        <w:rPr>
          <w:color w:val="666666"/>
          <w:sz w:val="18"/>
          <w:szCs w:val="18"/>
        </w:rPr>
        <w:t>AnalystLab Africa – Week 2 Assignment</w:t>
      </w:r>
    </w:p>
    <w:p w14:paraId="25F62B90" w14:textId="11604889" w:rsidR="00FB226E" w:rsidRDefault="00000000">
      <w:pPr>
        <w:spacing w:after="260"/>
        <w:jc w:val="center"/>
      </w:pPr>
      <w:r>
        <w:rPr>
          <w:sz w:val="19"/>
          <w:szCs w:val="19"/>
        </w:rPr>
        <w:t xml:space="preserve">Prepared by: </w:t>
      </w:r>
      <w:r>
        <w:rPr>
          <w:b/>
          <w:bCs/>
          <w:sz w:val="19"/>
          <w:szCs w:val="19"/>
        </w:rPr>
        <w:t>[</w:t>
      </w:r>
      <w:r w:rsidR="00A15668">
        <w:rPr>
          <w:b/>
          <w:bCs/>
          <w:sz w:val="19"/>
          <w:szCs w:val="19"/>
        </w:rPr>
        <w:t>Ngozi Jane Egemonu]</w:t>
      </w:r>
      <w:r w:rsidR="00A15668">
        <w:rPr>
          <w:sz w:val="19"/>
          <w:szCs w:val="19"/>
        </w:rPr>
        <w:t xml:space="preserve">  </w:t>
      </w:r>
      <w:r>
        <w:rPr>
          <w:sz w:val="19"/>
          <w:szCs w:val="19"/>
        </w:rPr>
        <w:t xml:space="preserve"> •     October 2026</w:t>
      </w:r>
    </w:p>
    <w:p w14:paraId="6FF1F6E5" w14:textId="77777777" w:rsidR="00FB226E" w:rsidRDefault="00000000">
      <w:pPr>
        <w:pStyle w:val="Heading1"/>
      </w:pPr>
      <w:r>
        <w:t>Overview</w:t>
      </w:r>
    </w:p>
    <w:p w14:paraId="3099A940" w14:textId="3AA076E7" w:rsidR="00FB226E" w:rsidRDefault="00000000">
      <w:pPr>
        <w:spacing w:after="180"/>
      </w:pPr>
      <w:r>
        <w:rPr>
          <w:sz w:val="21"/>
          <w:szCs w:val="21"/>
        </w:rPr>
        <w:t xml:space="preserve">This report </w:t>
      </w:r>
      <w:r w:rsidR="00A15668">
        <w:rPr>
          <w:sz w:val="21"/>
          <w:szCs w:val="21"/>
        </w:rPr>
        <w:t>summarizes</w:t>
      </w:r>
      <w:r>
        <w:rPr>
          <w:sz w:val="21"/>
          <w:szCs w:val="21"/>
        </w:rPr>
        <w:t xml:space="preserve"> the main findings from the Superstore sales analysis and the interactive Power BI dashboard developed for management. The goal was to turn nearly 10,000 transaction records into clear, usable insights that support better decisions around sales performance, profitability, customer behaviour and regional results.</w:t>
      </w:r>
    </w:p>
    <w:p w14:paraId="11FED20C" w14:textId="77777777" w:rsidR="00FB226E" w:rsidRDefault="00000000">
      <w:pPr>
        <w:pStyle w:val="Heading1"/>
      </w:pPr>
      <w:r>
        <w:t>Overall Performance</w:t>
      </w:r>
    </w:p>
    <w:p w14:paraId="77CCC902" w14:textId="77777777" w:rsidR="00FB226E" w:rsidRDefault="00000000">
      <w:pPr>
        <w:spacing w:after="100"/>
      </w:pPr>
      <w:r>
        <w:rPr>
          <w:sz w:val="21"/>
          <w:szCs w:val="21"/>
        </w:rPr>
        <w:t>Between 2014 and 2017 the company recorded the following results:</w:t>
      </w:r>
    </w:p>
    <w:p w14:paraId="064849D7" w14:textId="77777777" w:rsidR="00FB226E" w:rsidRDefault="00000000">
      <w:pPr>
        <w:spacing w:after="40"/>
        <w:ind w:left="280"/>
      </w:pPr>
      <w:r>
        <w:rPr>
          <w:sz w:val="21"/>
          <w:szCs w:val="21"/>
        </w:rPr>
        <w:t>•  Total Sales: $2.30 million</w:t>
      </w:r>
    </w:p>
    <w:p w14:paraId="1E45772D" w14:textId="77777777" w:rsidR="00FB226E" w:rsidRDefault="00000000">
      <w:pPr>
        <w:spacing w:after="40"/>
        <w:ind w:left="280"/>
      </w:pPr>
      <w:r>
        <w:rPr>
          <w:sz w:val="21"/>
          <w:szCs w:val="21"/>
        </w:rPr>
        <w:t>•  Total Profit: $286,400</w:t>
      </w:r>
    </w:p>
    <w:p w14:paraId="69F9CA6B" w14:textId="77777777" w:rsidR="00FB226E" w:rsidRDefault="00000000">
      <w:pPr>
        <w:spacing w:after="40"/>
        <w:ind w:left="280"/>
      </w:pPr>
      <w:r>
        <w:rPr>
          <w:sz w:val="21"/>
          <w:szCs w:val="21"/>
        </w:rPr>
        <w:t>•  Total Orders: 5,009</w:t>
      </w:r>
    </w:p>
    <w:p w14:paraId="2ED7593E" w14:textId="77777777" w:rsidR="00FB226E" w:rsidRDefault="00000000">
      <w:pPr>
        <w:spacing w:after="40"/>
        <w:ind w:left="280"/>
      </w:pPr>
      <w:r>
        <w:rPr>
          <w:sz w:val="21"/>
          <w:szCs w:val="21"/>
        </w:rPr>
        <w:t>•  Average Sales per Order: $458.60</w:t>
      </w:r>
    </w:p>
    <w:p w14:paraId="1687685B" w14:textId="77777777" w:rsidR="00FB226E" w:rsidRDefault="00000000">
      <w:pPr>
        <w:spacing w:after="140"/>
        <w:ind w:left="280"/>
      </w:pPr>
      <w:r>
        <w:rPr>
          <w:sz w:val="21"/>
          <w:szCs w:val="21"/>
        </w:rPr>
        <w:t>•  Overall Profit Margin: 12.47%</w:t>
      </w:r>
    </w:p>
    <w:p w14:paraId="63BB33D0" w14:textId="77777777" w:rsidR="00FB226E" w:rsidRDefault="00000000">
      <w:pPr>
        <w:spacing w:after="180"/>
      </w:pPr>
      <w:r>
        <w:rPr>
          <w:sz w:val="21"/>
          <w:szCs w:val="21"/>
        </w:rPr>
        <w:t>Sales grew steadily from 2014 through 2017, which is encouraging. At the same time, the 12.47% margin shows that profitability still has room for improvement, particularly through better control of discounts and a stronger focus on higher-margin products.</w:t>
      </w:r>
    </w:p>
    <w:p w14:paraId="1FBF9AB7" w14:textId="77777777" w:rsidR="00FB226E" w:rsidRDefault="00000000">
      <w:pPr>
        <w:pStyle w:val="Heading1"/>
      </w:pPr>
      <w:r>
        <w:t>Key Insights</w:t>
      </w:r>
    </w:p>
    <w:p w14:paraId="149F2464" w14:textId="77777777" w:rsidR="00FB226E" w:rsidRDefault="00000000">
      <w:pPr>
        <w:pStyle w:val="Heading2"/>
      </w:pPr>
      <w:r>
        <w:t>1. Steady year-on-year sales growth</w:t>
      </w:r>
    </w:p>
    <w:p w14:paraId="3843D5DD" w14:textId="77777777" w:rsidR="00FB226E" w:rsidRDefault="00000000">
      <w:pPr>
        <w:spacing w:after="130"/>
      </w:pPr>
      <w:r>
        <w:rPr>
          <w:sz w:val="21"/>
          <w:szCs w:val="21"/>
        </w:rPr>
        <w:t>The business shows consistent growth across the four-year period, with 2017 recording the highest sales. This upward trend is clearly visible in the Annual Sales Trend chart and is supported by the Total Sales figure of $2.30 million.</w:t>
      </w:r>
    </w:p>
    <w:p w14:paraId="1D704858" w14:textId="77777777" w:rsidR="00FB226E" w:rsidRDefault="00000000">
      <w:pPr>
        <w:pStyle w:val="Heading2"/>
      </w:pPr>
      <w:r>
        <w:t>2. West region is the main performance driver</w:t>
      </w:r>
    </w:p>
    <w:p w14:paraId="77940F43" w14:textId="77777777" w:rsidR="00FB226E" w:rsidRDefault="00000000">
      <w:pPr>
        <w:spacing w:after="130"/>
      </w:pPr>
      <w:r>
        <w:rPr>
          <w:sz w:val="21"/>
          <w:szCs w:val="21"/>
        </w:rPr>
        <w:t>The West region leads both in sales and in profit. The Sales by Region and Profit by Region visuals confirm this dominance. East follows closely, while Central and South lag behind, particularly on profit conversion.</w:t>
      </w:r>
    </w:p>
    <w:p w14:paraId="061A7F7F" w14:textId="77777777" w:rsidR="00FB226E" w:rsidRDefault="00000000">
      <w:pPr>
        <w:pStyle w:val="Heading2"/>
      </w:pPr>
      <w:r>
        <w:t>3. Consumer segment is the core market</w:t>
      </w:r>
    </w:p>
    <w:p w14:paraId="4199CBE1" w14:textId="77777777" w:rsidR="00FB226E" w:rsidRDefault="00000000">
      <w:pPr>
        <w:spacing w:after="130"/>
      </w:pPr>
      <w:r>
        <w:rPr>
          <w:sz w:val="21"/>
          <w:szCs w:val="21"/>
        </w:rPr>
        <w:t>Consumer customers account for just over 50% of total sales. The Sales by Segment donut chart shows Consumer contributing $1.16 million (50.56%), making it the most important segment by a clear margin. Corporate and Home Office make up the balance.</w:t>
      </w:r>
    </w:p>
    <w:p w14:paraId="442F5F0A" w14:textId="77777777" w:rsidR="00FB226E" w:rsidRDefault="00000000">
      <w:pPr>
        <w:pStyle w:val="Heading2"/>
      </w:pPr>
      <w:r>
        <w:t>4. Technology sells well, but Furniture hurts profit</w:t>
      </w:r>
    </w:p>
    <w:p w14:paraId="685DD67A" w14:textId="77777777" w:rsidR="00FB226E" w:rsidRDefault="00000000">
      <w:pPr>
        <w:spacing w:after="130"/>
      </w:pPr>
      <w:r>
        <w:rPr>
          <w:sz w:val="21"/>
          <w:szCs w:val="21"/>
        </w:rPr>
        <w:t>Technology is the top-selling category and also delivers strong profit. Furniture generates healthy sales volume, yet Tables and Bookcases in particular pull overall profit down. This pattern is clear in both the Sales by Category chart and the Sales and Profit by Sub-Category view.</w:t>
      </w:r>
    </w:p>
    <w:p w14:paraId="72F9E9F9" w14:textId="77777777" w:rsidR="00FB226E" w:rsidRDefault="00000000">
      <w:pPr>
        <w:pStyle w:val="Heading2"/>
      </w:pPr>
      <w:r>
        <w:t>5. Profit margin is thin and needs attention</w:t>
      </w:r>
    </w:p>
    <w:p w14:paraId="7891E59F" w14:textId="77777777" w:rsidR="00FB226E" w:rsidRDefault="00000000">
      <w:pPr>
        <w:spacing w:after="180"/>
      </w:pPr>
      <w:r>
        <w:rPr>
          <w:sz w:val="21"/>
          <w:szCs w:val="21"/>
        </w:rPr>
        <w:t>At 12.47%, the overall margin leaves limited room for error. Heavy discounting appears to be a major contributor. This is reflected in the Profit Margin KPI and in the losses visible in the Profit Performance by State matrix, especially in Texas, Ohio and Pennsylvania.</w:t>
      </w:r>
    </w:p>
    <w:p w14:paraId="102301D2" w14:textId="77777777" w:rsidR="00FB226E" w:rsidRDefault="00000000">
      <w:pPr>
        <w:pStyle w:val="Heading1"/>
      </w:pPr>
      <w:r>
        <w:t>Key Risks</w:t>
      </w:r>
    </w:p>
    <w:p w14:paraId="2A098EE9" w14:textId="77777777" w:rsidR="00FB226E" w:rsidRDefault="00000000">
      <w:pPr>
        <w:spacing w:after="50"/>
        <w:ind w:left="280"/>
      </w:pPr>
      <w:r>
        <w:rPr>
          <w:sz w:val="21"/>
          <w:szCs w:val="21"/>
        </w:rPr>
        <w:t>•  Loss-making states: Texas, Ohio and Pennsylvania generate significant sales but currently operate at a loss. Texas alone recorded roughly $170k in sales while losing about $26k.</w:t>
      </w:r>
    </w:p>
    <w:p w14:paraId="4BBC4E45" w14:textId="77777777" w:rsidR="00FB226E" w:rsidRDefault="00000000">
      <w:pPr>
        <w:spacing w:after="50"/>
        <w:ind w:left="280"/>
      </w:pPr>
      <w:r>
        <w:rPr>
          <w:sz w:val="21"/>
          <w:szCs w:val="21"/>
        </w:rPr>
        <w:t>•  Thin overall margin: A 12.47% margin means the business has little buffer if costs rise or if discounting continues at current levels.</w:t>
      </w:r>
    </w:p>
    <w:p w14:paraId="12138DCD" w14:textId="77777777" w:rsidR="00FB226E" w:rsidRDefault="00000000">
      <w:pPr>
        <w:spacing w:after="180"/>
        <w:ind w:left="280"/>
      </w:pPr>
      <w:r>
        <w:rPr>
          <w:sz w:val="21"/>
          <w:szCs w:val="21"/>
        </w:rPr>
        <w:t>•  Concentration risk: A large share of performance depends on a relatively small number of strong products (especially Phones and Chairs) and on the West region. Any weakness in these areas would have a noticeable impact.</w:t>
      </w:r>
    </w:p>
    <w:p w14:paraId="54D6711D" w14:textId="77777777" w:rsidR="00A15668" w:rsidRDefault="00A15668">
      <w:pPr>
        <w:pStyle w:val="Heading1"/>
      </w:pPr>
    </w:p>
    <w:p w14:paraId="1333B80F" w14:textId="24B87E6A" w:rsidR="00FB226E" w:rsidRDefault="00000000">
      <w:pPr>
        <w:pStyle w:val="Heading1"/>
      </w:pPr>
      <w:r>
        <w:lastRenderedPageBreak/>
        <w:t>Opportunities</w:t>
      </w:r>
    </w:p>
    <w:p w14:paraId="4228CEF9" w14:textId="77777777" w:rsidR="00FB226E" w:rsidRDefault="00000000">
      <w:pPr>
        <w:spacing w:after="50"/>
        <w:ind w:left="280"/>
      </w:pPr>
      <w:r>
        <w:rPr>
          <w:sz w:val="21"/>
          <w:szCs w:val="21"/>
        </w:rPr>
        <w:t>•  Scale the strongest states: California, New York and Washington are highly profitable and can support further investment and growth.</w:t>
      </w:r>
    </w:p>
    <w:p w14:paraId="3298F0C9" w14:textId="1DB786BB" w:rsidR="00FB226E" w:rsidRDefault="00000000">
      <w:pPr>
        <w:spacing w:after="50"/>
        <w:ind w:left="280"/>
      </w:pPr>
      <w:r>
        <w:rPr>
          <w:sz w:val="21"/>
          <w:szCs w:val="21"/>
        </w:rPr>
        <w:t xml:space="preserve">•  </w:t>
      </w:r>
      <w:r w:rsidR="00A15668">
        <w:rPr>
          <w:sz w:val="21"/>
          <w:szCs w:val="21"/>
        </w:rPr>
        <w:t>Prioritize</w:t>
      </w:r>
      <w:r>
        <w:rPr>
          <w:sz w:val="21"/>
          <w:szCs w:val="21"/>
        </w:rPr>
        <w:t xml:space="preserve"> high-margin Technology products: Phones, Copiers and Accessories show both strong sales and healthy profit potential.</w:t>
      </w:r>
    </w:p>
    <w:p w14:paraId="305A300E" w14:textId="77777777" w:rsidR="00FB226E" w:rsidRDefault="00000000">
      <w:pPr>
        <w:spacing w:after="180"/>
        <w:ind w:left="280"/>
      </w:pPr>
      <w:r>
        <w:rPr>
          <w:sz w:val="21"/>
          <w:szCs w:val="21"/>
        </w:rPr>
        <w:t>•  Tighten discounting in weaker regions: A more disciplined approach to discounts in the Central and South regions, especially on Furniture, can help recover lost profit.</w:t>
      </w:r>
    </w:p>
    <w:p w14:paraId="0EF2452F" w14:textId="77777777" w:rsidR="00FB226E" w:rsidRDefault="00000000">
      <w:pPr>
        <w:pStyle w:val="Heading1"/>
      </w:pPr>
      <w:r>
        <w:t>Recommendations</w:t>
      </w:r>
    </w:p>
    <w:p w14:paraId="7F54C31C" w14:textId="77777777" w:rsidR="00FB226E" w:rsidRDefault="00000000">
      <w:pPr>
        <w:spacing w:after="90"/>
      </w:pPr>
      <w:r>
        <w:rPr>
          <w:sz w:val="21"/>
          <w:szCs w:val="21"/>
        </w:rPr>
        <w:t>1. Stop unprofitable discounting in problem states. Enforce stricter discount controls in Texas, Ohio and Pennsylvania where sales are currently turning into losses.</w:t>
      </w:r>
    </w:p>
    <w:p w14:paraId="71CDFB5C" w14:textId="77777777" w:rsidR="00FB226E" w:rsidRDefault="00000000">
      <w:pPr>
        <w:spacing w:after="90"/>
      </w:pPr>
      <w:r>
        <w:rPr>
          <w:sz w:val="21"/>
          <w:szCs w:val="21"/>
        </w:rPr>
        <w:t>2. Increase marketing focus on the West region, particularly California, because it consistently delivers the strongest return.</w:t>
      </w:r>
    </w:p>
    <w:p w14:paraId="0630F1BC" w14:textId="77777777" w:rsidR="00FB226E" w:rsidRDefault="00000000">
      <w:pPr>
        <w:spacing w:after="90"/>
      </w:pPr>
      <w:r>
        <w:rPr>
          <w:sz w:val="21"/>
          <w:szCs w:val="21"/>
        </w:rPr>
        <w:t>3. Explore product bundling around Phones, Copiers and Accessories to lift average order value from the current $458.60.</w:t>
      </w:r>
    </w:p>
    <w:p w14:paraId="1EB66FC6" w14:textId="77777777" w:rsidR="00FB226E" w:rsidRDefault="00000000">
      <w:pPr>
        <w:spacing w:after="90"/>
      </w:pPr>
      <w:r>
        <w:rPr>
          <w:sz w:val="21"/>
          <w:szCs w:val="21"/>
        </w:rPr>
        <w:t>4. Reprice or phase out the Tables sub-category. It is consistently loss-making and continues to drag overall Furniture profitability.</w:t>
      </w:r>
    </w:p>
    <w:p w14:paraId="57EAB46D" w14:textId="77777777" w:rsidR="00FB226E" w:rsidRDefault="00000000">
      <w:pPr>
        <w:spacing w:after="120"/>
      </w:pPr>
      <w:r>
        <w:rPr>
          <w:sz w:val="21"/>
          <w:szCs w:val="21"/>
        </w:rPr>
        <w:t>5. Launch a simple Consumer loyalty or retention programme. Since this segment already drives more than half of revenue, protecting and growing it should be a priority.</w:t>
      </w:r>
    </w:p>
    <w:p w14:paraId="6218ADF6" w14:textId="77777777" w:rsidR="00FB226E" w:rsidRDefault="00000000">
      <w:pPr>
        <w:pStyle w:val="Heading1"/>
      </w:pPr>
      <w:r>
        <w:t>Closing Note</w:t>
      </w:r>
    </w:p>
    <w:p w14:paraId="67D69393" w14:textId="77777777" w:rsidR="00FB226E" w:rsidRDefault="00000000">
      <w:pPr>
        <w:spacing w:after="100"/>
      </w:pPr>
      <w:r>
        <w:rPr>
          <w:sz w:val="21"/>
          <w:szCs w:val="21"/>
        </w:rPr>
        <w:t xml:space="preserve">The dashboard provides a clear view of where the business is performing well and where attention is needed. The combination of steady sales growth and a relatively thin margin </w:t>
      </w:r>
      <w:proofErr w:type="gramStart"/>
      <w:r>
        <w:rPr>
          <w:sz w:val="21"/>
          <w:szCs w:val="21"/>
        </w:rPr>
        <w:t>shows</w:t>
      </w:r>
      <w:proofErr w:type="gramEnd"/>
      <w:r>
        <w:rPr>
          <w:sz w:val="21"/>
          <w:szCs w:val="21"/>
        </w:rPr>
        <w:t xml:space="preserve"> both opportunity and risk. With tighter control of discounts, a stronger focus on high-margin products, and continued investment in the strongest regions, management has a practical path to improve profitability while protecting the growth already achieved.</w:t>
      </w:r>
    </w:p>
    <w:sectPr w:rsidR="00FB226E">
      <w:headerReference w:type="default" r:id="rId7"/>
      <w:footerReference w:type="default" r:id="rId8"/>
      <w:pgSz w:w="11906" w:h="16838"/>
      <w:pgMar w:top="720" w:right="850" w:bottom="720" w:left="8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963C1" w14:textId="77777777" w:rsidR="00D67D6E" w:rsidRDefault="00D67D6E">
      <w:r>
        <w:separator/>
      </w:r>
    </w:p>
  </w:endnote>
  <w:endnote w:type="continuationSeparator" w:id="0">
    <w:p w14:paraId="448B1B2C" w14:textId="77777777" w:rsidR="00D67D6E" w:rsidRDefault="00D67D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BB54D" w14:textId="77777777" w:rsidR="00FB226E" w:rsidRDefault="00000000">
    <w:pPr>
      <w:pBdr>
        <w:top w:val="single" w:sz="6" w:space="4" w:color="CCCCCC"/>
      </w:pBdr>
      <w:jc w:val="center"/>
    </w:pPr>
    <w:r>
      <w:rPr>
        <w:color w:val="666666"/>
        <w:sz w:val="16"/>
        <w:szCs w:val="16"/>
      </w:rPr>
      <w:t xml:space="preserve">Week 2 – Executive Summary Report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A15668">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51DFD" w14:textId="77777777" w:rsidR="00D67D6E" w:rsidRDefault="00D67D6E">
      <w:r>
        <w:separator/>
      </w:r>
    </w:p>
  </w:footnote>
  <w:footnote w:type="continuationSeparator" w:id="0">
    <w:p w14:paraId="0B8F6B4B" w14:textId="77777777" w:rsidR="00D67D6E" w:rsidRDefault="00D67D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31000" w14:textId="77777777" w:rsidR="00FB226E" w:rsidRDefault="00000000">
    <w:pPr>
      <w:pBdr>
        <w:bottom w:val="single" w:sz="6" w:space="4" w:color="1F4E79"/>
      </w:pBdr>
      <w:jc w:val="right"/>
    </w:pPr>
    <w:r>
      <w:rPr>
        <w:i/>
        <w:iCs/>
        <w:color w:val="666666"/>
        <w:sz w:val="17"/>
        <w:szCs w:val="17"/>
      </w:rPr>
      <w:t xml:space="preserve">AnalystLab </w:t>
    </w:r>
    <w:proofErr w:type="gramStart"/>
    <w:r>
      <w:rPr>
        <w:i/>
        <w:iCs/>
        <w:color w:val="666666"/>
        <w:sz w:val="17"/>
        <w:szCs w:val="17"/>
      </w:rPr>
      <w:t>Africa  •</w:t>
    </w:r>
    <w:proofErr w:type="gramEnd"/>
    <w:r>
      <w:rPr>
        <w:i/>
        <w:iCs/>
        <w:color w:val="666666"/>
        <w:sz w:val="17"/>
        <w:szCs w:val="17"/>
      </w:rPr>
      <w:t xml:space="preserve">  Data Analytics Internship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461AAE"/>
    <w:multiLevelType w:val="hybridMultilevel"/>
    <w:tmpl w:val="7EC6103E"/>
    <w:lvl w:ilvl="0" w:tplc="713EB9EE">
      <w:start w:val="1"/>
      <w:numFmt w:val="bullet"/>
      <w:lvlText w:val="●"/>
      <w:lvlJc w:val="left"/>
      <w:pPr>
        <w:ind w:left="720" w:hanging="360"/>
      </w:pPr>
    </w:lvl>
    <w:lvl w:ilvl="1" w:tplc="5F42038A">
      <w:start w:val="1"/>
      <w:numFmt w:val="bullet"/>
      <w:lvlText w:val="○"/>
      <w:lvlJc w:val="left"/>
      <w:pPr>
        <w:ind w:left="1440" w:hanging="360"/>
      </w:pPr>
    </w:lvl>
    <w:lvl w:ilvl="2" w:tplc="04601E84">
      <w:start w:val="1"/>
      <w:numFmt w:val="bullet"/>
      <w:lvlText w:val="■"/>
      <w:lvlJc w:val="left"/>
      <w:pPr>
        <w:ind w:left="2160" w:hanging="360"/>
      </w:pPr>
    </w:lvl>
    <w:lvl w:ilvl="3" w:tplc="1820ED42">
      <w:start w:val="1"/>
      <w:numFmt w:val="bullet"/>
      <w:lvlText w:val="●"/>
      <w:lvlJc w:val="left"/>
      <w:pPr>
        <w:ind w:left="2880" w:hanging="360"/>
      </w:pPr>
    </w:lvl>
    <w:lvl w:ilvl="4" w:tplc="BA7CBCB0">
      <w:start w:val="1"/>
      <w:numFmt w:val="bullet"/>
      <w:lvlText w:val="○"/>
      <w:lvlJc w:val="left"/>
      <w:pPr>
        <w:ind w:left="3600" w:hanging="360"/>
      </w:pPr>
    </w:lvl>
    <w:lvl w:ilvl="5" w:tplc="36F23ED8">
      <w:start w:val="1"/>
      <w:numFmt w:val="bullet"/>
      <w:lvlText w:val="■"/>
      <w:lvlJc w:val="left"/>
      <w:pPr>
        <w:ind w:left="4320" w:hanging="360"/>
      </w:pPr>
    </w:lvl>
    <w:lvl w:ilvl="6" w:tplc="2D8A75F4">
      <w:start w:val="1"/>
      <w:numFmt w:val="bullet"/>
      <w:lvlText w:val="●"/>
      <w:lvlJc w:val="left"/>
      <w:pPr>
        <w:ind w:left="5040" w:hanging="360"/>
      </w:pPr>
    </w:lvl>
    <w:lvl w:ilvl="7" w:tplc="9418C628">
      <w:start w:val="1"/>
      <w:numFmt w:val="bullet"/>
      <w:lvlText w:val="●"/>
      <w:lvlJc w:val="left"/>
      <w:pPr>
        <w:ind w:left="5760" w:hanging="360"/>
      </w:pPr>
    </w:lvl>
    <w:lvl w:ilvl="8" w:tplc="9064C5D2">
      <w:start w:val="1"/>
      <w:numFmt w:val="bullet"/>
      <w:lvlText w:val="●"/>
      <w:lvlJc w:val="left"/>
      <w:pPr>
        <w:ind w:left="6480" w:hanging="360"/>
      </w:pPr>
    </w:lvl>
  </w:abstractNum>
  <w:num w:numId="1" w16cid:durableId="20113228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26E"/>
    <w:rsid w:val="00A15668"/>
    <w:rsid w:val="00A52960"/>
    <w:rsid w:val="00D67D6E"/>
    <w:rsid w:val="00FB2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486E5"/>
  <w15:docId w15:val="{3AEEC17F-2D2D-439C-8DE3-3640E3558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10"/>
      <w:outlineLvl w:val="0"/>
    </w:pPr>
    <w:rPr>
      <w:rFonts w:ascii="Calibri" w:eastAsia="Calibri" w:hAnsi="Calibri" w:cs="Calibri"/>
      <w:b/>
      <w:bCs/>
      <w:color w:val="1F4E79"/>
      <w:sz w:val="25"/>
      <w:szCs w:val="25"/>
    </w:rPr>
  </w:style>
  <w:style w:type="paragraph" w:styleId="Heading2">
    <w:name w:val="heading 2"/>
    <w:uiPriority w:val="9"/>
    <w:unhideWhenUsed/>
    <w:qFormat/>
    <w:pPr>
      <w:spacing w:before="160" w:after="70"/>
      <w:outlineLvl w:val="1"/>
    </w:pPr>
    <w:rPr>
      <w:rFonts w:ascii="Calibri" w:eastAsia="Calibri" w:hAnsi="Calibri" w:cs="Calibri"/>
      <w:b/>
      <w:bCs/>
      <w:color w:val="2E75B6"/>
      <w:sz w:val="21"/>
      <w:szCs w:val="2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699</Words>
  <Characters>3987</Characters>
  <Application>Microsoft Office Word</Application>
  <DocSecurity>0</DocSecurity>
  <Lines>33</Lines>
  <Paragraphs>9</Paragraphs>
  <ScaleCrop>false</ScaleCrop>
  <Company/>
  <LinksUpToDate>false</LinksUpToDate>
  <CharactersWithSpaces>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2026-10-27T17:09:00Z</dcterms:created>
  <dcterms:modified xsi:type="dcterms:W3CDTF">2026-10-27T17:14:00Z</dcterms:modified>
</cp:coreProperties>
</file>