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32820733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629"/>
        <w:gridCol w:w="376"/>
      </w:tblGrid>
      <w:tr w:rsidR="00C72DA2" w14:paraId="3214A15B" w14:textId="77777777" w:rsidTr="00C72DA2">
        <w:tc>
          <w:tcPr>
            <w:tcW w:w="4845" w:type="pct"/>
          </w:tcPr>
          <w:p w14:paraId="5F7E17A1" w14:textId="77777777" w:rsidR="00C72DA2" w:rsidRDefault="00C72DA2"/>
        </w:tc>
        <w:tc>
          <w:tcPr>
            <w:tcW w:w="155" w:type="pct"/>
            <w:vAlign w:val="center"/>
          </w:tcPr>
          <w:p w14:paraId="035D6C69" w14:textId="19271C9A" w:rsidR="00C72DA2" w:rsidRDefault="00C72DA2" w:rsidP="00C72DA2">
            <w:pPr>
              <w:jc w:val="right"/>
            </w:pPr>
            <w:r>
              <w:t>()</w:t>
            </w:r>
          </w:p>
        </w:tc>
      </w:tr>
    </w:tbl>
    <w:p w14:paraId="10A26471" w14:textId="77777777" w:rsidR="00C72DA2" w:rsidRDefault="00C72DA2"/>
    <w:p w14:paraId="02862106" w14:textId="79AC4BB7" w:rsidR="004E78A8" w:rsidRPr="00D84109" w:rsidRDefault="004E78A8" w:rsidP="00437C77">
      <w:pPr>
        <w:pStyle w:val="Heading1"/>
      </w:pPr>
      <w:bookmarkStart w:id="1" w:name="_Toc132820734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</w:t>
      </w:r>
      <w:r w:rsidR="001D1888">
        <w:lastRenderedPageBreak/>
        <w:t xml:space="preserve">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6109AF19" w:rsidR="00325C22" w:rsidRDefault="0008781E" w:rsidP="000A43C1">
      <w:r>
        <w:t xml:space="preserve">Moreover, which one among minimization and maximization can be determined by change activation function a little bit in BO. </w:t>
      </w:r>
      <w:r w:rsidR="00325C22"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 w:rsidR="00325C22">
        <w:t xml:space="preserve">optimization </w:t>
      </w:r>
      <w:proofErr w:type="gramStart"/>
      <w:r w:rsidR="00325C22">
        <w:t>problem</w:t>
      </w:r>
      <w:proofErr w:type="gramEnd"/>
      <w:r w:rsidR="00325C22">
        <w:t xml:space="preserve">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</w:t>
      </w:r>
      <w:proofErr w:type="gramStart"/>
      <w:r w:rsidR="00E6705B">
        <w:t>find</w:t>
      </w:r>
      <w:r w:rsidR="00B07D23">
        <w:t>ing</w:t>
      </w:r>
      <w:r w:rsidR="00E6705B">
        <w:t xml:space="preserve"> out</w:t>
      </w:r>
      <w:proofErr w:type="gramEnd"/>
      <w:r w:rsidR="00E6705B">
        <w:t xml:space="preserve"> optimizers </w:t>
      </w:r>
      <w:r w:rsidR="00EF43BA">
        <w:rPr>
          <w:rFonts w:ascii="TimesNewRomanPSMT" w:hAnsi="TimesNewRomanPSMT"/>
          <w:color w:val="000000"/>
          <w:szCs w:val="24"/>
        </w:rPr>
        <w:t xml:space="preserve">such as approximation, cutting plane, branch and bound, and interval method, in which these methods focus on analytic essence of algebraic target function. </w:t>
      </w:r>
      <w:proofErr w:type="gramStart"/>
      <w:r w:rsidR="00EF43BA">
        <w:rPr>
          <w:rFonts w:ascii="TimesNewRomanPSMT" w:hAnsi="TimesNewRomanPSMT"/>
          <w:color w:val="000000"/>
          <w:szCs w:val="24"/>
        </w:rPr>
        <w:t>Probabilistic</w:t>
      </w:r>
      <w:proofErr w:type="gramEnd"/>
      <w:r w:rsidR="00EF43BA">
        <w:rPr>
          <w:rFonts w:ascii="TimesNewRomanPSMT" w:hAnsi="TimesNewRomanPSMT"/>
          <w:color w:val="000000"/>
          <w:szCs w:val="24"/>
        </w:rPr>
        <w:t xml:space="preserve">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</w:t>
      </w:r>
      <w:r>
        <w:rPr>
          <w:rFonts w:ascii="TimesNewRomanPSMT" w:hAnsi="TimesNewRomanPSMT"/>
          <w:color w:val="000000"/>
          <w:szCs w:val="24"/>
        </w:rPr>
        <w:t>selection</w:t>
      </w:r>
      <w:r>
        <w:rPr>
          <w:rFonts w:ascii="TimesNewRomanPSMT" w:hAnsi="TimesNewRomanPSMT" w:hint="eastAsia"/>
          <w:color w:val="000000"/>
          <w:szCs w:val="24"/>
        </w:rPr>
        <w:t>,</w:t>
      </w:r>
      <w:r w:rsidR="00000F4B">
        <w:rPr>
          <w:rFonts w:ascii="TimesNewRomanPSMT" w:hAnsi="TimesNewRomanPSMT"/>
          <w:color w:val="000000"/>
          <w:szCs w:val="24"/>
        </w:rPr>
        <w:t xml:space="preserve"> but such random selection is </w:t>
      </w:r>
      <w:r w:rsidR="00964E01">
        <w:rPr>
          <w:rFonts w:ascii="TimesNewRomanPSMT" w:hAnsi="TimesNewRomanPSMT"/>
          <w:color w:val="000000"/>
          <w:szCs w:val="24"/>
        </w:rPr>
        <w:t xml:space="preserve">guided by some probabilistic model </w:t>
      </w:r>
      <w:proofErr w:type="gramStart"/>
      <w:r w:rsidR="00964E01">
        <w:rPr>
          <w:rFonts w:ascii="TimesNewRomanPSMT" w:hAnsi="TimesNewRomanPSMT"/>
          <w:color w:val="000000"/>
          <w:szCs w:val="24"/>
        </w:rPr>
        <w:t>so as to</w:t>
      </w:r>
      <w:proofErr w:type="gramEnd"/>
      <w:r w:rsidR="00964E01">
        <w:rPr>
          <w:rFonts w:ascii="TimesNewRomanPSMT" w:hAnsi="TimesNewRomanPSMT"/>
          <w:color w:val="000000"/>
          <w:szCs w:val="24"/>
        </w:rPr>
        <w:t xml:space="preserve">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 xml:space="preserve">volutional algorithms) and probabilistic approach </w:t>
      </w:r>
      <w:r w:rsidR="00E0512B">
        <w:rPr>
          <w:rFonts w:ascii="TimesNewRomanPSMT" w:hAnsi="TimesNewRomanPSMT"/>
          <w:color w:val="000000"/>
          <w:szCs w:val="24"/>
        </w:rPr>
        <w:t xml:space="preserve">in a research raised by Luo </w:t>
      </w:r>
      <w:sdt>
        <w:sdtPr>
          <w:rPr>
            <w:rFonts w:ascii="TimesNewRomanPSMT" w:hAnsi="TimesNewRomanPSMT"/>
            <w:color w:val="000000"/>
            <w:szCs w:val="24"/>
          </w:rPr>
          <w:id w:val="1120569773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Luo19Minima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7B093F">
            <w:rPr>
              <w:rFonts w:ascii="TimesNewRomanPSMT" w:hAnsi="TimesNewRomanPSMT"/>
              <w:noProof/>
              <w:color w:val="000000"/>
              <w:szCs w:val="24"/>
            </w:rPr>
            <w:t>(Luo, 2019)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 xml:space="preserve"> that I researched in </w:t>
      </w:r>
      <w:sdt>
        <w:sdtPr>
          <w:rPr>
            <w:rFonts w:ascii="TimesNewRomanPSMT" w:hAnsi="TimesNewRomanPSMT"/>
            <w:color w:val="000000"/>
            <w:szCs w:val="24"/>
          </w:rPr>
          <w:id w:val="-252817938"/>
          <w:citation/>
        </w:sdtPr>
        <w:sdtContent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E0512B" w:rsidRPr="00B675F3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E0512B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E0512B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where sample </w:t>
            </w:r>
            <w:proofErr w:type="spellStart"/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proofErr w:type="spellStart"/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proofErr w:type="spellStart"/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proofErr w:type="spellEnd"/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proofErr w:type="spellStart"/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proofErr w:type="spellEnd"/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lastRenderedPageBreak/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lastRenderedPageBreak/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proofErr w:type="spellStart"/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proofErr w:type="spellEnd"/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proofErr w:type="gramStart"/>
      <w:r w:rsidRPr="000B02CB">
        <w:rPr>
          <w:i/>
          <w:iCs/>
        </w:rPr>
        <w:t>S</w:t>
      </w:r>
      <w:r>
        <w:t>(</w:t>
      </w:r>
      <w:proofErr w:type="gramEnd"/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proofErr w:type="spellStart"/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proofErr w:type="spellEnd"/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proofErr w:type="gramStart"/>
      <w:r w:rsidR="006A12E8" w:rsidRPr="000B02CB">
        <w:rPr>
          <w:i/>
          <w:iCs/>
        </w:rPr>
        <w:t>S</w:t>
      </w:r>
      <w:r w:rsidR="006A12E8">
        <w:t>(</w:t>
      </w:r>
      <w:proofErr w:type="gramEnd"/>
      <w:r w:rsidR="006A12E8" w:rsidRPr="002B2FDA">
        <w:rPr>
          <w:i/>
          <w:iCs/>
        </w:rPr>
        <w:t>f</w:t>
      </w:r>
      <w:r w:rsidR="006A12E8">
        <w:t xml:space="preserve"> | </w:t>
      </w:r>
      <w:proofErr w:type="spellStart"/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proofErr w:type="spellEnd"/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proofErr w:type="spellStart"/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proofErr w:type="spellEnd"/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</w:t>
      </w:r>
      <w:proofErr w:type="gramStart"/>
      <w:r w:rsidR="00575174">
        <w:t>vector</w:t>
      </w:r>
      <w:proofErr w:type="gramEnd"/>
      <w:r w:rsidR="00575174">
        <w:t xml:space="preserve">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proofErr w:type="gramStart"/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proofErr w:type="gramEnd"/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proofErr w:type="spellStart"/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proofErr w:type="spellEnd"/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32820735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 where </w:t>
      </w:r>
      <w:proofErr w:type="spellStart"/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proofErr w:type="spellEnd"/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proofErr w:type="spellStart"/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proofErr w:type="spellEnd"/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proofErr w:type="spellStart"/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proofErr w:type="spellEnd"/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proofErr w:type="spellStart"/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proofErr w:type="spellEnd"/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lastRenderedPageBreak/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proofErr w:type="spellStart"/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proofErr w:type="spellEnd"/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proofErr w:type="spellStart"/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proofErr w:type="spellStart"/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>(Shahriari, Swersky, Wang, 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 xml:space="preserve"> whose outcome is successful (</w:t>
      </w:r>
      <w:proofErr w:type="spellStart"/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proofErr w:type="spellEnd"/>
      <w:r>
        <w:t>=1) or failed (</w:t>
      </w:r>
      <w:proofErr w:type="spellStart"/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proofErr w:type="spellEnd"/>
      <w:r>
        <w:t>=0</w:t>
      </w:r>
      <w:r w:rsidR="00A3555D">
        <w:t>)</w:t>
      </w:r>
      <w:r>
        <w:t xml:space="preserve"> follows Bernoulli distribution whose parameter is </w:t>
      </w:r>
      <w:proofErr w:type="spellStart"/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proofErr w:type="spellEnd"/>
      <w:r w:rsidR="006B2474">
        <w:t xml:space="preserve"> (0 </w:t>
      </w:r>
      <w:r w:rsidR="006B2474">
        <w:rPr>
          <w:rFonts w:cs="Times New Roman"/>
        </w:rPr>
        <w:t xml:space="preserve">≤ </w:t>
      </w:r>
      <w:proofErr w:type="spellStart"/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proofErr w:type="spellEnd"/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proofErr w:type="spellStart"/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=1) of event </w:t>
      </w:r>
      <w:proofErr w:type="spellStart"/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spellStart"/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proofErr w:type="spellEnd"/>
      <w:r w:rsidR="009A2BC8">
        <w:t xml:space="preserve">=1 </w:t>
      </w:r>
      <w:r w:rsidR="00B47411">
        <w:t xml:space="preserve">| </w:t>
      </w:r>
      <w:proofErr w:type="spellStart"/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proofErr w:type="spellStart"/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proofErr w:type="spellEnd"/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proofErr w:type="spellStart"/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proofErr w:type="spellEnd"/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proofErr w:type="spellStart"/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proofErr w:type="spellEnd"/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proofErr w:type="spellStart"/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proofErr w:type="spellEnd"/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proofErr w:type="spellStart"/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proofErr w:type="spellEnd"/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proofErr w:type="spellStart"/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proofErr w:type="spellEnd"/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proofErr w:type="spellEnd"/>
      <w:r w:rsidR="007B7512">
        <w:t xml:space="preserve">} where each observation </w:t>
      </w:r>
      <w:proofErr w:type="spellStart"/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proofErr w:type="spellEnd"/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proofErr w:type="spellStart"/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proofErr w:type="spellEnd"/>
      <w:r w:rsidR="007B7512">
        <w:t xml:space="preserve"> time with result </w:t>
      </w:r>
      <w:proofErr w:type="spellStart"/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proofErr w:type="spellEnd"/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proofErr w:type="spellStart"/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proofErr w:type="spellEnd"/>
      <w:r w:rsidR="00780998">
        <w:t xml:space="preserve"> in which </w:t>
      </w:r>
      <w:proofErr w:type="spellStart"/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proofErr w:type="spellEnd"/>
      <w:r w:rsidR="00780998">
        <w:t xml:space="preserve"> is selected</w:t>
      </w:r>
      <w:r w:rsidR="00B25EBD">
        <w:t xml:space="preserve"> and let </w:t>
      </w:r>
      <w:proofErr w:type="spellStart"/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and </w:t>
      </w:r>
      <w:proofErr w:type="spellStart"/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proofErr w:type="spellEnd"/>
      <w:r w:rsidR="00B25EBD">
        <w:t xml:space="preserve"> be the numbers of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=1 and </w:t>
      </w:r>
      <w:proofErr w:type="spellStart"/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proofErr w:type="spellEnd"/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</w:t>
      </w:r>
      <w:proofErr w:type="spellStart"/>
      <w:r w:rsidR="00EB7176">
        <w:t>iid</w:t>
      </w:r>
      <w:proofErr w:type="spellEnd"/>
      <w:r w:rsidR="00EB7176">
        <w:t xml:space="preserve">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proofErr w:type="spellStart"/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proofErr w:type="spellEnd"/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proofErr w:type="spellStart"/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proofErr w:type="spellEnd"/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proofErr w:type="spellStart"/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spellStart"/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proofErr w:type="spellStart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proofErr w:type="spellEnd"/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proofErr w:type="spellStart"/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proofErr w:type="spellEnd"/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proofErr w:type="spellStart"/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proofErr w:type="spellEnd"/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t xml:space="preserve">Obviously, the target function is defined based on the </w:t>
      </w:r>
      <w:r w:rsidR="000E21A4">
        <w:t xml:space="preserve">posterior probability of </w:t>
      </w:r>
      <w:proofErr w:type="spellStart"/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proofErr w:type="spellEnd"/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proofErr w:type="spellStart"/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proofErr w:type="spellEnd"/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proofErr w:type="spellStart"/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proofErr w:type="spellEnd"/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proofErr w:type="spellStart"/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proofErr w:type="spellEnd"/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proofErr w:type="spellStart"/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proofErr w:type="spellStart"/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proofErr w:type="spellEnd"/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proofErr w:type="spellStart"/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proofErr w:type="spellEnd"/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proofErr w:type="spellStart"/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and </w:t>
      </w:r>
      <w:proofErr w:type="spellStart"/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proofErr w:type="spellEnd"/>
      <w:r w:rsidR="00B370CE">
        <w:t xml:space="preserve"> be the numbers of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 xml:space="preserve">=1 and </w:t>
      </w:r>
      <w:proofErr w:type="spellStart"/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proofErr w:type="spellEnd"/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proofErr w:type="spellEnd"/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proofErr w:type="spellStart"/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proofErr w:type="spellEnd"/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proofErr w:type="spellStart"/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proofErr w:type="spellEnd"/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beta distribution and </w:t>
      </w:r>
      <w:proofErr w:type="spellStart"/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proofErr w:type="spellEnd"/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proofErr w:type="spellStart"/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proofErr w:type="spellEnd"/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proofErr w:type="spellStart"/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proofErr w:type="spellEnd"/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2CEDD7C7" w:rsidR="00AA046C" w:rsidRPr="004E35E3" w:rsidRDefault="008B3F7D" w:rsidP="0082388D">
            <w:r>
              <w:t>Initializ</w:t>
            </w:r>
            <w:r w:rsidR="00E138C3">
              <w:t>e</w:t>
            </w:r>
            <w:r>
              <w:t xml:space="preserve">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proofErr w:type="spellStart"/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spellStart"/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 | </w:t>
            </w:r>
            <w:proofErr w:type="spellStart"/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spellStart"/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 | </w:t>
            </w:r>
            <w:proofErr w:type="spellStart"/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proofErr w:type="spellEnd"/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proofErr w:type="spellStart"/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proofErr w:type="spellEnd"/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spellStart"/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proofErr w:type="spellStart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proofErr w:type="spellEnd"/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proofErr w:type="spellStart"/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proofErr w:type="spellEnd"/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proofErr w:type="spellStart"/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proofErr w:type="spellEnd"/>
      <w:r w:rsidR="003A2BD6">
        <w:t xml:space="preserve"> and vector parameter </w:t>
      </w:r>
      <w:proofErr w:type="spellStart"/>
      <w:r w:rsidR="003A2BD6" w:rsidRPr="003A2BD6">
        <w:rPr>
          <w:i/>
          <w:iCs/>
        </w:rPr>
        <w:t>W</w:t>
      </w:r>
      <w:r w:rsidR="003A2BD6">
        <w:t xml:space="preserve"> as</w:t>
      </w:r>
      <w:proofErr w:type="spellEnd"/>
      <w:r w:rsidR="003A2BD6">
        <w:t xml:space="preserve">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proofErr w:type="spellStart"/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proofErr w:type="spellEnd"/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proofErr w:type="spellStart"/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proofErr w:type="spellEnd"/>
      <w:r w:rsidR="00F939E3">
        <w:t xml:space="preserve"> distributes normally</w:t>
      </w:r>
      <w:r w:rsidR="00F92159">
        <w:t xml:space="preserve"> with mean </w:t>
      </w:r>
      <w:proofErr w:type="spellStart"/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proofErr w:type="spellEnd"/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proofErr w:type="spellStart"/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proofErr w:type="spellEnd"/>
      <w:r w:rsidR="00482195">
        <w:t xml:space="preserve"> </w:t>
      </w:r>
      <w:r w:rsidR="00C44022">
        <w:t xml:space="preserve">now </w:t>
      </w:r>
      <w:r w:rsidR="00482195">
        <w:t xml:space="preserve">is </w:t>
      </w:r>
      <w:proofErr w:type="spellStart"/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proofErr w:type="spellEnd"/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proofErr w:type="spellStart"/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proofErr w:type="spellEnd"/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proofErr w:type="spellStart"/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proofErr w:type="spellEnd"/>
      <w:r w:rsidR="00C44022">
        <w:t xml:space="preserve"> that the gambler selects at the </w:t>
      </w:r>
      <w:proofErr w:type="spellStart"/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proofErr w:type="spellEnd"/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proofErr w:type="spellStart"/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= </w:t>
      </w:r>
      <w:proofErr w:type="spellStart"/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proofErr w:type="spellStart"/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proofErr w:type="spellEnd"/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 = {</w:t>
      </w:r>
      <w:proofErr w:type="spellStart"/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proofErr w:type="spellStart"/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proofErr w:type="spellStart"/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proofErr w:type="spellEnd"/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proofErr w:type="spellStart"/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proofErr w:type="spellStart"/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proofErr w:type="spellEnd"/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proofErr w:type="spellStart"/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proofErr w:type="spellEnd"/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proofErr w:type="spellStart"/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 = {</w:t>
            </w:r>
            <w:proofErr w:type="spellStart"/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proofErr w:type="spellStart"/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proofErr w:type="spellEnd"/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proofErr w:type="spellStart"/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proofErr w:type="spellEnd"/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proofErr w:type="spellStart"/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proofErr w:type="spellEnd"/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proofErr w:type="spellStart"/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proofErr w:type="spellEnd"/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proofErr w:type="spellStart"/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proofErr w:type="spellEnd"/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</w:t>
      </w:r>
      <w:r w:rsidR="0036630D">
        <w:lastRenderedPageBreak/>
        <w:t xml:space="preserve">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proofErr w:type="spellStart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proofErr w:type="spellEnd"/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proofErr w:type="spellStart"/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proofErr w:type="spellEnd"/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proofErr w:type="gramStart"/>
      <w:r w:rsidR="00154118">
        <w:rPr>
          <w:rFonts w:cs="Times New Roman"/>
        </w:rPr>
        <w:t>Σ</w:t>
      </w:r>
      <w:r w:rsidR="00154118">
        <w:t>(</w:t>
      </w:r>
      <w:proofErr w:type="gramEnd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proofErr w:type="spellStart"/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proofErr w:type="spellEnd"/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spellStart"/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where </w:t>
      </w:r>
      <w:proofErr w:type="spellStart"/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proofErr w:type="spellEnd"/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proofErr w:type="spellStart"/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proofErr w:type="spellEnd"/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spellStart"/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spellEnd"/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spellStart"/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spellEnd"/>
      <w:proofErr w:type="gramEnd"/>
      <w:r w:rsidR="009D31FC">
        <w:t xml:space="preserve"> and </w:t>
      </w:r>
      <w:proofErr w:type="spellStart"/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proofErr w:type="spellEnd"/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proofErr w:type="spellStart"/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proofErr w:type="spellEnd"/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proofErr w:type="spellStart"/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proofErr w:type="spellEnd"/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proofErr w:type="spellStart"/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proofErr w:type="spellEnd"/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proofErr w:type="spellStart"/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proofErr w:type="spellEnd"/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proofErr w:type="spellStart"/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proofErr w:type="spellEnd"/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proofErr w:type="spellEnd"/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>Recall that</w:t>
      </w:r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7362C425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proofErr w:type="gramStart"/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proofErr w:type="gramEnd"/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9E7CDD">
        <w:t>recurrently</w:t>
      </w:r>
      <w:r w:rsidR="002C5B7B">
        <w:t xml:space="preserve">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225FD077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9E7CDD">
        <w:t xml:space="preserve">recurrently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proofErr w:type="spellStart"/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proofErr w:type="spellEnd"/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proofErr w:type="spellStart"/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proofErr w:type="spellEnd"/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</w:t>
      </w:r>
      <w:proofErr w:type="spellStart"/>
      <w:r w:rsidR="00EA6CE7">
        <w:t xml:space="preserve">of </w:t>
      </w:r>
      <w:r w:rsidR="00EA6CE7" w:rsidRPr="00EA6CE7">
        <w:rPr>
          <w:i/>
          <w:iCs/>
        </w:rPr>
        <w:t>f</w:t>
      </w:r>
      <w:proofErr w:type="spellEnd"/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7BD60B4F" w:rsidR="00E9629D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proofErr w:type="spellStart"/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proofErr w:type="spellStart"/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proofErr w:type="spellEnd"/>
            <w:r>
              <w:t>}.</w:t>
            </w:r>
          </w:p>
          <w:p w14:paraId="5D7CD97F" w14:textId="54CC7502" w:rsidR="00951753" w:rsidRPr="00ED36CB" w:rsidRDefault="00951753" w:rsidP="004A4B69">
            <w:r>
              <w:t xml:space="preserve">Initialize </w:t>
            </w:r>
            <w:r w:rsidRPr="00951753">
              <w:rPr>
                <w:i/>
                <w:iCs/>
              </w:rPr>
              <w:t>m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proofErr w:type="gramStart"/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) = </w:t>
            </w:r>
            <w:r w:rsidRPr="00951753">
              <w:rPr>
                <w:rFonts w:cs="Times New Roman"/>
                <w:i/>
                <w:iCs/>
              </w:rPr>
              <w:t>μ</w:t>
            </w:r>
            <w:r>
              <w:t>(</w:t>
            </w:r>
            <w:r w:rsidRPr="00951753">
              <w:rPr>
                <w:i/>
                <w:iCs/>
              </w:rPr>
              <w:t>y</w:t>
            </w:r>
            <w:r w:rsidRPr="00951753">
              <w:rPr>
                <w:vertAlign w:val="subscript"/>
              </w:rPr>
              <w:t>1:</w:t>
            </w:r>
            <w:r w:rsidRPr="00951753">
              <w:rPr>
                <w:i/>
                <w:iCs/>
                <w:vertAlign w:val="subscript"/>
              </w:rPr>
              <w:t>n</w:t>
            </w:r>
            <w:r>
              <w:t>).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proofErr w:type="spellStart"/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proofErr w:type="spellEnd"/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proofErr w:type="spellStart"/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proofErr w:type="spellEnd"/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proofErr w:type="spellStart"/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proofErr w:type="spellEnd"/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let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proofErr w:type="spellStart"/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proofErr w:type="spellEnd"/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32820736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proofErr w:type="gramStart"/>
      <w:r w:rsidR="003B53A8" w:rsidRPr="003B53A8">
        <w:rPr>
          <w:vertAlign w:val="subscript"/>
        </w:rPr>
        <w:t>3</w:t>
      </w:r>
      <w:r w:rsidR="003B53A8">
        <w:t>,…</w:t>
      </w:r>
      <w:proofErr w:type="gramEnd"/>
      <w:r w:rsidR="003B53A8">
        <w:t xml:space="preserve">, and </w:t>
      </w:r>
      <w:proofErr w:type="spellStart"/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proofErr w:type="spellEnd"/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proofErr w:type="gramStart"/>
      <w:r w:rsidR="00F13B02" w:rsidRPr="00E465B9">
        <w:rPr>
          <w:i/>
          <w:iCs/>
        </w:rPr>
        <w:t>f</w:t>
      </w:r>
      <w:r w:rsidR="00F13B02">
        <w:t>(</w:t>
      </w:r>
      <w:proofErr w:type="gramEnd"/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</w:t>
      </w:r>
      <w:r w:rsidR="00C4528C">
        <w:rPr>
          <w:rFonts w:cs="Times New Roman"/>
        </w:rPr>
        <w:lastRenderedPageBreak/>
        <w:t xml:space="preserve">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proofErr w:type="gramStart"/>
      <w:r w:rsidR="00F849A3">
        <w:rPr>
          <w:rFonts w:cs="Times New Roman"/>
        </w:rPr>
        <w:t>Σ</w:t>
      </w:r>
      <w:r w:rsidR="00F849A3">
        <w:t>(</w:t>
      </w:r>
      <w:proofErr w:type="gramEnd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proofErr w:type="spellStart"/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proofErr w:type="spellEnd"/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proofErr w:type="gramStart"/>
      <w:r w:rsidR="00B826B8">
        <w:rPr>
          <w:rFonts w:cs="Times New Roman"/>
        </w:rPr>
        <w:t>Σ</w:t>
      </w:r>
      <w:r w:rsidR="00B826B8">
        <w:t>(</w:t>
      </w:r>
      <w:proofErr w:type="gramEnd"/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proofErr w:type="spellStart"/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proofErr w:type="spellEnd"/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3F2168">
        <w:t xml:space="preserve">In this research the notation </w:t>
      </w:r>
      <w:proofErr w:type="gramStart"/>
      <w:r w:rsidR="003F2168">
        <w:t>|.|</w:t>
      </w:r>
      <w:proofErr w:type="gramEnd"/>
      <w:r w:rsidR="003F2168">
        <w:t xml:space="preserve">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proofErr w:type="spellStart"/>
      <w:proofErr w:type="gram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proofErr w:type="gram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proofErr w:type="gramStart"/>
      <w:r w:rsidR="00AC3D92">
        <w:rPr>
          <w:rFonts w:cs="Times New Roman"/>
        </w:rPr>
        <w:t>Σ</w:t>
      </w:r>
      <w:r w:rsidR="00AC3D92">
        <w:t>(</w:t>
      </w:r>
      <w:proofErr w:type="gramEnd"/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lastRenderedPageBreak/>
        <w:t xml:space="preserve">As a convention, let </w:t>
      </w:r>
      <w:proofErr w:type="gramStart"/>
      <w:r>
        <w:rPr>
          <w:rFonts w:cs="Times New Roman"/>
        </w:rPr>
        <w:t>Σ</w:t>
      </w:r>
      <w:r>
        <w:t>(</w:t>
      </w:r>
      <w:proofErr w:type="spellStart"/>
      <w:proofErr w:type="gramEnd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covariance </w:t>
      </w:r>
      <w:r w:rsidR="00D255B2">
        <w:t xml:space="preserve">function </w:t>
      </w:r>
      <w:r>
        <w:t xml:space="preserve">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proofErr w:type="gramStart"/>
      <w:r w:rsidR="001E0DC5">
        <w:rPr>
          <w:rFonts w:cs="Times New Roman"/>
        </w:rPr>
        <w:t>Σ</w:t>
      </w:r>
      <w:r w:rsidR="001E0DC5">
        <w:t>(</w:t>
      </w:r>
      <w:proofErr w:type="spellStart"/>
      <w:proofErr w:type="gramEnd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proofErr w:type="spellEnd"/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 xml:space="preserve">, </w:t>
      </w:r>
      <w:proofErr w:type="spellStart"/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proofErr w:type="spellEnd"/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</w:t>
      </w:r>
      <w:proofErr w:type="gramStart"/>
      <w:r w:rsidR="002E3C11" w:rsidRPr="007530E5">
        <w:rPr>
          <w:vertAlign w:val="subscript"/>
        </w:rPr>
        <w:t>1</w:t>
      </w:r>
      <w:r w:rsidR="002E3C11">
        <w:t>,…</w:t>
      </w:r>
      <w:proofErr w:type="gramEnd"/>
      <w:r w:rsidR="002E3C11">
        <w:t xml:space="preserve">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proofErr w:type="gramStart"/>
      <w:r w:rsidR="00BD1414" w:rsidRPr="00F91ED8">
        <w:rPr>
          <w:i/>
          <w:iCs/>
        </w:rPr>
        <w:t>f</w:t>
      </w:r>
      <w:r w:rsidR="00BD1414">
        <w:t>(</w:t>
      </w:r>
      <w:proofErr w:type="gramEnd"/>
      <w:r w:rsidR="00BD1414">
        <w:t xml:space="preserve">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proofErr w:type="gramStart"/>
      <w:r>
        <w:t>variable</w:t>
      </w:r>
      <w:proofErr w:type="gramEnd"/>
      <w:r>
        <w:t xml:space="preserve">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66FA3F32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proofErr w:type="gramStart"/>
      <w:r w:rsidR="002F0B37">
        <w:rPr>
          <w:rFonts w:cs="Times New Roman"/>
        </w:rPr>
        <w:t>Σ</w:t>
      </w:r>
      <w:r w:rsidR="002F0B37">
        <w:t>(</w:t>
      </w:r>
      <w:proofErr w:type="gramEnd"/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proofErr w:type="gramStart"/>
      <w:r w:rsidR="00A17621">
        <w:rPr>
          <w:rFonts w:cs="Times New Roman"/>
        </w:rPr>
        <w:t>Σ</w:t>
      </w:r>
      <w:r w:rsidR="00A17621">
        <w:t>(</w:t>
      </w:r>
      <w:proofErr w:type="gramEnd"/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proofErr w:type="gramStart"/>
      <w:r w:rsidR="00CB5218" w:rsidRPr="00433771">
        <w:rPr>
          <w:vertAlign w:val="subscript"/>
        </w:rPr>
        <w:t>2</w:t>
      </w:r>
      <w:r w:rsidR="00CB5218">
        <w:t>,…</w:t>
      </w:r>
      <w:proofErr w:type="gramEnd"/>
      <w:r w:rsidR="00CB5218">
        <w:t xml:space="preserve">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proofErr w:type="gramStart"/>
      <w:r w:rsidR="005740F7">
        <w:rPr>
          <w:rFonts w:cs="Times New Roman"/>
        </w:rPr>
        <w:t>Σ</w:t>
      </w:r>
      <w:r w:rsidR="005740F7">
        <w:t>(</w:t>
      </w:r>
      <w:proofErr w:type="gramEnd"/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</w:t>
      </w:r>
      <w:proofErr w:type="gramStart"/>
      <w:r w:rsidR="00426BE0">
        <w:t>interesting</w:t>
      </w:r>
      <w:proofErr w:type="gramEnd"/>
      <w:r w:rsidR="00426BE0">
        <w:t xml:space="preserve">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proofErr w:type="gramStart"/>
      <w:r w:rsidR="004D249B" w:rsidRPr="00B42236">
        <w:rPr>
          <w:rFonts w:cs="Times New Roman"/>
          <w:i/>
          <w:iCs/>
        </w:rPr>
        <w:t>μ</w:t>
      </w:r>
      <w:r w:rsidR="004D249B">
        <w:t>(</w:t>
      </w:r>
      <w:proofErr w:type="gramEnd"/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5B0E02A0" w:rsidR="002A7CE2" w:rsidRPr="00BB4EB3" w:rsidRDefault="00D724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proofErr w:type="gramStart"/>
      <w:r w:rsidR="0045170C" w:rsidRPr="00B42236">
        <w:rPr>
          <w:rFonts w:cs="Times New Roman"/>
          <w:i/>
          <w:iCs/>
        </w:rPr>
        <w:t>μ</w:t>
      </w:r>
      <w:r w:rsidR="0045170C">
        <w:t>(</w:t>
      </w:r>
      <w:proofErr w:type="gramEnd"/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DF79C1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66908F3F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</w:t>
      </w:r>
      <w:r w:rsidR="009E7CDD">
        <w:t xml:space="preserve">recurrently </w:t>
      </w:r>
      <w:r w:rsidR="007A2706">
        <w:t xml:space="preserve">determined by previously known </w:t>
      </w:r>
      <w:proofErr w:type="gramStart"/>
      <w:r w:rsidR="007A2706" w:rsidRPr="00030B21">
        <w:rPr>
          <w:rFonts w:cs="Times New Roman"/>
          <w:i/>
          <w:iCs/>
        </w:rPr>
        <w:t>μ</w:t>
      </w:r>
      <w:r w:rsidR="007A2706">
        <w:t>(</w:t>
      </w:r>
      <w:proofErr w:type="gramEnd"/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0D6AC4B5" w14:textId="14A35628" w:rsidR="00A90DF0" w:rsidRDefault="00A90DF0" w:rsidP="003156AE">
      <w:pPr>
        <w:ind w:firstLine="360"/>
      </w:pPr>
      <w:r>
        <w:t xml:space="preserve">In the most general case when random variable (random process) </w:t>
      </w:r>
      <w:r w:rsidRPr="00A90DF0">
        <w:rPr>
          <w:b/>
          <w:bCs/>
          <w:i/>
          <w:iCs/>
        </w:rPr>
        <w:t>Y</w:t>
      </w:r>
      <w:r>
        <w:t xml:space="preserve"> is </w:t>
      </w:r>
      <w:r w:rsidR="00347369">
        <w:t>associated</w:t>
      </w:r>
      <w:r>
        <w:t xml:space="preserve"> with a random error whose mean and variance are 0 and </w:t>
      </w:r>
      <w:r w:rsidR="00347369" w:rsidRPr="00347369">
        <w:rPr>
          <w:rFonts w:cs="Times New Roman"/>
          <w:i/>
          <w:iCs/>
        </w:rPr>
        <w:t>δ</w:t>
      </w:r>
      <w:r w:rsidR="00347369" w:rsidRPr="00347369">
        <w:rPr>
          <w:rFonts w:cs="Times New Roman"/>
          <w:vertAlign w:val="superscript"/>
        </w:rPr>
        <w:t>2</w:t>
      </w:r>
      <w:r w:rsidR="00347369">
        <w:t xml:space="preserve">, respectively </w:t>
      </w:r>
      <w:r>
        <w:t xml:space="preserve">with assumption that all </w:t>
      </w:r>
      <w:r w:rsidRPr="00347369">
        <w:rPr>
          <w:i/>
          <w:iCs/>
        </w:rPr>
        <w:t>Y</w:t>
      </w:r>
      <w:r w:rsidRPr="00347369">
        <w:rPr>
          <w:i/>
          <w:iCs/>
          <w:vertAlign w:val="subscript"/>
        </w:rPr>
        <w:t>i</w:t>
      </w:r>
      <w:r>
        <w:t xml:space="preserve"> belonging to </w:t>
      </w:r>
      <w:r w:rsidRPr="00347369">
        <w:rPr>
          <w:b/>
          <w:bCs/>
          <w:i/>
          <w:iCs/>
        </w:rPr>
        <w:t>Y</w:t>
      </w:r>
      <w:r>
        <w:t xml:space="preserve"> </w:t>
      </w:r>
      <w:r w:rsidR="00F746B9">
        <w:t>issue</w:t>
      </w:r>
      <w:r>
        <w:t xml:space="preserve"> </w:t>
      </w:r>
      <w:r w:rsidR="00F746B9">
        <w:t xml:space="preserve">noises </w:t>
      </w:r>
      <w:sdt>
        <w:sdtPr>
          <w:id w:val="-994410991"/>
          <w:citation/>
        </w:sdtPr>
        <w:sdtContent>
          <w:r w:rsidR="00763617">
            <w:fldChar w:fldCharType="begin"/>
          </w:r>
          <w:r w:rsidR="00763617">
            <w:instrText xml:space="preserve">CITATION Wang22BO \p 11 \l 1033 </w:instrText>
          </w:r>
          <w:r w:rsidR="00763617">
            <w:fldChar w:fldCharType="separate"/>
          </w:r>
          <w:r w:rsidR="00763617">
            <w:rPr>
              <w:noProof/>
            </w:rPr>
            <w:t>(Wang, 2022, p. 11)</w:t>
          </w:r>
          <w:r w:rsidR="00763617">
            <w:fldChar w:fldCharType="end"/>
          </w:r>
        </w:sdtContent>
      </w:sdt>
      <w:r w:rsidR="00763617">
        <w:t xml:space="preserve"> </w:t>
      </w:r>
      <w:r w:rsidR="00F746B9">
        <w:t>which obey the same error distribution</w:t>
      </w:r>
      <w:r>
        <w:t>.</w:t>
      </w:r>
      <w:r w:rsidR="00347369">
        <w:t xml:space="preserve"> Therefore, </w:t>
      </w:r>
      <w:r w:rsidR="00395567">
        <w:t xml:space="preserve">the prior PDF of </w:t>
      </w:r>
      <w:r w:rsidR="00395567" w:rsidRPr="00356CF5">
        <w:rPr>
          <w:b/>
          <w:bCs/>
          <w:i/>
          <w:iCs/>
        </w:rPr>
        <w:t>Y</w:t>
      </w:r>
      <w:r w:rsidR="00395567">
        <w:t xml:space="preserve"> = (</w:t>
      </w:r>
      <w:r w:rsidR="00395567">
        <w:rPr>
          <w:i/>
          <w:iCs/>
        </w:rPr>
        <w:t>Y</w:t>
      </w:r>
      <w:r w:rsidR="00395567" w:rsidRPr="00433771">
        <w:rPr>
          <w:vertAlign w:val="subscript"/>
        </w:rPr>
        <w:t>1</w:t>
      </w:r>
      <w:r w:rsidR="00395567">
        <w:t xml:space="preserve">, </w:t>
      </w:r>
      <w:r w:rsidR="00395567">
        <w:rPr>
          <w:i/>
          <w:iCs/>
        </w:rPr>
        <w:t>Y</w:t>
      </w:r>
      <w:proofErr w:type="gramStart"/>
      <w:r w:rsidR="00395567" w:rsidRPr="00433771">
        <w:rPr>
          <w:vertAlign w:val="subscript"/>
        </w:rPr>
        <w:t>2</w:t>
      </w:r>
      <w:r w:rsidR="00395567">
        <w:t>,…</w:t>
      </w:r>
      <w:proofErr w:type="gramEnd"/>
      <w:r w:rsidR="00395567">
        <w:t xml:space="preserve">, </w:t>
      </w:r>
      <w:proofErr w:type="spellStart"/>
      <w:r w:rsidR="00395567">
        <w:rPr>
          <w:i/>
          <w:iCs/>
        </w:rPr>
        <w:t>Y</w:t>
      </w:r>
      <w:r w:rsidR="00395567" w:rsidRPr="00433771">
        <w:rPr>
          <w:i/>
          <w:iCs/>
          <w:vertAlign w:val="subscript"/>
        </w:rPr>
        <w:t>n</w:t>
      </w:r>
      <w:proofErr w:type="spellEnd"/>
      <w:r w:rsidR="00395567">
        <w:t>)</w:t>
      </w:r>
      <w:r w:rsidR="00395567" w:rsidRPr="00433771">
        <w:rPr>
          <w:i/>
          <w:iCs/>
          <w:vertAlign w:val="superscript"/>
        </w:rPr>
        <w:t>T</w:t>
      </w:r>
      <w:r w:rsidR="00395567">
        <w:t xml:space="preserve"> = </w:t>
      </w:r>
      <w:r w:rsidR="00395567" w:rsidRPr="0080696D">
        <w:rPr>
          <w:i/>
          <w:iCs/>
        </w:rPr>
        <w:t>f</w:t>
      </w:r>
      <w:r w:rsidR="00395567">
        <w:t>(</w:t>
      </w:r>
      <w:r w:rsidR="00395567" w:rsidRPr="0080696D">
        <w:rPr>
          <w:b/>
          <w:bCs/>
          <w:i/>
          <w:iCs/>
        </w:rPr>
        <w:t>X</w:t>
      </w:r>
      <w:r w:rsidR="00395567">
        <w:t xml:space="preserve">) given </w:t>
      </w:r>
      <w:r w:rsidR="00395567" w:rsidRPr="00356CF5">
        <w:rPr>
          <w:b/>
          <w:bCs/>
          <w:i/>
          <w:iCs/>
        </w:rPr>
        <w:t>X</w:t>
      </w:r>
      <w:r w:rsidR="00395567">
        <w:t xml:space="preserve"> is </w:t>
      </w:r>
      <w:r w:rsidR="00395567">
        <w:t>elaborated as follows</w:t>
      </w:r>
      <w:r w:rsidR="00246534">
        <w:t xml:space="preserve"> </w:t>
      </w:r>
      <w:sdt>
        <w:sdtPr>
          <w:id w:val="1951047873"/>
          <w:citation/>
        </w:sdtPr>
        <w:sdtContent>
          <w:r w:rsidR="00246534">
            <w:fldChar w:fldCharType="begin"/>
          </w:r>
          <w:r w:rsidR="00246534">
            <w:instrText xml:space="preserve">CITATION Bai23BO \p 6 \l 1033 </w:instrText>
          </w:r>
          <w:r w:rsidR="00246534">
            <w:fldChar w:fldCharType="separate"/>
          </w:r>
          <w:r w:rsidR="00246534">
            <w:rPr>
              <w:noProof/>
            </w:rPr>
            <w:t>(Bai, et al., 2023, p. 6)</w:t>
          </w:r>
          <w:r w:rsidR="00246534">
            <w:fldChar w:fldCharType="end"/>
          </w:r>
        </w:sdtContent>
      </w:sdt>
      <w:r w:rsidR="00395567">
        <w:t>:</w:t>
      </w:r>
    </w:p>
    <w:p w14:paraId="69A00013" w14:textId="43B86A16" w:rsidR="00A90DF0" w:rsidRPr="00395567" w:rsidRDefault="00A90DF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3DB4AA9E" w14:textId="2A13EBCE" w:rsidR="00395567" w:rsidRDefault="00395567">
      <w:r>
        <w:t xml:space="preserve">Where </w:t>
      </w:r>
      <w:r w:rsidRPr="00395567"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06116C59" w14:textId="552BA41B" w:rsidR="00395567" w:rsidRPr="00A90DF0" w:rsidRDefault="003F5DCF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F1185" w14:textId="500974EE" w:rsidR="00A90DF0" w:rsidRDefault="003156AE">
      <w:r>
        <w:t>So, m</w:t>
      </w:r>
      <w:r>
        <w:t xml:space="preserve">ean vector and covariance matrix of </w:t>
      </w:r>
      <w:r w:rsidRPr="00A17621">
        <w:rPr>
          <w:b/>
          <w:bCs/>
          <w:i/>
          <w:iCs/>
        </w:rPr>
        <w:t>Y</w:t>
      </w:r>
      <w:r>
        <w:t xml:space="preserve"> are </w:t>
      </w:r>
      <w:r w:rsidRPr="00A17621">
        <w:rPr>
          <w:rFonts w:cs="Times New Roman"/>
          <w:i/>
          <w:iCs/>
        </w:rPr>
        <w:t>μ</w:t>
      </w:r>
      <w:r>
        <w:t>(</w:t>
      </w:r>
      <w:r>
        <w:rPr>
          <w:b/>
          <w:bCs/>
          <w:i/>
          <w:iCs/>
        </w:rPr>
        <w:t>Y</w:t>
      </w:r>
      <w:r>
        <w:t xml:space="preserve">) and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A17621">
        <w:rPr>
          <w:b/>
          <w:bCs/>
          <w:i/>
          <w:iCs/>
        </w:rPr>
        <w:t>X</w:t>
      </w:r>
      <w:r>
        <w:t xml:space="preserve">, </w:t>
      </w:r>
      <w:r w:rsidRPr="00A17621">
        <w:rPr>
          <w:b/>
          <w:bCs/>
          <w:i/>
          <w:iCs/>
        </w:rPr>
        <w:t>X</w:t>
      </w:r>
      <w:r>
        <w:t>)</w:t>
      </w:r>
      <w:r>
        <w:t xml:space="preserve"> + </w:t>
      </w:r>
      <w:r w:rsidRPr="003156AE">
        <w:rPr>
          <w:rFonts w:cs="Times New Roman"/>
          <w:i/>
          <w:iCs/>
        </w:rPr>
        <w:t>δ</w:t>
      </w:r>
      <w:r w:rsidRPr="003156AE">
        <w:rPr>
          <w:vertAlign w:val="superscript"/>
        </w:rPr>
        <w:t>2</w:t>
      </w:r>
      <w:r w:rsidRPr="003156AE">
        <w:rPr>
          <w:i/>
          <w:iCs/>
        </w:rPr>
        <w:t>I</w:t>
      </w:r>
      <w:r>
        <w:t xml:space="preserve"> </w:t>
      </w:r>
      <w:r>
        <w:t xml:space="preserve">within the PDF </w:t>
      </w:r>
      <w:r w:rsidRPr="00D96D0D">
        <w:rPr>
          <w:i/>
          <w:iCs/>
        </w:rPr>
        <w:t>f</w:t>
      </w:r>
      <w:r>
        <w:t>(</w:t>
      </w:r>
      <w:r w:rsidRPr="00D96D0D">
        <w:rPr>
          <w:b/>
          <w:bCs/>
          <w:i/>
          <w:iCs/>
        </w:rPr>
        <w:t>Y</w:t>
      </w:r>
      <w:r>
        <w:t xml:space="preserve"> | </w:t>
      </w:r>
      <w:r w:rsidRPr="00D96D0D">
        <w:rPr>
          <w:b/>
          <w:bCs/>
          <w:i/>
          <w:iCs/>
        </w:rPr>
        <w:t>X</w:t>
      </w:r>
      <w:r>
        <w:t xml:space="preserve">, </w:t>
      </w:r>
      <w:r w:rsidRPr="00080878">
        <w:rPr>
          <w:rFonts w:cs="Times New Roman"/>
          <w:i/>
          <w:iCs/>
        </w:rPr>
        <w:t>μ</w:t>
      </w:r>
      <w:r>
        <w:t xml:space="preserve">(.), </w:t>
      </w:r>
      <w:r>
        <w:rPr>
          <w:rFonts w:cs="Times New Roman"/>
        </w:rPr>
        <w:t>Σ</w:t>
      </w:r>
      <w:r>
        <w:t>(.)), respectively.</w:t>
      </w:r>
      <w:r w:rsidR="00245049" w:rsidRPr="00245049">
        <w:t xml:space="preserve"> </w:t>
      </w:r>
      <w:r w:rsidR="00245049">
        <w:t xml:space="preserve">Consequently, the joint PDF of </w:t>
      </w:r>
      <w:r w:rsidR="00245049" w:rsidRPr="00846563">
        <w:rPr>
          <w:b/>
          <w:bCs/>
          <w:i/>
          <w:iCs/>
        </w:rPr>
        <w:t>Y</w:t>
      </w:r>
      <w:r w:rsidR="00245049">
        <w:t xml:space="preserve"> and </w:t>
      </w:r>
      <w:r w:rsidR="00245049" w:rsidRPr="00846563">
        <w:rPr>
          <w:b/>
          <w:bCs/>
          <w:i/>
          <w:iCs/>
        </w:rPr>
        <w:t>Y</w:t>
      </w:r>
      <w:r w:rsidR="00245049" w:rsidRPr="00846563">
        <w:rPr>
          <w:vertAlign w:val="superscript"/>
        </w:rPr>
        <w:t>*</w:t>
      </w:r>
      <w:r w:rsidR="00245049">
        <w:t xml:space="preserve"> </w:t>
      </w:r>
      <w:r w:rsidR="00245049">
        <w:t>is elaborated as follows</w:t>
      </w:r>
      <w:r w:rsidR="000C6CFA">
        <w:t xml:space="preserve"> </w:t>
      </w:r>
      <w:sdt>
        <w:sdtPr>
          <w:id w:val="1985745932"/>
          <w:citation/>
        </w:sdtPr>
        <w:sdtContent>
          <w:r w:rsidR="000C6CFA">
            <w:fldChar w:fldCharType="begin"/>
          </w:r>
          <w:r w:rsidR="000C6CFA">
            <w:instrText xml:space="preserve">CITATION Wang22BO \p 11 \l 1033 </w:instrText>
          </w:r>
          <w:r w:rsidR="000C6CFA">
            <w:fldChar w:fldCharType="separate"/>
          </w:r>
          <w:r w:rsidR="000C6CFA">
            <w:rPr>
              <w:noProof/>
            </w:rPr>
            <w:t>(Wang, 2022, p. 11)</w:t>
          </w:r>
          <w:r w:rsidR="000C6CFA">
            <w:fldChar w:fldCharType="end"/>
          </w:r>
        </w:sdtContent>
      </w:sdt>
      <w:r w:rsidR="00245049">
        <w:t>:</w:t>
      </w:r>
    </w:p>
    <w:p w14:paraId="55EDF90D" w14:textId="77A65178" w:rsidR="00245049" w:rsidRDefault="005F5E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05201738" w14:textId="3860082C" w:rsidR="00F746B9" w:rsidRDefault="00DD0725" w:rsidP="00F746B9">
      <w:r>
        <w:t>As a result</w:t>
      </w:r>
      <w:r w:rsidR="005F5E6F">
        <w:t xml:space="preserve">, </w:t>
      </w:r>
      <w:r w:rsidR="00F746B9">
        <w:t xml:space="preserve">mean vector </w:t>
      </w:r>
      <w:proofErr w:type="gramStart"/>
      <w:r w:rsidR="00F746B9" w:rsidRPr="00B42236">
        <w:rPr>
          <w:rFonts w:cs="Times New Roman"/>
          <w:i/>
          <w:iCs/>
        </w:rPr>
        <w:t>μ</w:t>
      </w:r>
      <w:r w:rsidR="00F746B9">
        <w:t>(</w:t>
      </w:r>
      <w:proofErr w:type="gramEnd"/>
      <w:r w:rsidR="00F746B9" w:rsidRPr="00B42236">
        <w:rPr>
          <w:b/>
          <w:bCs/>
          <w:i/>
          <w:iCs/>
        </w:rPr>
        <w:t>Y</w:t>
      </w:r>
      <w:r w:rsidR="00F746B9" w:rsidRPr="00B42236">
        <w:rPr>
          <w:vertAlign w:val="superscript"/>
        </w:rPr>
        <w:t>*</w:t>
      </w:r>
      <w:r w:rsidR="00F746B9">
        <w:t xml:space="preserve"> | </w:t>
      </w:r>
      <w:r w:rsidR="00F746B9" w:rsidRPr="00B42236">
        <w:rPr>
          <w:b/>
          <w:bCs/>
          <w:i/>
          <w:iCs/>
        </w:rPr>
        <w:t>Y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 w:rsidRPr="00B42236">
        <w:rPr>
          <w:vertAlign w:val="superscript"/>
        </w:rPr>
        <w:t>*</w:t>
      </w:r>
      <w:r w:rsidR="00F746B9">
        <w:t xml:space="preserve">) and covariance matrix </w:t>
      </w:r>
      <w:r w:rsidR="00F746B9">
        <w:rPr>
          <w:rFonts w:cs="Times New Roman"/>
        </w:rPr>
        <w:t>Σ</w:t>
      </w:r>
      <w:r w:rsidR="00F746B9">
        <w:t>(</w:t>
      </w:r>
      <w:r w:rsidR="00F746B9" w:rsidRPr="00B42236">
        <w:rPr>
          <w:b/>
          <w:bCs/>
          <w:i/>
          <w:iCs/>
        </w:rPr>
        <w:t>Y</w:t>
      </w:r>
      <w:r w:rsidR="00F746B9" w:rsidRPr="00B42236">
        <w:rPr>
          <w:vertAlign w:val="superscript"/>
        </w:rPr>
        <w:t>*</w:t>
      </w:r>
      <w:r w:rsidR="00F746B9">
        <w:t xml:space="preserve"> | </w:t>
      </w:r>
      <w:r w:rsidR="00F746B9" w:rsidRPr="00B42236">
        <w:rPr>
          <w:b/>
          <w:bCs/>
          <w:i/>
          <w:iCs/>
        </w:rPr>
        <w:t>X</w:t>
      </w:r>
      <w:r w:rsidR="00F746B9">
        <w:t xml:space="preserve">, </w:t>
      </w:r>
      <w:r w:rsidR="00F746B9" w:rsidRPr="00B42236">
        <w:rPr>
          <w:b/>
          <w:bCs/>
          <w:i/>
          <w:iCs/>
        </w:rPr>
        <w:t>X</w:t>
      </w:r>
      <w:r w:rsidR="00F746B9" w:rsidRPr="00B42236">
        <w:rPr>
          <w:vertAlign w:val="superscript"/>
        </w:rPr>
        <w:t>*</w:t>
      </w:r>
      <w:r w:rsidR="00F746B9">
        <w:t xml:space="preserve">) </w:t>
      </w:r>
      <w:r w:rsidR="00F746B9">
        <w:t xml:space="preserve">of </w:t>
      </w:r>
      <w:r w:rsidR="00F746B9">
        <w:t xml:space="preserve">GPR </w:t>
      </w:r>
      <w:r w:rsidR="00F746B9" w:rsidRPr="00D96D0D">
        <w:rPr>
          <w:i/>
          <w:iCs/>
        </w:rPr>
        <w:t>f</w:t>
      </w:r>
      <w:r w:rsidR="00F746B9">
        <w:t>(</w:t>
      </w:r>
      <w:r w:rsidR="00F746B9" w:rsidRPr="00D96D0D">
        <w:rPr>
          <w:b/>
          <w:bCs/>
          <w:i/>
          <w:iCs/>
        </w:rPr>
        <w:t>Y</w:t>
      </w:r>
      <w:r w:rsidR="00F746B9" w:rsidRPr="00D96D0D">
        <w:rPr>
          <w:vertAlign w:val="superscript"/>
        </w:rPr>
        <w:t>*</w:t>
      </w:r>
      <w:r w:rsidR="00F746B9">
        <w:t xml:space="preserve"> | </w:t>
      </w:r>
      <w:r w:rsidR="00F746B9" w:rsidRPr="00D96D0D">
        <w:rPr>
          <w:b/>
          <w:bCs/>
          <w:i/>
          <w:iCs/>
        </w:rPr>
        <w:t>Y</w:t>
      </w:r>
      <w:r w:rsidR="00F746B9">
        <w:t xml:space="preserve">, </w:t>
      </w:r>
      <w:r w:rsidR="00F746B9" w:rsidRPr="00D96D0D">
        <w:rPr>
          <w:b/>
          <w:bCs/>
          <w:i/>
          <w:iCs/>
        </w:rPr>
        <w:t>X</w:t>
      </w:r>
      <w:r w:rsidR="00F746B9">
        <w:t xml:space="preserve">, </w:t>
      </w:r>
      <w:r w:rsidR="00F746B9" w:rsidRPr="00D96D0D">
        <w:rPr>
          <w:b/>
          <w:bCs/>
          <w:i/>
          <w:iCs/>
        </w:rPr>
        <w:t>X</w:t>
      </w:r>
      <w:r w:rsidR="00F746B9" w:rsidRPr="00D96D0D">
        <w:rPr>
          <w:vertAlign w:val="superscript"/>
        </w:rPr>
        <w:t>*</w:t>
      </w:r>
      <w:r w:rsidR="00F746B9">
        <w:t xml:space="preserve">, </w:t>
      </w:r>
      <w:r w:rsidR="00F746B9" w:rsidRPr="00080878">
        <w:rPr>
          <w:rFonts w:cs="Times New Roman"/>
          <w:i/>
          <w:iCs/>
        </w:rPr>
        <w:t>μ</w:t>
      </w:r>
      <w:r w:rsidR="00F746B9">
        <w:t xml:space="preserve">(.), </w:t>
      </w:r>
      <w:r w:rsidR="00F746B9">
        <w:rPr>
          <w:rFonts w:cs="Times New Roman"/>
        </w:rPr>
        <w:t>Σ</w:t>
      </w:r>
      <w:r w:rsidR="00F746B9">
        <w:t>(.))</w:t>
      </w:r>
      <w:r w:rsidR="00F746B9">
        <w:t xml:space="preserve"> </w:t>
      </w:r>
      <w:r w:rsidR="00F746B9">
        <w:t>are: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796"/>
      </w:tblGrid>
      <w:tr w:rsidR="0052428D" w14:paraId="39EEDD28" w14:textId="77777777" w:rsidTr="000E2EFC">
        <w:tc>
          <w:tcPr>
            <w:tcW w:w="4845" w:type="pct"/>
          </w:tcPr>
          <w:p w14:paraId="510921AD" w14:textId="25063BCC" w:rsidR="0052428D" w:rsidRDefault="0052428D" w:rsidP="00CF36AB">
            <m:oMathPara>
              <m:oMath>
                <m:r>
                  <w:rPr>
                    <w:rFonts w:ascii="Cambria Math" w:hAnsi="Cambria Math"/>
                  </w:rPr>
                  <w:lastRenderedPageBreak/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665DDCDC" w14:textId="41BFA238" w:rsidR="0052428D" w:rsidRDefault="0052428D" w:rsidP="00CF36AB">
            <w:pPr>
              <w:jc w:val="right"/>
            </w:pPr>
            <w:r>
              <w:t>(</w:t>
            </w:r>
            <w:r w:rsidR="000E2EFC">
              <w:t>3.11</w:t>
            </w:r>
            <w:r>
              <w:t>)</w:t>
            </w:r>
          </w:p>
        </w:tc>
      </w:tr>
    </w:tbl>
    <w:p w14:paraId="2073698B" w14:textId="720E43B4" w:rsidR="00F746B9" w:rsidRPr="00BB4EB3" w:rsidRDefault="00F746B9" w:rsidP="00F746B9">
      <w:r>
        <w:t>The equation above is the most general formulation of GPR with occurrence of noise</w:t>
      </w:r>
      <w:r w:rsidR="00C46475">
        <w:t>s or errors</w:t>
      </w:r>
      <w:r>
        <w:t>.</w:t>
      </w:r>
      <w:r w:rsidR="00A5451C">
        <w:t xml:space="preserve"> However, we can ignore the </w:t>
      </w:r>
      <w:r w:rsidR="00E3687C">
        <w:t xml:space="preserve">error </w:t>
      </w:r>
      <w:r w:rsidR="00A5451C">
        <w:t xml:space="preserve">variance </w:t>
      </w:r>
      <w:r w:rsidR="00A5451C" w:rsidRPr="005D2B4C">
        <w:rPr>
          <w:rFonts w:cs="Times New Roman"/>
          <w:i/>
          <w:iCs/>
        </w:rPr>
        <w:t>δ</w:t>
      </w:r>
      <w:r w:rsidR="00A5451C" w:rsidRPr="005D2B4C">
        <w:rPr>
          <w:vertAlign w:val="superscript"/>
        </w:rPr>
        <w:t>2</w:t>
      </w:r>
      <w:r w:rsidR="00A5451C" w:rsidRPr="005D2B4C">
        <w:rPr>
          <w:i/>
          <w:iCs/>
        </w:rPr>
        <w:t>I</w:t>
      </w:r>
      <w:r w:rsidR="00A5451C">
        <w:t xml:space="preserve"> without loss of generality.</w:t>
      </w:r>
    </w:p>
    <w:p w14:paraId="6EADAA8D" w14:textId="0886FB79" w:rsidR="0065649B" w:rsidRDefault="001D0B51" w:rsidP="005A1E7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2590CA69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2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7C2C2E26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3</w:t>
            </w:r>
            <w:r>
              <w:t>)</w:t>
            </w:r>
          </w:p>
        </w:tc>
      </w:tr>
    </w:tbl>
    <w:p w14:paraId="7279EDB0" w14:textId="7DE4FB06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9E7CDD">
        <w:t xml:space="preserve">recurrently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4A8733D4" w:rsidR="00500429" w:rsidRDefault="00500429" w:rsidP="00606A60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4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1026A4F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</w:t>
      </w:r>
      <w:r w:rsidR="009E7CDD">
        <w:t xml:space="preserve">recurrently </w:t>
      </w:r>
      <w:r>
        <w:t xml:space="preserve">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proofErr w:type="spellStart"/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proofErr w:type="spellEnd"/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lastRenderedPageBreak/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proofErr w:type="spellEnd"/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proofErr w:type="spellStart"/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proofErr w:type="spellEnd"/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735B96C1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5</w:t>
            </w:r>
            <w:r>
              <w:t>)</w:t>
            </w:r>
          </w:p>
        </w:tc>
      </w:tr>
    </w:tbl>
    <w:p w14:paraId="00BD64B0" w14:textId="13393C2D" w:rsidR="00541394" w:rsidRDefault="007D24B3">
      <w:r>
        <w:lastRenderedPageBreak/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0B07C49C" w:rsidR="00AB3D03" w:rsidRDefault="00AB3D03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6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015ABAF1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7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50826A30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8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15527225" w:rsidR="006E7B0C" w:rsidRDefault="006E7B0C" w:rsidP="0051627A">
            <w:pPr>
              <w:jc w:val="right"/>
            </w:pPr>
            <w:r>
              <w:t>(</w:t>
            </w:r>
            <w:r w:rsidR="004C670B">
              <w:t>3.1</w:t>
            </w:r>
            <w:r w:rsidR="00763617">
              <w:t>9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lastRenderedPageBreak/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07A6FD36" w:rsidR="006E7B0C" w:rsidRDefault="006E7B0C" w:rsidP="0051627A">
            <w:pPr>
              <w:jc w:val="right"/>
            </w:pPr>
            <w:r>
              <w:t>(</w:t>
            </w:r>
            <w:r w:rsidR="004C670B">
              <w:t>3.</w:t>
            </w:r>
            <w:r w:rsidR="00763617">
              <w:t>20</w:t>
            </w:r>
            <w:r>
              <w:t>)</w:t>
            </w:r>
          </w:p>
        </w:tc>
      </w:tr>
    </w:tbl>
    <w:p w14:paraId="2BF02C12" w14:textId="02BB5B79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9E7CDD">
        <w:t>recurrently</w:t>
      </w:r>
      <w:r w:rsidR="00D85495">
        <w:t xml:space="preserve"> </w:t>
      </w:r>
      <w:r>
        <w:t xml:space="preserve">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proofErr w:type="spellStart"/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proofErr w:type="spellStart"/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proofErr w:type="spellEnd"/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proofErr w:type="spellStart"/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proofErr w:type="spellEnd"/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69FC21BC" w:rsidR="00B423A6" w:rsidRDefault="00B423A6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1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</w:t>
      </w:r>
      <w:proofErr w:type="spellStart"/>
      <w:r>
        <w:t>responsor</w:t>
      </w:r>
      <w:proofErr w:type="spellEnd"/>
      <w:r>
        <w:t xml:space="preserve">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53FFEACD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2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19526E09" w:rsidR="00B423A6" w:rsidRDefault="00B423A6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3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proofErr w:type="spellStart"/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proofErr w:type="spellEnd"/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5D2E0D6B" w:rsidR="006E7B0C" w:rsidRDefault="006E7B0C" w:rsidP="0051627A">
            <w:pPr>
              <w:jc w:val="right"/>
            </w:pPr>
            <w:r>
              <w:t>(</w:t>
            </w:r>
            <w:r w:rsidR="004C670B">
              <w:t>3.2</w:t>
            </w:r>
            <w:r w:rsidR="00763617">
              <w:t>4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instances of regressor </w:t>
      </w:r>
      <w:r w:rsidR="006B5DEF">
        <w:rPr>
          <w:i/>
          <w:iCs/>
        </w:rPr>
        <w:t>X</w:t>
      </w:r>
      <w:r>
        <w:t xml:space="preserve"> and </w:t>
      </w:r>
      <w:proofErr w:type="spellStart"/>
      <w:r>
        <w:t>responsor</w:t>
      </w:r>
      <w:proofErr w:type="spellEnd"/>
      <w:r>
        <w:t xml:space="preserve"> </w:t>
      </w:r>
      <w:r w:rsidR="006B5DEF">
        <w:rPr>
          <w:i/>
          <w:iCs/>
        </w:rPr>
        <w:t>Z</w:t>
      </w:r>
      <w:r>
        <w:t xml:space="preserve"> at the </w:t>
      </w:r>
      <w:proofErr w:type="spellStart"/>
      <w:r>
        <w:rPr>
          <w:i/>
          <w:iCs/>
        </w:rPr>
        <w:t>i</w:t>
      </w:r>
      <w:r>
        <w:rPr>
          <w:vertAlign w:val="superscript"/>
        </w:rPr>
        <w:t>th</w:t>
      </w:r>
      <w:proofErr w:type="spellEnd"/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 xml:space="preserve">the </w:t>
      </w:r>
      <w:r w:rsidR="00180CD3">
        <w:lastRenderedPageBreak/>
        <w:t>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056B9A6D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763617">
              <w:t>5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2BEF0F2D" w:rsidR="006E7B0C" w:rsidRDefault="006E7B0C" w:rsidP="0051627A">
            <w:pPr>
              <w:jc w:val="right"/>
            </w:pPr>
            <w:r>
              <w:t>(</w:t>
            </w:r>
            <w:r w:rsidR="0098181E">
              <w:t>3.2</w:t>
            </w:r>
            <w:r w:rsidR="00763617">
              <w:t>6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32820737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proofErr w:type="spellStart"/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proofErr w:type="spellEnd"/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5E39E7FB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62B464F7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</w:t>
      </w:r>
      <w:r w:rsidR="0096161A">
        <w:t>a</w:t>
      </w:r>
      <w:r>
        <w:t xml:space="preserve"> realistic mean which is </w:t>
      </w:r>
      <w:r w:rsidR="009E7CDD">
        <w:t>recurrently</w:t>
      </w:r>
      <w:r>
        <w:t xml:space="preserve"> determined by previously known </w:t>
      </w:r>
      <w:proofErr w:type="spellStart"/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proofErr w:type="spellEnd"/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proofErr w:type="spellEnd"/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proofErr w:type="spellStart"/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proofErr w:type="spellEnd"/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proofErr w:type="spellStart"/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proofErr w:type="spellStart"/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proofErr w:type="spellEnd"/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proofErr w:type="spellStart"/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proofErr w:type="spellEnd"/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proofErr w:type="spellStart"/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proofErr w:type="spellStart"/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proofErr w:type="spellStart"/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proofErr w:type="spellEnd"/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proofErr w:type="spellStart"/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}, we have </w:t>
      </w:r>
      <w:proofErr w:type="spellStart"/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proofErr w:type="spellStart"/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proofErr w:type="spellEnd"/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proofErr w:type="spellStart"/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proofErr w:type="spellEnd"/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proofErr w:type="spellStart"/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proofErr w:type="spellEnd"/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lastRenderedPageBreak/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6BCCD958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559CFD0A" w:rsidR="00542A52" w:rsidRPr="00FE4FFD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D479A69" w14:textId="7AA5679F" w:rsidR="00FE4FFD" w:rsidRPr="00FE4FFD" w:rsidRDefault="00FE4FFD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Let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3C92479F" w14:textId="76E3DC18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5531DA84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618E9B48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0C729778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6139E1AE" w:rsidR="00542A52" w:rsidRPr="002667BC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5D7C11D3" w14:textId="4B405004" w:rsidR="002667BC" w:rsidRPr="002667BC" w:rsidRDefault="002667BC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2C5C5368" w14:textId="38F609C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6CCEBBC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01CDC546" w14:textId="63713CBB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2FCC9AB0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3CBAD290" w14:textId="6396D249" w:rsidR="00571217" w:rsidRPr="0048587F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2E618460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>) is analytic function which is appropriate to analytic 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proofErr w:type="spellStart"/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proofErr w:type="spellEnd"/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 xml:space="preserve">. If covariance function </w:t>
      </w:r>
      <w:r w:rsidR="00A01130">
        <w:lastRenderedPageBreak/>
        <w:t>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proofErr w:type="spellStart"/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proofErr w:type="spellEnd"/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proofErr w:type="spellStart"/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proofErr w:type="spellEnd"/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proofErr w:type="spellStart"/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proofErr w:type="spellEnd"/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proofErr w:type="spellStart"/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proofErr w:type="spellStart"/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proofErr w:type="spellEnd"/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proofErr w:type="spellStart"/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proofErr w:type="spellEnd"/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63733DC2" w14:textId="6842D57D" w:rsidR="00902550" w:rsidRDefault="00C73268">
      <w:r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proofErr w:type="spellStart"/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proofErr w:type="spellEnd"/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96F57" w14:paraId="688BF4C4" w14:textId="77777777" w:rsidTr="00A2075D">
        <w:tc>
          <w:tcPr>
            <w:tcW w:w="4845" w:type="pct"/>
          </w:tcPr>
          <w:p w14:paraId="470E1A84" w14:textId="64C74321" w:rsidR="00596F57" w:rsidRDefault="00596F57" w:rsidP="00CF36AB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14:ligatures w14:val="standardContextua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14:ligatures w14:val="standardContextual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55" w:type="pct"/>
            <w:vAlign w:val="center"/>
          </w:tcPr>
          <w:p w14:paraId="031C1CDD" w14:textId="07106241" w:rsidR="00596F57" w:rsidRDefault="00596F57" w:rsidP="00CF36AB">
            <w:pPr>
              <w:jc w:val="right"/>
            </w:pPr>
            <w:r>
              <w:t>(</w:t>
            </w:r>
            <w:r>
              <w:t>4.9</w:t>
            </w:r>
            <w:r>
              <w:t>)</w:t>
            </w:r>
          </w:p>
        </w:tc>
      </w:tr>
    </w:tbl>
    <w:p w14:paraId="11792A38" w14:textId="0EFFE395" w:rsidR="009E79CB" w:rsidRDefault="00D36280">
      <w:r>
        <w:t xml:space="preserve">In turn, </w:t>
      </w:r>
      <w:r>
        <w:t xml:space="preserve">gradients of </w:t>
      </w:r>
      <w:proofErr w:type="spellStart"/>
      <w:r w:rsidRPr="00956E22">
        <w:rPr>
          <w:rFonts w:cs="Times New Roman"/>
          <w:i/>
          <w:iCs/>
        </w:rPr>
        <w:t>μ</w:t>
      </w:r>
      <w:r w:rsidRPr="00956E22">
        <w:rPr>
          <w:i/>
          <w:iCs/>
          <w:vertAlign w:val="subscript"/>
        </w:rPr>
        <w:t>n</w:t>
      </w:r>
      <w:proofErr w:type="spellEnd"/>
      <w:r>
        <w:t>(</w:t>
      </w:r>
      <w:r w:rsidRPr="00956E22">
        <w:rPr>
          <w:b/>
          <w:bCs/>
          <w:i/>
          <w:iCs/>
        </w:rPr>
        <w:t>x</w:t>
      </w:r>
      <w:r>
        <w:t xml:space="preserve">) and </w:t>
      </w:r>
      <w:r>
        <w:rPr>
          <w:rFonts w:cs="Times New Roman"/>
          <w:i/>
          <w:iCs/>
        </w:rPr>
        <w:t>σ</w:t>
      </w:r>
      <w:r w:rsidRPr="00956E22">
        <w:rPr>
          <w:i/>
          <w:iCs/>
          <w:vertAlign w:val="subscript"/>
        </w:rPr>
        <w:t>n</w:t>
      </w:r>
      <w:r w:rsidRPr="0032548A">
        <w:rPr>
          <w:vertAlign w:val="superscript"/>
        </w:rPr>
        <w:t>2</w:t>
      </w:r>
      <w:r>
        <w:t>(</w:t>
      </w:r>
      <w:r w:rsidRPr="00956E22">
        <w:rPr>
          <w:b/>
          <w:bCs/>
          <w:i/>
          <w:iCs/>
        </w:rPr>
        <w:t>x</w:t>
      </w:r>
      <w:r>
        <w:t>)</w:t>
      </w:r>
      <w:r>
        <w:t xml:space="preserve"> are based on derivative </w:t>
      </w:r>
      <w:r w:rsidR="00245477">
        <w:rPr>
          <w:rFonts w:cs="Times New Roman"/>
        </w:rPr>
        <w:t>Σ</w:t>
      </w:r>
      <w:proofErr w:type="gramStart"/>
      <w:r w:rsidR="00245477">
        <w:t>’(</w:t>
      </w:r>
      <w:proofErr w:type="gramEnd"/>
      <w:r w:rsidR="00245477" w:rsidRPr="004664A6">
        <w:rPr>
          <w:b/>
          <w:bCs/>
          <w:i/>
          <w:iCs/>
        </w:rPr>
        <w:t>x</w:t>
      </w:r>
      <w:r w:rsidR="00245477" w:rsidRPr="004D4BCF">
        <w:t>,</w:t>
      </w:r>
      <w:r w:rsidR="00245477" w:rsidRPr="004D4BCF">
        <w:rPr>
          <w:i/>
          <w:iCs/>
        </w:rPr>
        <w:t xml:space="preserve"> </w:t>
      </w:r>
      <w:r w:rsidR="00245477">
        <w:rPr>
          <w:b/>
          <w:bCs/>
          <w:i/>
          <w:iCs/>
        </w:rPr>
        <w:t>x</w:t>
      </w:r>
      <w:r w:rsidR="008E2231" w:rsidRPr="008E2231">
        <w:rPr>
          <w:i/>
          <w:iCs/>
          <w:vertAlign w:val="subscript"/>
        </w:rPr>
        <w:t>i</w:t>
      </w:r>
      <w:r w:rsidR="00245477">
        <w:t>)</w:t>
      </w:r>
      <w:r w:rsidR="00245477">
        <w:t xml:space="preserve"> </w:t>
      </w:r>
      <w:r>
        <w:t>of kernel function</w:t>
      </w:r>
      <w:r w:rsidR="006A2F0F">
        <w:t xml:space="preserve"> and so,</w:t>
      </w:r>
      <w:r w:rsidR="006A2F0F" w:rsidRPr="006A2F0F">
        <w:t xml:space="preserve"> </w:t>
      </w:r>
      <w:r w:rsidR="00D8726D">
        <w:t xml:space="preserve">differentiability </w:t>
      </w:r>
      <w:r w:rsidR="006A2F0F">
        <w:t xml:space="preserve">of </w:t>
      </w:r>
      <w:r w:rsidR="006A2F0F">
        <w:t>kernel function</w:t>
      </w:r>
      <w:r w:rsidR="006A2F0F">
        <w:t xml:space="preserve"> always asserts feasibility of </w:t>
      </w:r>
      <w:r w:rsidR="006A2F0F">
        <w:t>improvement approach</w:t>
      </w:r>
      <w:r w:rsidR="006A2F0F">
        <w:t>.</w:t>
      </w:r>
    </w:p>
    <w:p w14:paraId="65C47F8C" w14:textId="49F0A68C" w:rsidR="00E47574" w:rsidRDefault="00260B08" w:rsidP="00D36280">
      <w:pPr>
        <w:ind w:firstLine="360"/>
      </w:pPr>
      <w:r>
        <w:t>As aforementioned, optimization problem with BO is maximization problem by default. However</w:t>
      </w:r>
      <w:r>
        <w:t xml:space="preserve">, which one </w:t>
      </w:r>
      <w:r>
        <w:t>between</w:t>
      </w:r>
      <w:r>
        <w:t xml:space="preserve"> minimization and maximization can be determined by chang</w:t>
      </w:r>
      <w:r w:rsidR="00966A22">
        <w:t>ing</w:t>
      </w:r>
      <w:r>
        <w:t xml:space="preserve"> activation function a little bit in BO.</w:t>
      </w:r>
      <w:r>
        <w:t xml:space="preserve"> Exactly, BO minimization can be obtained by chang</w:t>
      </w:r>
      <w:r w:rsidR="007C25D8">
        <w:t>ing</w:t>
      </w:r>
      <w:r>
        <w:t xml:space="preserve"> the definition of improvement function </w:t>
      </w:r>
      <w:r w:rsidRPr="002072E5">
        <w:rPr>
          <w:i/>
          <w:iCs/>
        </w:rPr>
        <w:t>I</w:t>
      </w:r>
      <w:r>
        <w:t>(</w:t>
      </w:r>
      <w:r w:rsidRPr="002072E5">
        <w:rPr>
          <w:b/>
          <w:bCs/>
          <w:i/>
          <w:iCs/>
        </w:rPr>
        <w:t>x</w:t>
      </w:r>
      <w:r>
        <w:t>) a little bit.</w:t>
      </w:r>
      <w:r w:rsidR="00E47574">
        <w:t xml:space="preserve"> Concretely, </w:t>
      </w:r>
      <w:r w:rsidR="00563D69">
        <w:t xml:space="preserve">improvement function </w:t>
      </w:r>
      <w:r w:rsidR="00E47574">
        <w:t>for minimization is:</w:t>
      </w:r>
    </w:p>
    <w:p w14:paraId="14260DD1" w14:textId="59116E69" w:rsidR="00260B08" w:rsidRPr="00D756E7" w:rsidRDefault="00563D69" w:rsidP="00E47574">
      <w:pPr>
        <w:rPr>
          <w:rFonts w:ascii="TimesNewRomanPSMT" w:hAnsi="TimesNewRomanPSMT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421DAB1D" w14:textId="081776EF" w:rsidR="00D756E7" w:rsidRDefault="00D756E7" w:rsidP="00E47574">
      <w:pPr>
        <w:rPr>
          <w:rFonts w:ascii="TimesNewRomanPSMT" w:hAnsi="TimesNewRomanPSMT" w:hint="eastAsia"/>
          <w:color w:val="000000"/>
          <w:szCs w:val="24"/>
        </w:rPr>
      </w:pPr>
      <w:r>
        <w:rPr>
          <w:rFonts w:ascii="TimesNewRomanPSMT" w:hAnsi="TimesNewRomanPSMT"/>
        </w:rPr>
        <w:t xml:space="preserve">As a result, </w:t>
      </w:r>
      <w:r w:rsidR="00563D69">
        <w:rPr>
          <w:rFonts w:ascii="TimesNewRomanPSMT" w:hAnsi="TimesNewRomanPSMT"/>
        </w:rPr>
        <w:t xml:space="preserve">PI acquisition function and EI </w:t>
      </w:r>
      <w:r w:rsidR="00563D69">
        <w:rPr>
          <w:rFonts w:ascii="TimesNewRomanPSMT" w:hAnsi="TimesNewRomanPSMT"/>
        </w:rPr>
        <w:t>acquisition function</w:t>
      </w:r>
      <w:r w:rsidR="00563D69">
        <w:rPr>
          <w:rFonts w:ascii="TimesNewRomanPSMT" w:hAnsi="TimesNewRomanPSMT"/>
        </w:rPr>
        <w:t xml:space="preserve"> for minimization are:</w:t>
      </w:r>
    </w:p>
    <w:p w14:paraId="7B3904C7" w14:textId="30322300" w:rsidR="00563D69" w:rsidRPr="00966A22" w:rsidRDefault="00563D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4C7699FB" w14:textId="670507C8" w:rsidR="00966A22" w:rsidRDefault="00966A22">
      <w:r>
        <w:t xml:space="preserve">These </w:t>
      </w:r>
      <w:r>
        <w:rPr>
          <w:rFonts w:ascii="TimesNewRomanPSMT" w:hAnsi="TimesNewRomanPSMT"/>
        </w:rPr>
        <w:t>acquisition function</w:t>
      </w:r>
      <w:r>
        <w:rPr>
          <w:rFonts w:ascii="TimesNewRomanPSMT" w:hAnsi="TimesNewRomanPSMT"/>
        </w:rPr>
        <w:t xml:space="preserve">s are maximized locally by </w:t>
      </w:r>
      <w:r>
        <w:t xml:space="preserve">traditional methods like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as usual.</w:t>
      </w:r>
    </w:p>
    <w:p w14:paraId="379C0550" w14:textId="77777777" w:rsidR="00966A22" w:rsidRDefault="00966A22"/>
    <w:p w14:paraId="1AEC0936" w14:textId="32250A89" w:rsidR="00D84109" w:rsidRPr="00D84109" w:rsidRDefault="00AE0A60" w:rsidP="00437C77">
      <w:pPr>
        <w:pStyle w:val="Heading1"/>
      </w:pPr>
      <w:bookmarkStart w:id="9" w:name="_Toc132820738"/>
      <w:r>
        <w:t>5</w:t>
      </w:r>
      <w:r w:rsidR="00D84109" w:rsidRPr="00D84109">
        <w:t xml:space="preserve">. </w:t>
      </w:r>
      <w:r w:rsidR="00BB5FAB">
        <w:t>Discussions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proofErr w:type="spellStart"/>
      <w:r w:rsidR="00CD34D8">
        <w:t>its</w:t>
      </w:r>
      <w:proofErr w:type="spellEnd"/>
      <w:r w:rsidR="00CD34D8">
        <w:t xml:space="preserve">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</w:t>
      </w:r>
      <w:proofErr w:type="gramStart"/>
      <w:r w:rsidR="00F3637C">
        <w:t>effectiveness</w:t>
      </w:r>
      <w:proofErr w:type="gramEnd"/>
      <w:r w:rsidR="00F3637C">
        <w:t xml:space="preserve">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32820739"/>
      <w:r w:rsidRPr="00D84109">
        <w:t>References</w:t>
      </w:r>
      <w:bookmarkEnd w:id="10"/>
    </w:p>
    <w:p w14:paraId="2F282492" w14:textId="77777777" w:rsidR="0081498B" w:rsidRDefault="00882160" w:rsidP="0081498B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81498B">
        <w:rPr>
          <w:noProof/>
        </w:rPr>
        <w:t xml:space="preserve">Bai, T., Li, Y., Shen, Y., Zhang, X., Zhang, W., &amp; Cui, B. (2023, February 12). Transfer Learning for Bayesian Optimization: A Survey. </w:t>
      </w:r>
      <w:r w:rsidR="0081498B">
        <w:rPr>
          <w:i/>
          <w:iCs/>
          <w:noProof/>
        </w:rPr>
        <w:t>arXiv Preprint</w:t>
      </w:r>
      <w:r w:rsidR="0081498B">
        <w:rPr>
          <w:noProof/>
        </w:rPr>
        <w:t>. doi:10.48550/arXiv.2302.05927</w:t>
      </w:r>
    </w:p>
    <w:p w14:paraId="320FB0D6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Frazier, P. I. (2018, July 8). A Tutorial on Bayesian Optimization. </w:t>
      </w:r>
      <w:r>
        <w:rPr>
          <w:i/>
          <w:iCs/>
          <w:noProof/>
        </w:rPr>
        <w:t>arXiv</w:t>
      </w:r>
      <w:r>
        <w:rPr>
          <w:noProof/>
        </w:rPr>
        <w:t>. doi:10.48550/arXiv.1807.02811</w:t>
      </w:r>
    </w:p>
    <w:p w14:paraId="1EFFBEC6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54467687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2E3DEAE7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18697796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211D7CE7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034D615E" w14:textId="77777777" w:rsidR="0081498B" w:rsidRDefault="0081498B" w:rsidP="0081498B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81498B">
      <w:r>
        <w:lastRenderedPageBreak/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379CF710" w14:textId="1039D9CD" w:rsidR="00334807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20733" w:history="1">
            <w:r w:rsidR="00334807" w:rsidRPr="0048149C">
              <w:rPr>
                <w:rStyle w:val="Hyperlink"/>
                <w:noProof/>
              </w:rPr>
              <w:t>Abstract</w:t>
            </w:r>
            <w:r w:rsidR="00334807">
              <w:rPr>
                <w:noProof/>
                <w:webHidden/>
              </w:rPr>
              <w:tab/>
            </w:r>
            <w:r w:rsidR="00334807">
              <w:rPr>
                <w:noProof/>
                <w:webHidden/>
              </w:rPr>
              <w:fldChar w:fldCharType="begin"/>
            </w:r>
            <w:r w:rsidR="00334807">
              <w:rPr>
                <w:noProof/>
                <w:webHidden/>
              </w:rPr>
              <w:instrText xml:space="preserve"> PAGEREF _Toc132820733 \h </w:instrText>
            </w:r>
            <w:r w:rsidR="00334807">
              <w:rPr>
                <w:noProof/>
                <w:webHidden/>
              </w:rPr>
            </w:r>
            <w:r w:rsidR="00334807">
              <w:rPr>
                <w:noProof/>
                <w:webHidden/>
              </w:rPr>
              <w:fldChar w:fldCharType="separate"/>
            </w:r>
            <w:r w:rsidR="00334807">
              <w:rPr>
                <w:noProof/>
                <w:webHidden/>
              </w:rPr>
              <w:t>1</w:t>
            </w:r>
            <w:r w:rsidR="00334807">
              <w:rPr>
                <w:noProof/>
                <w:webHidden/>
              </w:rPr>
              <w:fldChar w:fldCharType="end"/>
            </w:r>
          </w:hyperlink>
        </w:p>
        <w:p w14:paraId="1BBEEC58" w14:textId="278BDD68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4" w:history="1">
            <w:r w:rsidRPr="0048149C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A30B" w14:textId="69A173F5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5" w:history="1">
            <w:r w:rsidRPr="0048149C">
              <w:rPr>
                <w:rStyle w:val="Hyperlink"/>
                <w:noProof/>
              </w:rPr>
              <w:t>2.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A3E1" w14:textId="2C695CC5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6" w:history="1">
            <w:r w:rsidRPr="0048149C">
              <w:rPr>
                <w:rStyle w:val="Hyperlink"/>
                <w:noProof/>
              </w:rPr>
              <w:t>3. Gaussian process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FC223" w14:textId="492BE0E1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7" w:history="1">
            <w:r w:rsidRPr="0048149C">
              <w:rPr>
                <w:rStyle w:val="Hyperlink"/>
                <w:noProof/>
              </w:rPr>
              <w:t>4.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728E" w14:textId="5D8AEDD2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8" w:history="1">
            <w:r w:rsidRPr="0048149C">
              <w:rPr>
                <w:rStyle w:val="Hyperlink"/>
                <w:noProof/>
              </w:rPr>
              <w:t>5.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BA7C" w14:textId="32BCA87E" w:rsidR="00334807" w:rsidRDefault="0033480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32820739" w:history="1">
            <w:r w:rsidRPr="0048149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557" w14:textId="0568D522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97B46" w14:textId="77777777" w:rsidR="007459AF" w:rsidRDefault="007459AF" w:rsidP="00CD2D4E">
      <w:r>
        <w:separator/>
      </w:r>
    </w:p>
  </w:endnote>
  <w:endnote w:type="continuationSeparator" w:id="0">
    <w:p w14:paraId="014EA56E" w14:textId="77777777" w:rsidR="007459AF" w:rsidRDefault="007459AF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E739" w14:textId="77777777" w:rsidR="007459AF" w:rsidRDefault="007459AF" w:rsidP="00CD2D4E">
      <w:r>
        <w:separator/>
      </w:r>
    </w:p>
  </w:footnote>
  <w:footnote w:type="continuationSeparator" w:id="0">
    <w:p w14:paraId="7CAAE110" w14:textId="77777777" w:rsidR="007459AF" w:rsidRDefault="007459AF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14D6"/>
    <w:rsid w:val="00082120"/>
    <w:rsid w:val="000828DD"/>
    <w:rsid w:val="00082E50"/>
    <w:rsid w:val="0008477A"/>
    <w:rsid w:val="00086A99"/>
    <w:rsid w:val="0008704C"/>
    <w:rsid w:val="0008781E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6CFA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A70"/>
    <w:rsid w:val="000D5DF7"/>
    <w:rsid w:val="000D6E8F"/>
    <w:rsid w:val="000D734C"/>
    <w:rsid w:val="000D7355"/>
    <w:rsid w:val="000D75B3"/>
    <w:rsid w:val="000D7E1A"/>
    <w:rsid w:val="000E1D66"/>
    <w:rsid w:val="000E21A4"/>
    <w:rsid w:val="000E2EFC"/>
    <w:rsid w:val="000E3164"/>
    <w:rsid w:val="000E3A61"/>
    <w:rsid w:val="000E3D2A"/>
    <w:rsid w:val="000E5033"/>
    <w:rsid w:val="000E65A6"/>
    <w:rsid w:val="000E6C5C"/>
    <w:rsid w:val="000F045A"/>
    <w:rsid w:val="000F0C47"/>
    <w:rsid w:val="000F0C77"/>
    <w:rsid w:val="000F1E7F"/>
    <w:rsid w:val="000F45EE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690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072E5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049"/>
    <w:rsid w:val="00245477"/>
    <w:rsid w:val="002457CC"/>
    <w:rsid w:val="00245F9D"/>
    <w:rsid w:val="00246534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0B08"/>
    <w:rsid w:val="0026144A"/>
    <w:rsid w:val="00261ABC"/>
    <w:rsid w:val="002644A2"/>
    <w:rsid w:val="002662FE"/>
    <w:rsid w:val="00266502"/>
    <w:rsid w:val="0026670F"/>
    <w:rsid w:val="002667BC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668E"/>
    <w:rsid w:val="00286C67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56AE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4807"/>
    <w:rsid w:val="00337403"/>
    <w:rsid w:val="003408C6"/>
    <w:rsid w:val="00342642"/>
    <w:rsid w:val="003429CF"/>
    <w:rsid w:val="00342D28"/>
    <w:rsid w:val="00343C1C"/>
    <w:rsid w:val="003448E9"/>
    <w:rsid w:val="00344C1D"/>
    <w:rsid w:val="00347369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5CB"/>
    <w:rsid w:val="00394C23"/>
    <w:rsid w:val="00395567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1F8"/>
    <w:rsid w:val="003E22A7"/>
    <w:rsid w:val="003E25BF"/>
    <w:rsid w:val="003F0F3D"/>
    <w:rsid w:val="003F2168"/>
    <w:rsid w:val="003F33B4"/>
    <w:rsid w:val="003F4E25"/>
    <w:rsid w:val="003F5DCF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87F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5C1D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206A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191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428D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3D69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76E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96F57"/>
    <w:rsid w:val="005A00BA"/>
    <w:rsid w:val="005A15E0"/>
    <w:rsid w:val="005A1E7F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2B4C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5E6F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2F0F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713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59AF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617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0A3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A7170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5D8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498B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25A2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2BD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23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550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1753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6A22"/>
    <w:rsid w:val="00967116"/>
    <w:rsid w:val="00967E73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E7CDD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75D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451C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87284"/>
    <w:rsid w:val="00A903B3"/>
    <w:rsid w:val="00A90DF0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2C25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4EB3"/>
    <w:rsid w:val="00BB5B4E"/>
    <w:rsid w:val="00BB5FAB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475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2DA2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5750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6280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4C1"/>
    <w:rsid w:val="00D72A88"/>
    <w:rsid w:val="00D72DAC"/>
    <w:rsid w:val="00D73260"/>
    <w:rsid w:val="00D73D75"/>
    <w:rsid w:val="00D74F5D"/>
    <w:rsid w:val="00D75534"/>
    <w:rsid w:val="00D756E7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26D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0725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DF79C1"/>
    <w:rsid w:val="00E0046D"/>
    <w:rsid w:val="00E00B4E"/>
    <w:rsid w:val="00E015BF"/>
    <w:rsid w:val="00E019F6"/>
    <w:rsid w:val="00E026C5"/>
    <w:rsid w:val="00E0378F"/>
    <w:rsid w:val="00E03D26"/>
    <w:rsid w:val="00E0512B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38C3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687C"/>
    <w:rsid w:val="00E36DEE"/>
    <w:rsid w:val="00E37945"/>
    <w:rsid w:val="00E41BD4"/>
    <w:rsid w:val="00E428A0"/>
    <w:rsid w:val="00E45617"/>
    <w:rsid w:val="00E45F95"/>
    <w:rsid w:val="00E45FE0"/>
    <w:rsid w:val="00E465B9"/>
    <w:rsid w:val="00E47574"/>
    <w:rsid w:val="00E478C8"/>
    <w:rsid w:val="00E50A5B"/>
    <w:rsid w:val="00E50CF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27CC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B9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521E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4FFD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424A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2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4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5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3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6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8</b:RefOrder>
  </b:Source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Bai23BO</b:Tag>
    <b:SourceType>JournalArticle</b:SourceType>
    <b:Guid>{24FBE98E-8B3B-42DA-B9CA-2370EDB8ACAD}</b:Guid>
    <b:Title>Transfer Learning for Bayesian Optimization: A Survey</b:Title>
    <b:Year>2023</b:Year>
    <b:URL>https://arxiv.org/abs/2302.05927</b:URL>
    <b:DOI>10.48550/arXiv.2302.05927</b:DOI>
    <b:JournalName>arXiv Preprint</b:JournalName>
    <b:Month>February</b:Month>
    <b:Day>12</b:Day>
    <b:Author>
      <b:Author>
        <b:NameList>
          <b:Person>
            <b:Last>Bai</b:Last>
            <b:First>Tianyi</b:First>
          </b:Person>
          <b:Person>
            <b:Last>Li</b:Last>
            <b:First>Yang</b:First>
          </b:Person>
          <b:Person>
            <b:Last>Shen</b:Last>
            <b:First>Yu</b:First>
          </b:Person>
          <b:Person>
            <b:Last>Zhang</b:Last>
            <b:First>Xinyi</b:First>
          </b:Person>
          <b:Person>
            <b:Last>Zhang</b:Last>
            <b:First>Wentao</b:First>
          </b:Person>
          <b:Person>
            <b:Last>Cui</b:Last>
            <b:First>Bin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739686E-41C3-4DD7-8217-75C8A8B31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4345</TotalTime>
  <Pages>25</Pages>
  <Words>10974</Words>
  <Characters>62557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1955</cp:revision>
  <dcterms:created xsi:type="dcterms:W3CDTF">2023-02-22T12:48:00Z</dcterms:created>
  <dcterms:modified xsi:type="dcterms:W3CDTF">2023-04-19T12:02:00Z</dcterms:modified>
</cp:coreProperties>
</file>