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r w:rsidR="00584EAF" w:rsidRPr="000C0A2F">
        <w:rPr>
          <w:vertAlign w:val="subscript"/>
        </w:rPr>
        <w:t>2</w:t>
      </w:r>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(FNN)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2,…,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r w:rsidR="00DD2BC3" w:rsidRPr="000C0A2F">
        <w:rPr>
          <w:vertAlign w:val="subscript"/>
        </w:rPr>
        <w:t>2</w:t>
      </w:r>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r w:rsidR="00EB1B3C" w:rsidRPr="000C0A2F">
        <w:rPr>
          <w:vertAlign w:val="subscript"/>
        </w:rPr>
        <w:t>2</w:t>
      </w:r>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DB2290"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r w:rsidR="00995D61" w:rsidRPr="003D1778">
        <w:rPr>
          <w:i/>
        </w:rPr>
        <w:t>f</w:t>
      </w:r>
      <w:r w:rsidR="00995D61">
        <w:t>(</w:t>
      </w:r>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r w:rsidR="000F2168" w:rsidRPr="003D1778">
        <w:rPr>
          <w:i/>
        </w:rPr>
        <w:t>f</w:t>
      </w:r>
      <w:r w:rsidR="000F2168">
        <w:t>(</w:t>
      </w:r>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r w:rsidR="006B463E" w:rsidRPr="006B463E">
        <w:rPr>
          <w:i/>
          <w:vertAlign w:val="superscript"/>
        </w:rPr>
        <w:t>T</w:t>
      </w:r>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2,…,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r w:rsidR="006B463E" w:rsidRPr="006B463E">
        <w:rPr>
          <w:i/>
          <w:vertAlign w:val="superscript"/>
        </w:rPr>
        <w:t>T</w:t>
      </w:r>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DB2290"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r w:rsidRPr="00FD53E9">
        <w:rPr>
          <w:i/>
        </w:rPr>
        <w:t>f</w:t>
      </w:r>
      <w:r>
        <w:t>(</w:t>
      </w:r>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r w:rsidR="006B463E" w:rsidRPr="006B463E">
        <w:rPr>
          <w:i/>
          <w:vertAlign w:val="superscript"/>
        </w:rPr>
        <w:t>T</w:t>
      </w:r>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r w:rsidRPr="003D1778">
        <w:rPr>
          <w:i/>
        </w:rPr>
        <w:t>f</w:t>
      </w:r>
      <w:r>
        <w:t>(</w:t>
      </w:r>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DB2290"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r w:rsidR="002E5AA0" w:rsidRPr="002E5AA0">
        <w:rPr>
          <w:i/>
          <w:vertAlign w:val="superscript"/>
        </w:rPr>
        <w:t>T</w:t>
      </w:r>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DB2290"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r w:rsidRPr="006E35A5">
        <w:rPr>
          <w:i/>
        </w:rPr>
        <w:t>f</w:t>
      </w:r>
      <w:r>
        <w:t>(</w:t>
      </w:r>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r w:rsidR="002E5AA0" w:rsidRPr="002E5AA0">
        <w:rPr>
          <w:i/>
          <w:vertAlign w:val="superscript"/>
        </w:rPr>
        <w:t>T</w:t>
      </w:r>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DB2290"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r w:rsidR="00A35935" w:rsidRPr="00A35935">
        <w:rPr>
          <w:vertAlign w:val="subscript"/>
        </w:rPr>
        <w:t>2</w:t>
      </w:r>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r w:rsidRPr="007E28DE">
        <w:rPr>
          <w:i/>
        </w:rPr>
        <w:t>P</w:t>
      </w:r>
      <w:r>
        <w:t>(</w:t>
      </w:r>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r w:rsidRPr="007E28DE">
        <w:rPr>
          <w:i/>
        </w:rPr>
        <w:t>P</w:t>
      </w:r>
      <w:r>
        <w:t>(</w:t>
      </w:r>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DB2290"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r w:rsidRPr="007E28DE">
        <w:rPr>
          <w:i/>
        </w:rPr>
        <w:t>P</w:t>
      </w:r>
      <w:r>
        <w:t>(</w:t>
      </w:r>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DB2290"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r w:rsidRPr="007E28DE">
        <w:rPr>
          <w:i/>
        </w:rPr>
        <w:t>P</w:t>
      </w:r>
      <w:r>
        <w:t>(</w:t>
      </w:r>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DB2290"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DB2290"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DB2290"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DB2290"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r>
        <w:rPr>
          <w:i/>
        </w:rPr>
        <w:t>f</w:t>
      </w:r>
      <w:r>
        <w:t>(</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DB2290"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FNN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DB2290"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r w:rsidR="00F600EF" w:rsidRPr="00F600EF">
        <w:rPr>
          <w:i/>
        </w:rPr>
        <w:t>L</w:t>
      </w:r>
      <w:r w:rsidR="00F600EF">
        <w:t>(</w:t>
      </w:r>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r w:rsidR="007A73B7" w:rsidRPr="006830BF">
        <w:rPr>
          <w:vertAlign w:val="subscript"/>
        </w:rPr>
        <w:t>2</w:t>
      </w:r>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r w:rsidR="00EF71DE" w:rsidRPr="00673C2F">
        <w:rPr>
          <w:i/>
          <w:vertAlign w:val="superscript"/>
        </w:rPr>
        <w:t>T</w:t>
      </w:r>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0, 1)</w:t>
      </w:r>
      <w:r w:rsidR="0017674B" w:rsidRPr="006830BF">
        <w:rPr>
          <w:i/>
          <w:vertAlign w:val="superscript"/>
        </w:rPr>
        <w:t>T</w:t>
      </w:r>
      <w:r w:rsidR="0017674B">
        <w:t>.</w:t>
      </w:r>
      <w:r w:rsidR="009B0E2E">
        <w:t xml:space="preserve"> When </w:t>
      </w:r>
      <w:r w:rsidR="00896EB8">
        <w:t>SGD</w:t>
      </w:r>
      <w:r w:rsidR="009B0E2E">
        <w:t xml:space="preserve"> is applied into minimizing the cross-entropy, </w:t>
      </w:r>
      <w:r w:rsidR="006B0769">
        <w:t xml:space="preserve">partial </w:t>
      </w:r>
      <w:r w:rsidR="009B0E2E">
        <w:t xml:space="preserve">gradient of </w:t>
      </w:r>
      <w:r w:rsidR="009B0E2E" w:rsidRPr="00F600EF">
        <w:rPr>
          <w:i/>
        </w:rPr>
        <w:t>L</w:t>
      </w:r>
      <w:r w:rsidR="009B0E2E">
        <w:t>(</w:t>
      </w:r>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DB2290"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DB2290"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DB2290"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DB2290"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DB2290"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r w:rsidRPr="00F600EF">
        <w:rPr>
          <w:i/>
        </w:rPr>
        <w:t>L</w:t>
      </w:r>
      <w:r>
        <w:t>(</w:t>
      </w:r>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DB2290"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DB2290"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r w:rsidR="00932EDD" w:rsidRPr="00932EDD">
        <w:rPr>
          <w:vertAlign w:val="subscript"/>
        </w:rPr>
        <w:t>2</w:t>
      </w:r>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DB2290"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Let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DB2290"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DB2290"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DB2290"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DB2290"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DB2290"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DB2290"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r w:rsidR="00E56614">
        <w:t>LayerNorm</w:t>
      </w:r>
      <w:proofErr w:type="spellEnd"/>
      <w:r w:rsidR="00E56614">
        <w:t>(</w:t>
      </w:r>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 xml:space="preserve">Feedforward sublayer also called feedforward network (FNN)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r w:rsidR="009412EA" w:rsidRPr="009412EA">
        <w:rPr>
          <w:i/>
          <w:vertAlign w:val="superscript"/>
        </w:rPr>
        <w:t>T</w:t>
      </w:r>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DB2290"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574EB8" w:rsidRDefault="00574EB8" w:rsidP="00187B3C">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r w:rsidR="009412EA" w:rsidRPr="009412EA">
        <w:rPr>
          <w:i/>
          <w:vertAlign w:val="superscript"/>
        </w:rPr>
        <w:t>T</w:t>
      </w:r>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DB2290"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DB2290"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DB2290"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lastRenderedPageBreak/>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DB229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DB2290"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DB2290">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DB2290">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Of course, dimension of self-attention Attention(</w:t>
      </w:r>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example, given sentence “Jack is now asleep, because he is tired.”, the word “he” is </w:t>
      </w:r>
      <w:r w:rsidR="00F447A0">
        <w:t xml:space="preserve">strongly </w:t>
      </w:r>
      <w:r w:rsidR="00CE0612">
        <w:lastRenderedPageBreak/>
        <w:t>implied to the word “Jack” by self-attention of the word “he” although the word “he” is ambiguous.</w:t>
      </w:r>
      <w:r w:rsidR="00D04154">
        <w:t xml:space="preserve"> Following figure </w:t>
      </w:r>
      <w:sdt>
        <w:sdtPr>
          <w:id w:val="1877508498"/>
          <w:citation/>
        </w:sdt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DB229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are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DB2290"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r w:rsidR="00F1622E" w:rsidRPr="00F1622E">
        <w:rPr>
          <w:i/>
          <w:vertAlign w:val="superscript"/>
        </w:rPr>
        <w:t>T</w:t>
      </w:r>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r w:rsidR="00607395">
        <w:rPr>
          <w:vertAlign w:val="subscript"/>
        </w:rPr>
        <w:t>2</w:t>
      </w:r>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DB2290"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DB2290"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DB2290"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DB2290"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DB2290"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Following figure depicts Attention(</w:t>
      </w:r>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Attention(</w:t>
      </w:r>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DB2290"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r w:rsidR="003F7339">
        <w:t>MultiheadAttention</w:t>
      </w:r>
      <w:proofErr w:type="spellEnd"/>
      <w:r w:rsidR="003F7339">
        <w:t>(</w:t>
      </w:r>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r w:rsidR="00CC2194" w:rsidRPr="00CC2194">
        <w:rPr>
          <w:vertAlign w:val="subscript"/>
        </w:rPr>
        <w:t>2</w:t>
      </w:r>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xml:space="preserve">. The mapping is implemented by a feedforward network (FNN) called linear component in literature </w:t>
      </w:r>
      <w:sdt>
        <w:sdtPr>
          <w:id w:val="-1474286828"/>
          <w:citation/>
        </w:sdt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FNN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DB2290">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r w:rsidRPr="00F600EF">
        <w:rPr>
          <w:i/>
        </w:rPr>
        <w:t>L</w:t>
      </w:r>
      <w:r>
        <w:t>(</w:t>
      </w:r>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r w:rsidRPr="006830BF">
        <w:rPr>
          <w:vertAlign w:val="subscript"/>
        </w:rPr>
        <w:t>2</w:t>
      </w:r>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r w:rsidRPr="00673C2F">
        <w:rPr>
          <w:i/>
          <w:vertAlign w:val="superscript"/>
        </w:rPr>
        <w:t>T</w:t>
      </w:r>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0, 1)</w:t>
      </w:r>
      <w:r w:rsidRPr="006830BF">
        <w:rPr>
          <w:i/>
          <w:vertAlign w:val="superscript"/>
        </w:rPr>
        <w:t>T</w:t>
      </w:r>
      <w:r>
        <w:t xml:space="preserve">. When SGD is applied into minimizing the cross-entropy, partial gradient of </w:t>
      </w:r>
      <w:r w:rsidRPr="00F600EF">
        <w:rPr>
          <w:i/>
        </w:rPr>
        <w:t>L</w:t>
      </w:r>
      <w:r>
        <w:t>(</w:t>
      </w:r>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DB2290"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DB2290"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DB2290"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DB2290"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DB2290"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r w:rsidRPr="00F600EF">
        <w:rPr>
          <w:i/>
        </w:rPr>
        <w:t>L</w:t>
      </w:r>
      <w:r>
        <w:t>(</w:t>
      </w:r>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DB2290"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r w:rsidRPr="00EF5FCE">
        <w:rPr>
          <w:i/>
          <w:vertAlign w:val="superscript"/>
        </w:rPr>
        <w:t>T</w:t>
      </w:r>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r w:rsidR="00F5368F" w:rsidRPr="00F5368F">
        <w:rPr>
          <w:b/>
        </w:rPr>
        <w:t>0</w:t>
      </w:r>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r>
        <w:t>)</w:t>
      </w:r>
      <w:r w:rsidRPr="00EF5FCE">
        <w:rPr>
          <w:i/>
          <w:vertAlign w:val="superscript"/>
        </w:rPr>
        <w:t>T</w:t>
      </w:r>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r w:rsidRPr="00EF5FCE">
        <w:rPr>
          <w:i/>
          <w:vertAlign w:val="superscript"/>
        </w:rPr>
        <w:t>T</w:t>
      </w:r>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r w:rsidRPr="000F420C">
        <w:rPr>
          <w:i/>
          <w:vertAlign w:val="superscript"/>
        </w:rPr>
        <w:t>T</w:t>
      </w:r>
      <w:r>
        <w:t>.</w:t>
      </w:r>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r w:rsidR="00C8002C" w:rsidRPr="000F420C">
        <w:rPr>
          <w:i/>
          <w:vertAlign w:val="superscript"/>
        </w:rPr>
        <w:t>T</w:t>
      </w:r>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r w:rsidR="00C8002C" w:rsidRPr="00C8002C">
        <w:t xml:space="preserve"> </w:t>
      </w:r>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C8002C">
        <w:t xml:space="preserve"> </w:t>
      </w:r>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DB2290"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r w:rsidR="0039080C" w:rsidRPr="0039080C">
        <w:rPr>
          <w:vertAlign w:val="subscript"/>
        </w:rPr>
        <w:t>1</w:t>
      </w:r>
      <w:r>
        <w:t>)</w:t>
      </w:r>
      <w:r w:rsidR="00714BC8" w:rsidRPr="00714BC8">
        <w:rPr>
          <w:i/>
          <w:vertAlign w:val="superscript"/>
        </w:rPr>
        <w:t>T</w:t>
      </w:r>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+1)</w:t>
      </w:r>
      <w:proofErr w:type="spellStart"/>
      <w:r w:rsidRPr="002D1479">
        <w:rPr>
          <w:vertAlign w:val="superscript"/>
        </w:rPr>
        <w:t>th</w:t>
      </w:r>
      <w:proofErr w:type="spell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DB2290"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DB2290"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r>
        <w:t>LayerNorm</w:t>
      </w:r>
      <w:proofErr w:type="spellEnd"/>
      <w:r>
        <w:t>(</w:t>
      </w:r>
      <w:r w:rsidRPr="00162C0E">
        <w:rPr>
          <w:b/>
          <w:i/>
        </w:rPr>
        <w:t>X</w:t>
      </w:r>
      <w:r>
        <w:t xml:space="preserve"> + Sublayer(</w:t>
      </w:r>
      <w:r w:rsidRPr="00162C0E">
        <w:rPr>
          <w:b/>
          <w:i/>
        </w:rPr>
        <w:t>X</w:t>
      </w:r>
      <w:r>
        <w:t>))</w:t>
      </w:r>
    </w:p>
    <w:p w:rsidR="00A1233A" w:rsidRDefault="00A1233A" w:rsidP="00A1233A">
      <w:pPr>
        <w:jc w:val="center"/>
      </w:pPr>
      <w:proofErr w:type="spellStart"/>
      <w:r>
        <w:t>LayerNorm</w:t>
      </w:r>
      <w:proofErr w:type="spellEnd"/>
      <w:r>
        <w:t>(</w:t>
      </w:r>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r w:rsidR="009C4420" w:rsidRPr="009C4420">
        <w:rPr>
          <w:vertAlign w:val="subscript"/>
        </w:rPr>
        <w:t>2</w:t>
      </w:r>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DB2290"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DB2290"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r w:rsidR="00F1622E" w:rsidRPr="00F1622E">
        <w:rPr>
          <w:i/>
          <w:vertAlign w:val="superscript"/>
        </w:rPr>
        <w:t>T</w:t>
      </w:r>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DB2290"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DB2290"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DB2290"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DB2290"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DB2290"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DB2290"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DB2290"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DB2290"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DB2290"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DB2290"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DB2290"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DB2290"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DB2290"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DB2290"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DB2290"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DB2290"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DB2290"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DB2290"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DB2290"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DB2290"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DB2290"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DB2290"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DB2290"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triple  of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DB2290"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DB2290"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DB2290"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DB2290"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DB2290"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DB2290"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DB2290"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DB2290"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DB2290"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DB2290"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DB2290"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DB2290"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DB2290"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DB2290"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DB2290"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DB2290"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DB2290"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DB2290"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DB2290"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DB2290"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DB2290"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DB2290"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DB2290"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DB2290"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DB2290"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DB2290"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re-trained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DB2290"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n+1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DB2290"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r w:rsidR="0034410C" w:rsidRPr="00066943">
        <w:rPr>
          <w:i/>
        </w:rPr>
        <w:t>P</w:t>
      </w:r>
      <w:r w:rsidR="0034410C">
        <w:t>(</w:t>
      </w:r>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r w:rsidR="00EF00BF" w:rsidRPr="00066943">
        <w:rPr>
          <w:vertAlign w:val="subscript"/>
        </w:rPr>
        <w:t>2</w:t>
      </w:r>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DB2290"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DB2290"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r w:rsidRPr="00066943">
        <w:rPr>
          <w:i/>
        </w:rPr>
        <w:t>P</w:t>
      </w:r>
      <w:r>
        <w:t>(</w:t>
      </w:r>
      <w:proofErr w:type="spellStart"/>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2,…,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r w:rsidR="006A786F" w:rsidRPr="006A786F">
        <w:rPr>
          <w:rFonts w:cs="Times New Roman"/>
          <w:i/>
        </w:rPr>
        <w:t>π</w:t>
      </w:r>
      <w:r w:rsidR="006A786F" w:rsidRPr="006A786F">
        <w:rPr>
          <w:rFonts w:cs="Times New Roman"/>
          <w:vertAlign w:val="subscript"/>
        </w:rPr>
        <w:t>Φ</w:t>
      </w:r>
      <w:r w:rsidR="006A786F">
        <w:t>(</w:t>
      </w:r>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r w:rsidR="0063781E" w:rsidRPr="006A786F">
        <w:rPr>
          <w:rFonts w:cs="Times New Roman"/>
          <w:i/>
        </w:rPr>
        <w:t>π</w:t>
      </w:r>
      <w:r w:rsidR="000B75B3">
        <w:rPr>
          <w:rFonts w:cs="Times New Roman"/>
          <w:vertAlign w:val="subscript"/>
        </w:rPr>
        <w:t>Θ</w:t>
      </w:r>
      <w:r w:rsidR="0063781E">
        <w:t>(</w:t>
      </w:r>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DB2290"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r w:rsidR="00614E32">
        <w:rPr>
          <w:rFonts w:cs="Times New Roman"/>
          <w:vertAlign w:val="subscript"/>
        </w:rPr>
        <w:t>Ψ</w:t>
      </w:r>
      <w:r w:rsidR="00614E32">
        <w:t>(</w:t>
      </w:r>
      <w:proofErr w:type="spellStart"/>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DB2290"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r w:rsidR="008A2601">
        <w:rPr>
          <w:i/>
        </w:rPr>
        <w:t>R</w:t>
      </w:r>
      <w:r w:rsidR="008A2601" w:rsidRPr="008A2601">
        <w:rPr>
          <w:i/>
          <w:vertAlign w:val="subscript"/>
        </w:rPr>
        <w:t>t</w:t>
      </w:r>
      <w:proofErr w:type="spellEnd"/>
      <w:r w:rsidR="000D1D85" w:rsidRPr="00660C57">
        <w:rPr>
          <w:vertAlign w:val="superscript"/>
        </w:rPr>
        <w:t>(</w:t>
      </w:r>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DB2290"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DB2290"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DB2290"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r w:rsidRPr="00DC690C">
        <w:rPr>
          <w:i/>
        </w:rPr>
        <w:t>A</w:t>
      </w:r>
      <w:r w:rsidRPr="006E3375">
        <w:rPr>
          <w:i/>
          <w:vertAlign w:val="subscript"/>
        </w:rPr>
        <w:t>t</w:t>
      </w:r>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r w:rsidR="00703846" w:rsidRPr="00DC690C">
        <w:rPr>
          <w:i/>
        </w:rPr>
        <w:t>A</w:t>
      </w:r>
      <w:r w:rsidR="00703846" w:rsidRPr="006E3375">
        <w:rPr>
          <w:i/>
          <w:vertAlign w:val="subscript"/>
        </w:rPr>
        <w:t>t</w:t>
      </w:r>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r w:rsidR="0032284B" w:rsidRPr="00DC690C">
        <w:rPr>
          <w:i/>
        </w:rPr>
        <w:t>A</w:t>
      </w:r>
      <w:r w:rsidR="0032284B" w:rsidRPr="006E3375">
        <w:rPr>
          <w:i/>
          <w:vertAlign w:val="subscript"/>
        </w:rPr>
        <w:t>t</w:t>
      </w:r>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r w:rsidR="0065469B" w:rsidRPr="00DC690C">
        <w:rPr>
          <w:i/>
        </w:rPr>
        <w:t>A</w:t>
      </w:r>
      <w:r w:rsidR="0065469B" w:rsidRPr="006E3375">
        <w:rPr>
          <w:i/>
          <w:vertAlign w:val="subscript"/>
        </w:rPr>
        <w:t>t</w:t>
      </w:r>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r w:rsidRPr="00DC690C">
        <w:rPr>
          <w:i/>
        </w:rPr>
        <w:t>A</w:t>
      </w:r>
      <w:r w:rsidRPr="006E3375">
        <w:rPr>
          <w:i/>
          <w:vertAlign w:val="subscript"/>
        </w:rPr>
        <w:t>t</w:t>
      </w:r>
      <w:r>
        <w:t xml:space="preserve"> is arbitrary so that, the longer the length is, the more accurate the advantage function is.</w:t>
      </w:r>
      <w:r w:rsidR="00CE6695">
        <w:t xml:space="preserve"> Please pay attention that advantage function </w:t>
      </w:r>
      <w:r w:rsidR="00CE6695" w:rsidRPr="00DC690C">
        <w:rPr>
          <w:i/>
        </w:rPr>
        <w:t>A</w:t>
      </w:r>
      <w:r w:rsidR="00CE6695" w:rsidRPr="006E3375">
        <w:rPr>
          <w:i/>
          <w:vertAlign w:val="subscript"/>
        </w:rPr>
        <w:t>t</w:t>
      </w:r>
      <w:r w:rsidR="00CE6695">
        <w:t xml:space="preserve"> is the cornerstone of PPO because it will be used later to train original transformer (policy).</w:t>
      </w:r>
      <w:r w:rsidR="0068418F">
        <w:t xml:space="preserve"> </w:t>
      </w:r>
      <w:r w:rsidR="00A04FCA">
        <w:t xml:space="preserve">In practice, </w:t>
      </w:r>
      <w:r w:rsidR="00A04FCA" w:rsidRPr="00A04FCA">
        <w:rPr>
          <w:i/>
        </w:rPr>
        <w:t>A</w:t>
      </w:r>
      <w:r w:rsidR="00A04FCA" w:rsidRPr="00A04FCA">
        <w:rPr>
          <w:i/>
          <w:vertAlign w:val="subscript"/>
        </w:rPr>
        <w:t>t</w:t>
      </w:r>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r w:rsidR="006711C5" w:rsidRPr="0032284B">
        <w:rPr>
          <w:rFonts w:cs="Times New Roman"/>
          <w:vertAlign w:val="subscript"/>
        </w:rPr>
        <w:t>Θ</w:t>
      </w:r>
      <w:proofErr w:type="spellEnd"/>
      <w:r w:rsidR="006711C5">
        <w:rPr>
          <w:rFonts w:cs="Times New Roman"/>
        </w:rPr>
        <w:t>(</w:t>
      </w:r>
      <w:proofErr w:type="spellStart"/>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DB2290"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r w:rsidRPr="00DC690C">
        <w:rPr>
          <w:i/>
        </w:rPr>
        <w:t>A</w:t>
      </w:r>
      <w:r w:rsidRPr="006E3375">
        <w:rPr>
          <w:i/>
          <w:vertAlign w:val="subscript"/>
        </w:rPr>
        <w:t>t</w:t>
      </w:r>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DB2290"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DB2290"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r w:rsidR="006B084A">
        <w:rPr>
          <w:rFonts w:cs="Times New Roman"/>
          <w:vertAlign w:val="subscript"/>
        </w:rPr>
        <w:t>Ψ</w:t>
      </w:r>
      <w:r w:rsidR="006B084A">
        <w:t>(</w:t>
      </w:r>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r w:rsidR="00FF793C" w:rsidRPr="006A786F">
        <w:rPr>
          <w:rFonts w:cs="Times New Roman"/>
          <w:i/>
        </w:rPr>
        <w:t>π</w:t>
      </w:r>
      <w:r w:rsidR="00FF793C">
        <w:rPr>
          <w:rFonts w:cs="Times New Roman"/>
          <w:vertAlign w:val="subscript"/>
        </w:rPr>
        <w:t>Θ</w:t>
      </w:r>
      <w:r w:rsidR="00FF793C">
        <w:t>(</w:t>
      </w:r>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r w:rsidR="003C755D">
        <w:rPr>
          <w:rFonts w:cs="Times New Roman"/>
          <w:vertAlign w:val="subscript"/>
        </w:rPr>
        <w:t>Ψ</w:t>
      </w:r>
      <w:r w:rsidR="003C755D">
        <w:t>(</w:t>
      </w:r>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r w:rsidR="00FF793C" w:rsidRPr="00DC690C">
        <w:rPr>
          <w:i/>
        </w:rPr>
        <w:t>A</w:t>
      </w:r>
      <w:r w:rsidR="00FF793C" w:rsidRPr="006E3375">
        <w:rPr>
          <w:i/>
          <w:vertAlign w:val="subscript"/>
        </w:rPr>
        <w:t>t</w:t>
      </w:r>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DB2290"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DB2290"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DB2290"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w:t>
      </w:r>
      <w:r>
        <w:t>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BE3473"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w:t>
      </w:r>
      <w:bookmarkStart w:id="0" w:name="_GoBack"/>
      <w:bookmarkEnd w:id="0"/>
      <w:r>
        <w:t xml:space="preserve">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I</w:t>
      </w:r>
      <w:r>
        <w:t xml:space="preserve">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w:t>
      </w:r>
      <w:r>
        <w:t>, we can denote:</w:t>
      </w:r>
    </w:p>
    <w:tbl>
      <w:tblPr>
        <w:tblStyle w:val="TableGrid"/>
        <w:tblW w:w="4995" w:type="pct"/>
        <w:tblLook w:val="04A0" w:firstRow="1" w:lastRow="0" w:firstColumn="1" w:lastColumn="0" w:noHBand="0" w:noVBand="1"/>
      </w:tblPr>
      <w:tblGrid>
        <w:gridCol w:w="8784"/>
        <w:gridCol w:w="557"/>
      </w:tblGrid>
      <w:tr w:rsidR="003D44EF" w:rsidTr="00887072">
        <w:tc>
          <w:tcPr>
            <w:tcW w:w="4702" w:type="pct"/>
          </w:tcPr>
          <w:p w:rsidR="003D44EF" w:rsidRDefault="003D44EF" w:rsidP="00887072">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887072">
            <w:pPr>
              <w:jc w:val="right"/>
            </w:pPr>
            <w:r>
              <w:t>(5.)</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DB2290"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w:t>
      </w:r>
      <w:r w:rsidR="007F0D18">
        <w:t xml:space="preserve"> </w:t>
      </w:r>
      <w:r w:rsidR="007F0D18">
        <w:t>is considered as SLM likelihood so as to be maximized for estimating SLM</w:t>
      </w:r>
      <w:r w:rsidR="007F0D18">
        <w:t xml:space="preserve">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Θ</w:t>
      </w:r>
      <w:r w:rsidR="007F0D18">
        <w:rPr>
          <w:rFonts w:cs="Times New Roman"/>
        </w:rPr>
        <w:t xml:space="preserve">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F0D18">
        <w:t>)</w:t>
      </w:r>
      <w:r w:rsidR="007F0D18">
        <w:t>.</w:t>
      </w:r>
    </w:p>
    <w:p w:rsidR="008C4574" w:rsidRPr="00DB2290" w:rsidRDefault="008C4574"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t>
                  </m:r>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B56D41" w:rsidRDefault="00B56D41" w:rsidP="00AE6CBE">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Look w:val="04A0" w:firstRow="1" w:lastRow="0" w:firstColumn="1" w:lastColumn="0" w:noHBand="0" w:noVBand="1"/>
      </w:tblPr>
      <w:tblGrid>
        <w:gridCol w:w="8785"/>
        <w:gridCol w:w="556"/>
      </w:tblGrid>
      <w:tr w:rsidR="00D8050D" w:rsidTr="00DB2290">
        <w:tc>
          <w:tcPr>
            <w:tcW w:w="4863" w:type="pct"/>
          </w:tcPr>
          <w:p w:rsidR="00D8050D" w:rsidRDefault="00DB2290"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Look w:val="04A0" w:firstRow="1" w:lastRow="0" w:firstColumn="1" w:lastColumn="0" w:noHBand="0" w:noVBand="1"/>
      </w:tblPr>
      <w:tblGrid>
        <w:gridCol w:w="8785"/>
        <w:gridCol w:w="556"/>
      </w:tblGrid>
      <w:tr w:rsidR="00B323D4" w:rsidTr="00DB2290">
        <w:tc>
          <w:tcPr>
            <w:tcW w:w="4863" w:type="pct"/>
          </w:tcPr>
          <w:p w:rsidR="00B323D4" w:rsidRDefault="00DB2290"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DB2290"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BC764C"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2A38AC">
        <w:t xml:space="preserve"> in training corpus. </w:t>
      </w:r>
      <w:r w:rsidR="00BC764C">
        <w:t>The 2-gram model specifies their parameters as follows:</w:t>
      </w:r>
    </w:p>
    <w:p w:rsidR="00BC764C" w:rsidRPr="0010624B" w:rsidRDefault="00DB2290"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BC764C" w:rsidRDefault="002A38AC" w:rsidP="00BC764C">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BC764C">
        <w:t>The 3-gram model specifies their parameters as follows:</w:t>
      </w:r>
    </w:p>
    <w:p w:rsidR="0010624B" w:rsidRDefault="00DB2290"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B36BBA">
        <w:t>In practice, 2-gram model and 3-gram model are most popular.</w:t>
      </w:r>
    </w:p>
    <w:p w:rsidR="00B36BBA" w:rsidRDefault="00B36BBA" w:rsidP="00A1233A"/>
    <w:p w:rsidR="002A38AC" w:rsidRPr="00DF55CC" w:rsidRDefault="002A38A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w:t>
      </w:r>
      <w:r>
        <w:lastRenderedPageBreak/>
        <w:t>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+1)</w:t>
      </w:r>
      <w:proofErr w:type="spellStart"/>
      <w:r w:rsidRPr="002D1479">
        <w:rPr>
          <w:vertAlign w:val="superscript"/>
        </w:rPr>
        <w:t>th</w:t>
      </w:r>
      <w:proofErr w:type="spell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DB2290"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DB2290"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w:lastRenderedPageBreak/>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r w:rsidR="00B50F20">
        <w:t>pos</w:t>
      </w:r>
      <w:proofErr w:type="spellEnd"/>
      <w:r w:rsidR="00B50F20">
        <w:t>(</w:t>
      </w:r>
      <w:proofErr w:type="spellStart"/>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PE(</w:t>
      </w:r>
      <w:proofErr w:type="spellStart"/>
      <w:r w:rsidRPr="00644FB9">
        <w:rPr>
          <w:i/>
        </w:rPr>
        <w:t>pos</w:t>
      </w:r>
      <w:proofErr w:type="spellEnd"/>
      <w:r>
        <w:t xml:space="preserve">, </w:t>
      </w:r>
      <w:r w:rsidRPr="00644FB9">
        <w:rPr>
          <w:i/>
        </w:rPr>
        <w:t>j</w:t>
      </w:r>
      <w:r>
        <w:t xml:space="preserve">) is aligned with the token position </w:t>
      </w:r>
      <w:r w:rsidRPr="00644FB9">
        <w:rPr>
          <w:i/>
        </w:rPr>
        <w:t>pos</w:t>
      </w:r>
      <w:r>
        <w:t>. In other words, the aim of PE in transformer is to make the dimension position PE(</w:t>
      </w:r>
      <w:proofErr w:type="spellStart"/>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DB2290"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dimension position PE(</w:t>
      </w:r>
      <w:proofErr w:type="spellStart"/>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It is necessary to prove that PE(</w:t>
      </w:r>
      <w:proofErr w:type="spellStart"/>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DB2290"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DB2290"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Which implies that the dimension position PE(</w:t>
      </w:r>
      <w:proofErr w:type="spellStart"/>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PE(</w:t>
      </w:r>
      <w:proofErr w:type="spellStart"/>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1 : 0”</w:t>
      </w:r>
      <w:r w:rsidR="00996982">
        <w:t xml:space="preserve"> returns 1 if the </w:t>
      </w:r>
      <w:r w:rsidR="00731143">
        <w:t>condition “condition”</w:t>
      </w:r>
      <w:r w:rsidR="00996982">
        <w:t xml:space="preserve"> is </w:t>
      </w:r>
      <w:r w:rsidR="00731143">
        <w:t>true</w:t>
      </w:r>
      <w:r w:rsidR="000E2A00">
        <w:t>, otherwise, the expression returns 0</w:t>
      </w:r>
      <w:r w:rsidR="00F70C40">
        <w:t>. 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lastRenderedPageBreak/>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DB2290"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DB2290"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DB2290"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DB2290"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that maps PE(</w:t>
      </w:r>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w:t>
      </w:r>
      <w:r>
        <w:lastRenderedPageBreak/>
        <w:t>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DB2290"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DB2290"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w:t>
      </w:r>
      <w:r>
        <w:lastRenderedPageBreak/>
        <w:t xml:space="preserve">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DB2290"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lastRenderedPageBreak/>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953" w:rsidRDefault="001F4953" w:rsidP="0077617D">
      <w:r>
        <w:separator/>
      </w:r>
    </w:p>
  </w:endnote>
  <w:endnote w:type="continuationSeparator" w:id="0">
    <w:p w:rsidR="001F4953" w:rsidRDefault="001F4953"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DB2290" w:rsidRDefault="00DB2290">
        <w:pPr>
          <w:pStyle w:val="Footer"/>
          <w:jc w:val="center"/>
        </w:pPr>
        <w:r>
          <w:fldChar w:fldCharType="begin"/>
        </w:r>
        <w:r>
          <w:instrText xml:space="preserve"> PAGE   \* MERGEFORMAT </w:instrText>
        </w:r>
        <w:r>
          <w:fldChar w:fldCharType="separate"/>
        </w:r>
        <w:r w:rsidR="001E3888">
          <w:rPr>
            <w:noProof/>
          </w:rPr>
          <w:t>49</w:t>
        </w:r>
        <w:r>
          <w:rPr>
            <w:noProof/>
          </w:rPr>
          <w:fldChar w:fldCharType="end"/>
        </w:r>
      </w:p>
    </w:sdtContent>
  </w:sdt>
  <w:p w:rsidR="00DB2290" w:rsidRDefault="00DB22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953" w:rsidRDefault="001F4953" w:rsidP="0077617D">
      <w:r>
        <w:separator/>
      </w:r>
    </w:p>
  </w:footnote>
  <w:footnote w:type="continuationSeparator" w:id="0">
    <w:p w:rsidR="001F4953" w:rsidRDefault="001F4953"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496E"/>
    <w:rsid w:val="000458BA"/>
    <w:rsid w:val="000473F0"/>
    <w:rsid w:val="0004767F"/>
    <w:rsid w:val="000518F9"/>
    <w:rsid w:val="00053C1A"/>
    <w:rsid w:val="0005489E"/>
    <w:rsid w:val="00055B59"/>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7EA2"/>
    <w:rsid w:val="001E1E11"/>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7E2A"/>
    <w:rsid w:val="002807A5"/>
    <w:rsid w:val="00282F88"/>
    <w:rsid w:val="00283426"/>
    <w:rsid w:val="0028510C"/>
    <w:rsid w:val="00286FC3"/>
    <w:rsid w:val="00287143"/>
    <w:rsid w:val="00293AD0"/>
    <w:rsid w:val="00294450"/>
    <w:rsid w:val="002961B4"/>
    <w:rsid w:val="002962B3"/>
    <w:rsid w:val="002977E4"/>
    <w:rsid w:val="002A079B"/>
    <w:rsid w:val="002A1233"/>
    <w:rsid w:val="002A1BB3"/>
    <w:rsid w:val="002A38AC"/>
    <w:rsid w:val="002A3A19"/>
    <w:rsid w:val="002A6924"/>
    <w:rsid w:val="002B0143"/>
    <w:rsid w:val="002B0DB2"/>
    <w:rsid w:val="002B311C"/>
    <w:rsid w:val="002B7D06"/>
    <w:rsid w:val="002B7D30"/>
    <w:rsid w:val="002C150A"/>
    <w:rsid w:val="002C1560"/>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532"/>
    <w:rsid w:val="002F268A"/>
    <w:rsid w:val="002F62C6"/>
    <w:rsid w:val="002F693E"/>
    <w:rsid w:val="002F7A49"/>
    <w:rsid w:val="0030542D"/>
    <w:rsid w:val="00306AE5"/>
    <w:rsid w:val="00306DD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941"/>
    <w:rsid w:val="003F48BA"/>
    <w:rsid w:val="003F5A54"/>
    <w:rsid w:val="003F7339"/>
    <w:rsid w:val="00400A3D"/>
    <w:rsid w:val="00400BC5"/>
    <w:rsid w:val="00402048"/>
    <w:rsid w:val="00404341"/>
    <w:rsid w:val="00405743"/>
    <w:rsid w:val="004057BD"/>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2ED"/>
    <w:rsid w:val="00461C26"/>
    <w:rsid w:val="00463AB9"/>
    <w:rsid w:val="004654C1"/>
    <w:rsid w:val="00465E6F"/>
    <w:rsid w:val="00467E3B"/>
    <w:rsid w:val="004700EB"/>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65ED"/>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47C5"/>
    <w:rsid w:val="00544D53"/>
    <w:rsid w:val="005453F1"/>
    <w:rsid w:val="0055116D"/>
    <w:rsid w:val="005511F5"/>
    <w:rsid w:val="0055150A"/>
    <w:rsid w:val="0055165C"/>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5FB"/>
    <w:rsid w:val="005F0920"/>
    <w:rsid w:val="005F26BB"/>
    <w:rsid w:val="005F27E8"/>
    <w:rsid w:val="005F2EAC"/>
    <w:rsid w:val="005F33E3"/>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1D53"/>
    <w:rsid w:val="00712A7B"/>
    <w:rsid w:val="0071320D"/>
    <w:rsid w:val="00713B0C"/>
    <w:rsid w:val="00714BC8"/>
    <w:rsid w:val="00714D9E"/>
    <w:rsid w:val="00715EA7"/>
    <w:rsid w:val="007165C7"/>
    <w:rsid w:val="00720A12"/>
    <w:rsid w:val="00721275"/>
    <w:rsid w:val="007218A7"/>
    <w:rsid w:val="00724F6A"/>
    <w:rsid w:val="00725036"/>
    <w:rsid w:val="00725F86"/>
    <w:rsid w:val="007266E8"/>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4FD6"/>
    <w:rsid w:val="0079799A"/>
    <w:rsid w:val="007A01C9"/>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E24"/>
    <w:rsid w:val="007F5557"/>
    <w:rsid w:val="007F5DA0"/>
    <w:rsid w:val="00802DE1"/>
    <w:rsid w:val="008042C2"/>
    <w:rsid w:val="0080536B"/>
    <w:rsid w:val="008066A5"/>
    <w:rsid w:val="00806B34"/>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711C3"/>
    <w:rsid w:val="0087254C"/>
    <w:rsid w:val="00872AF8"/>
    <w:rsid w:val="00873423"/>
    <w:rsid w:val="00874209"/>
    <w:rsid w:val="00874D50"/>
    <w:rsid w:val="00875F08"/>
    <w:rsid w:val="0087621D"/>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3C5D"/>
    <w:rsid w:val="008A6E99"/>
    <w:rsid w:val="008A7751"/>
    <w:rsid w:val="008B070A"/>
    <w:rsid w:val="008B20DC"/>
    <w:rsid w:val="008B34FC"/>
    <w:rsid w:val="008B3A4A"/>
    <w:rsid w:val="008B4C20"/>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4420"/>
    <w:rsid w:val="009C6E8D"/>
    <w:rsid w:val="009D0647"/>
    <w:rsid w:val="009D256D"/>
    <w:rsid w:val="009D312F"/>
    <w:rsid w:val="009D6491"/>
    <w:rsid w:val="009D679B"/>
    <w:rsid w:val="009E0976"/>
    <w:rsid w:val="009E10FC"/>
    <w:rsid w:val="009E1200"/>
    <w:rsid w:val="009E2E25"/>
    <w:rsid w:val="009E3152"/>
    <w:rsid w:val="009E345B"/>
    <w:rsid w:val="009E51B4"/>
    <w:rsid w:val="009F0D9F"/>
    <w:rsid w:val="009F21FE"/>
    <w:rsid w:val="009F2A2A"/>
    <w:rsid w:val="009F440E"/>
    <w:rsid w:val="009F4908"/>
    <w:rsid w:val="009F4E6B"/>
    <w:rsid w:val="009F5B89"/>
    <w:rsid w:val="009F5C7E"/>
    <w:rsid w:val="00A048A5"/>
    <w:rsid w:val="00A04FCA"/>
    <w:rsid w:val="00A07F40"/>
    <w:rsid w:val="00A10991"/>
    <w:rsid w:val="00A11F43"/>
    <w:rsid w:val="00A1233A"/>
    <w:rsid w:val="00A12CA2"/>
    <w:rsid w:val="00A1304D"/>
    <w:rsid w:val="00A17A37"/>
    <w:rsid w:val="00A17ED9"/>
    <w:rsid w:val="00A20571"/>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91809"/>
    <w:rsid w:val="00A92AF9"/>
    <w:rsid w:val="00A930D6"/>
    <w:rsid w:val="00A94721"/>
    <w:rsid w:val="00A95256"/>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771D"/>
    <w:rsid w:val="00AC029C"/>
    <w:rsid w:val="00AC102A"/>
    <w:rsid w:val="00AC20CA"/>
    <w:rsid w:val="00AC2AB2"/>
    <w:rsid w:val="00AC36F3"/>
    <w:rsid w:val="00AC3AF9"/>
    <w:rsid w:val="00AC6F1B"/>
    <w:rsid w:val="00AC7C80"/>
    <w:rsid w:val="00AD2B5E"/>
    <w:rsid w:val="00AD358F"/>
    <w:rsid w:val="00AD3EFC"/>
    <w:rsid w:val="00AD55D1"/>
    <w:rsid w:val="00AE1A80"/>
    <w:rsid w:val="00AE3F72"/>
    <w:rsid w:val="00AE41A3"/>
    <w:rsid w:val="00AE6CBE"/>
    <w:rsid w:val="00AE73F4"/>
    <w:rsid w:val="00AE7551"/>
    <w:rsid w:val="00AE7B41"/>
    <w:rsid w:val="00AE7E12"/>
    <w:rsid w:val="00AF2330"/>
    <w:rsid w:val="00AF34CB"/>
    <w:rsid w:val="00AF3A86"/>
    <w:rsid w:val="00AF4F6A"/>
    <w:rsid w:val="00AF673D"/>
    <w:rsid w:val="00B00EF1"/>
    <w:rsid w:val="00B039D7"/>
    <w:rsid w:val="00B03AA8"/>
    <w:rsid w:val="00B05771"/>
    <w:rsid w:val="00B071D1"/>
    <w:rsid w:val="00B07794"/>
    <w:rsid w:val="00B103FA"/>
    <w:rsid w:val="00B158BD"/>
    <w:rsid w:val="00B1616D"/>
    <w:rsid w:val="00B16D7B"/>
    <w:rsid w:val="00B17394"/>
    <w:rsid w:val="00B21F78"/>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293A"/>
    <w:rsid w:val="00B72FA3"/>
    <w:rsid w:val="00B741AB"/>
    <w:rsid w:val="00B743F6"/>
    <w:rsid w:val="00B75828"/>
    <w:rsid w:val="00B75CB3"/>
    <w:rsid w:val="00B77C98"/>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30FE9"/>
    <w:rsid w:val="00C314AB"/>
    <w:rsid w:val="00C335F2"/>
    <w:rsid w:val="00C36109"/>
    <w:rsid w:val="00C3707F"/>
    <w:rsid w:val="00C40490"/>
    <w:rsid w:val="00C44EC1"/>
    <w:rsid w:val="00C470B2"/>
    <w:rsid w:val="00C47E5A"/>
    <w:rsid w:val="00C51470"/>
    <w:rsid w:val="00C5395C"/>
    <w:rsid w:val="00C540E1"/>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9B6"/>
    <w:rsid w:val="00C94C8D"/>
    <w:rsid w:val="00C953CF"/>
    <w:rsid w:val="00C9576F"/>
    <w:rsid w:val="00CA05B5"/>
    <w:rsid w:val="00CA28C5"/>
    <w:rsid w:val="00CA3340"/>
    <w:rsid w:val="00CA36C9"/>
    <w:rsid w:val="00CA6BCF"/>
    <w:rsid w:val="00CA7F74"/>
    <w:rsid w:val="00CB021C"/>
    <w:rsid w:val="00CB1C4A"/>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4E66"/>
    <w:rsid w:val="00DC501E"/>
    <w:rsid w:val="00DC6424"/>
    <w:rsid w:val="00DC673E"/>
    <w:rsid w:val="00DC690C"/>
    <w:rsid w:val="00DC6ED6"/>
    <w:rsid w:val="00DC7B39"/>
    <w:rsid w:val="00DD06F3"/>
    <w:rsid w:val="00DD0A0E"/>
    <w:rsid w:val="00DD14EE"/>
    <w:rsid w:val="00DD2BC3"/>
    <w:rsid w:val="00DD313F"/>
    <w:rsid w:val="00DD4D0B"/>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520"/>
    <w:rsid w:val="00E32539"/>
    <w:rsid w:val="00E327AD"/>
    <w:rsid w:val="00E33DB1"/>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67C3"/>
    <w:rsid w:val="00E71E00"/>
    <w:rsid w:val="00E72410"/>
    <w:rsid w:val="00E72A4E"/>
    <w:rsid w:val="00E73AED"/>
    <w:rsid w:val="00E744CE"/>
    <w:rsid w:val="00E74D14"/>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E042C"/>
    <w:rsid w:val="00EE0881"/>
    <w:rsid w:val="00EE0BBB"/>
    <w:rsid w:val="00EE3F5D"/>
    <w:rsid w:val="00EE4AB4"/>
    <w:rsid w:val="00EE551A"/>
    <w:rsid w:val="00EF00BF"/>
    <w:rsid w:val="00EF10C8"/>
    <w:rsid w:val="00EF2A4D"/>
    <w:rsid w:val="00EF4852"/>
    <w:rsid w:val="00EF54E3"/>
    <w:rsid w:val="00EF5FCE"/>
    <w:rsid w:val="00EF71DE"/>
    <w:rsid w:val="00F009F4"/>
    <w:rsid w:val="00F00C02"/>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C18"/>
    <w:rsid w:val="00F70C40"/>
    <w:rsid w:val="00F70D30"/>
    <w:rsid w:val="00F73966"/>
    <w:rsid w:val="00F73A65"/>
    <w:rsid w:val="00F7532F"/>
    <w:rsid w:val="00F75B17"/>
    <w:rsid w:val="00F76ED0"/>
    <w:rsid w:val="00F7708B"/>
    <w:rsid w:val="00F77E22"/>
    <w:rsid w:val="00F80FBD"/>
    <w:rsid w:val="00F8302A"/>
    <w:rsid w:val="00F90392"/>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A3AE"/>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B6F8DB58-DDCB-4C42-B812-4BD41E6F7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8072</TotalTime>
  <Pages>56</Pages>
  <Words>21765</Words>
  <Characters>124067</Characters>
  <Application>Microsoft Office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1263</cp:revision>
  <dcterms:created xsi:type="dcterms:W3CDTF">2024-05-18T13:22:00Z</dcterms:created>
  <dcterms:modified xsi:type="dcterms:W3CDTF">2025-08-27T10:22:00Z</dcterms:modified>
</cp:coreProperties>
</file>