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455FBC" w:rsidRDefault="00455FBC" w:rsidP="00455FBC">
      <w:pPr>
        <w:jc w:val="center"/>
      </w:pPr>
      <w:r>
        <w:t>Shahid Naseem</w:t>
      </w:r>
    </w:p>
    <w:p w:rsidR="00455FBC" w:rsidRDefault="00455FBC" w:rsidP="00455FBC">
      <w:pPr>
        <w:jc w:val="center"/>
      </w:pPr>
      <w:proofErr w:type="spellStart"/>
      <w:r>
        <w:t>Bahauddin</w:t>
      </w:r>
      <w:proofErr w:type="spellEnd"/>
      <w:r>
        <w:t xml:space="preserve"> Zakariya University, Lahore, Pakistan</w:t>
      </w:r>
    </w:p>
    <w:p w:rsidR="00455FBC" w:rsidRDefault="00455FBC" w:rsidP="00455FBC"/>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rsidR="004A0465" w:rsidRPr="00CD1DE7" w:rsidRDefault="008B5423"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8B542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8B542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w:t>
      </w:r>
      <w:r w:rsidRPr="00CD1DE7">
        <w:rPr>
          <w:szCs w:val="26"/>
        </w:rPr>
        <w:lastRenderedPageBreak/>
        <w:t xml:space="preserve">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8B5423"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8B5423"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8B5423"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8B542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8B542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8B542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lastRenderedPageBreak/>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601212974"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601212975"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lastRenderedPageBreak/>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8B5423"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8B5423"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61469B">
      <w:pPr>
        <w:jc w:val="left"/>
      </w:pPr>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lastRenderedPageBreak/>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rsidR="00933CB9" w:rsidRDefault="002F6C4D"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rsidTr="008974BB">
        <w:trPr>
          <w:jc w:val="center"/>
        </w:trPr>
        <w:tc>
          <w:tcPr>
            <w:tcW w:w="0" w:type="auto"/>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8974BB">
        <w:trPr>
          <w:jc w:val="center"/>
        </w:trPr>
        <w:tc>
          <w:tcPr>
            <w:tcW w:w="0" w:type="auto"/>
          </w:tcPr>
          <w:p w:rsidR="00625053" w:rsidRDefault="00625053" w:rsidP="007359B9">
            <w:pPr>
              <w:jc w:val="left"/>
            </w:pPr>
            <w:r>
              <w:t>1, 1, 1</w:t>
            </w:r>
          </w:p>
        </w:tc>
        <w:tc>
          <w:tcPr>
            <w:tcW w:w="0" w:type="auto"/>
          </w:tcPr>
          <w:p w:rsidR="00625053" w:rsidRPr="00856F37" w:rsidRDefault="00625053" w:rsidP="007359B9">
            <w:pPr>
              <w:jc w:val="right"/>
            </w:pPr>
            <w:r w:rsidRPr="00856F37">
              <w:t>2/13</w:t>
            </w:r>
          </w:p>
        </w:tc>
      </w:tr>
      <w:tr w:rsidR="00625053" w:rsidTr="008974BB">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8974BB">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8974BB">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8974BB">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8974BB" w:rsidRDefault="008974BB" w:rsidP="008974BB">
      <w:pPr>
        <w:jc w:val="center"/>
      </w:pPr>
      <w:r w:rsidRPr="00BF178A">
        <w:rPr>
          <w:b/>
        </w:rPr>
        <w:t>Table 2.1.2.</w:t>
      </w:r>
      <w:r>
        <w:t xml:space="preserve"> </w:t>
      </w:r>
      <w:r>
        <w:t>J</w:t>
      </w:r>
      <w:r>
        <w:t xml:space="preserve">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rsidR="00BF178A" w:rsidRDefault="00BF178A" w:rsidP="00BF178A">
      <w:r>
        <w:t>From table 2.1.</w:t>
      </w:r>
      <w:r w:rsidR="008974BB">
        <w:t>3</w:t>
      </w:r>
      <w:r>
        <w:t xml:space="preserve">,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rsidR="00BF178A" w:rsidRDefault="00BF178A" w:rsidP="00BF178A">
      <w:pPr>
        <w:ind w:firstLine="360"/>
      </w:pPr>
      <w:r>
        <w:lastRenderedPageBreak/>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w:t>
      </w:r>
      <w:r w:rsidRPr="00237E09">
        <w:rPr>
          <w:u w:val="single"/>
        </w:rPr>
        <w:t>theorem 1.4</w:t>
      </w:r>
      <w:r>
        <w:t xml:space="preserve">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8974BB">
        <w:t>ying</w:t>
      </w:r>
      <w:r w:rsidR="00A740DF">
        <w:t xml:space="preserve">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w:t>
      </w:r>
      <w:r w:rsidRPr="00237E09">
        <w:rPr>
          <w:u w:val="single"/>
        </w:rPr>
        <w:t>theorem 1.5</w:t>
      </w:r>
      <w:r>
        <w:t xml:space="preserve">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lastRenderedPageBreak/>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From table 2.1.</w:t>
      </w:r>
      <w:r w:rsidR="008974BB">
        <w:t>5</w:t>
      </w:r>
      <w:r>
        <w:t xml:space="preserve">,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from example 2.1.1</w:t>
      </w:r>
      <w:r w:rsidR="008974BB">
        <w:t xml:space="preserve">,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rsidR="001F4C8E" w:rsidRDefault="00E82330" w:rsidP="007022BE">
      <w:pPr>
        <w:ind w:firstLine="360"/>
      </w:pPr>
      <w:r>
        <w:t xml:space="preserve">According to </w:t>
      </w:r>
      <w:r w:rsidRPr="00237E09">
        <w:rPr>
          <w:u w:val="single"/>
        </w:rPr>
        <w:t>definition 2.1</w:t>
      </w:r>
      <w:r>
        <w:t xml:space="preserve">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 xml:space="preserve">entailed conditional </w:t>
      </w:r>
      <w:r w:rsidR="00F76D72">
        <w:lastRenderedPageBreak/>
        <w:t>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w:t>
      </w:r>
      <w:r w:rsidRPr="00237E09">
        <w:rPr>
          <w:u w:val="single"/>
        </w:rPr>
        <w:t>lemma 2.2</w:t>
      </w:r>
      <w:r>
        <w:t xml:space="preserve"> in </w:t>
      </w:r>
      <w:sdt>
        <w:sdtPr>
          <w:id w:val="-1613052520"/>
          <w:citation/>
        </w:sdtPr>
        <w:sdtEndPr/>
        <w:sdtContent>
          <w:r>
            <w:fldChar w:fldCharType="begin"/>
          </w:r>
          <w:r w:rsidR="00687880">
            <w:instrText xml:space="preserve">CITATION Neapolitan2003 \p 75 \l 1033 </w:instrText>
          </w:r>
          <w:r>
            <w:fldChar w:fldCharType="separate"/>
          </w:r>
          <w:r w:rsidR="00DA4EA5">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t xml:space="preserve">, </w:t>
      </w:r>
      <w:r w:rsidR="00676847">
        <w:t xml:space="preserve">according to equation 2.1, </w:t>
      </w:r>
      <w:r>
        <w:t>w</w:t>
      </w:r>
      <w:r w:rsidR="00AD2A8E">
        <w:t>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lastRenderedPageBreak/>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satisfies Markov condit</w:t>
      </w:r>
      <w:bookmarkStart w:id="10" w:name="_GoBack"/>
      <w:bookmarkEnd w:id="10"/>
      <w:r w:rsidR="00873BA8">
        <w:t xml:space="preserve">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11"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rsidR="00501BFD" w:rsidRDefault="008B5423"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1"/>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rsidR="0051420F" w:rsidRPr="0051420F" w:rsidRDefault="00595053" w:rsidP="0051420F">
      <w:pPr>
        <w:jc w:val="center"/>
        <w:rPr>
          <w:szCs w:val="24"/>
        </w:rPr>
      </w:pPr>
      <w:r>
        <w:rPr>
          <w:noProof/>
          <w:szCs w:val="24"/>
        </w:rPr>
        <w:lastRenderedPageBreak/>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A45466">
        <w:rPr>
          <w:rFonts w:cs="Times New Roman"/>
          <w:szCs w:val="26"/>
        </w:rPr>
        <w:t>■</w:t>
      </w:r>
    </w:p>
    <w:p w:rsidR="00683CC2"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rsidR="0051420F" w:rsidRDefault="00683CC2" w:rsidP="0051420F">
      <w:pPr>
        <w:ind w:firstLine="360"/>
        <w:rPr>
          <w:rFonts w:cs="Times New Roman"/>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8B542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8B542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rsidR="000D54C4" w:rsidRDefault="008B5423"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rsidR="00D15531" w:rsidRPr="00D15531" w:rsidRDefault="00D15531" w:rsidP="00D15531">
      <w:pPr>
        <w:ind w:firstLine="360"/>
        <w:rPr>
          <w:szCs w:val="24"/>
        </w:rPr>
      </w:pPr>
      <w:r>
        <w:rPr>
          <w:szCs w:val="24"/>
        </w:rPr>
        <w:t xml:space="preserve">According to </w:t>
      </w:r>
      <w:bookmarkStart w:id="12" w:name="_Hlk520900033"/>
      <w:r>
        <w:rPr>
          <w:szCs w:val="24"/>
        </w:rPr>
        <w:t>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2"/>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3" w:name="_Hlk520900065"/>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3"/>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lastRenderedPageBreak/>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14" w:name="_Hlk520806938"/>
      <w:r>
        <w:rPr>
          <w:szCs w:val="24"/>
        </w:rPr>
        <w:t xml:space="preserve">Lemma 2.1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4"/>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End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End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(Due to total probability rule)</w:t>
      </w:r>
    </w:p>
    <w:p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rsidR="00ED5991" w:rsidRPr="00ED5991" w:rsidRDefault="00ED5991" w:rsidP="00ED5991">
      <w:pPr>
        <w:jc w:val="center"/>
        <w:rPr>
          <w:szCs w:val="24"/>
        </w:rPr>
      </w:pPr>
      <w:r>
        <w:rPr>
          <w:szCs w:val="24"/>
        </w:rPr>
        <w:t>(Due to total probability rule)</w:t>
      </w:r>
    </w:p>
    <w:p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r w:rsidR="00D73622" w:rsidRPr="00D73622">
        <w:rPr>
          <w:highlight w:val="yellow"/>
        </w:rPr>
        <w:t>(refer to Fenton and Neil</w:t>
      </w:r>
      <w:r w:rsidR="007765A9">
        <w:rPr>
          <w:highlight w:val="yellow"/>
        </w:rPr>
        <w:t xml:space="preserve"> in Noisy-OR</w:t>
      </w:r>
      <w:r w:rsidR="00D73622" w:rsidRPr="00D73622">
        <w:rPr>
          <w:highlight w:val="yellow"/>
        </w:rPr>
        <w:t>)</w:t>
      </w:r>
      <w:r w:rsidR="00D73622">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rsidR="0061469B" w:rsidRDefault="0061469B" w:rsidP="0061469B">
      <w:pPr>
        <w:jc w:val="center"/>
        <w:rPr>
          <w:szCs w:val="24"/>
        </w:rPr>
      </w:pPr>
      <w:r>
        <w:rPr>
          <w:noProof/>
          <w:szCs w:val="24"/>
        </w:rPr>
        <w:drawing>
          <wp:inline distT="0" distB="0" distL="0" distR="0" wp14:anchorId="76986045" wp14:editId="4EB21B3F">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rsidR="000D54C4" w:rsidRDefault="0061469B" w:rsidP="0061469B">
      <w:pPr>
        <w:rPr>
          <w:rFonts w:cs="Times New Roman"/>
          <w:szCs w:val="24"/>
        </w:rPr>
      </w:pPr>
      <w:r w:rsidRPr="005964B9">
        <w:rPr>
          <w:i/>
          <w:szCs w:val="24"/>
        </w:rPr>
        <w:lastRenderedPageBreak/>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the first and second blocked conditions are not satisfied 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the third blocked condition is not satisfied 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rsidTr="00F34918">
        <w:trPr>
          <w:jc w:val="center"/>
        </w:trPr>
        <w:tc>
          <w:tcPr>
            <w:tcW w:w="0" w:type="auto"/>
          </w:tcPr>
          <w:p w:rsidR="0061469B" w:rsidRDefault="0061469B" w:rsidP="00F34918">
            <w:r w:rsidRPr="00C87B3E">
              <w:rPr>
                <w:i/>
              </w:rPr>
              <w:t>P</w:t>
            </w:r>
            <w:r>
              <w:t>(</w:t>
            </w:r>
            <w:r w:rsidRPr="00C87B3E">
              <w:rPr>
                <w:i/>
              </w:rPr>
              <w:t>X</w:t>
            </w:r>
            <w:r>
              <w:t xml:space="preserve">=1) = </w:t>
            </w:r>
            <w:r w:rsidRPr="00C87B3E">
              <w:rPr>
                <w:i/>
              </w:rPr>
              <w:t>P</w:t>
            </w:r>
            <w:r>
              <w:t>(</w:t>
            </w:r>
            <w:r w:rsidRPr="00C87B3E">
              <w:rPr>
                <w:i/>
              </w:rPr>
              <w:t>X</w:t>
            </w:r>
            <w:r>
              <w:t>=0) = 0.5</w:t>
            </w:r>
          </w:p>
          <w:p w:rsidR="0061469B" w:rsidRDefault="0061469B" w:rsidP="00F34918">
            <w:r w:rsidRPr="00C87B3E">
              <w:rPr>
                <w:i/>
              </w:rPr>
              <w:t>P</w:t>
            </w:r>
            <w:r>
              <w:t>(</w:t>
            </w:r>
            <w:r w:rsidRPr="00C87B3E">
              <w:rPr>
                <w:i/>
              </w:rPr>
              <w:t>Y</w:t>
            </w:r>
            <w:r>
              <w:t xml:space="preserve">=1) = </w:t>
            </w:r>
            <w:r w:rsidRPr="00C87B3E">
              <w:rPr>
                <w:i/>
              </w:rPr>
              <w:t>P</w:t>
            </w:r>
            <w:r>
              <w:t>(</w:t>
            </w:r>
            <w:r w:rsidRPr="00C87B3E">
              <w:rPr>
                <w:i/>
              </w:rPr>
              <w:t>Y</w:t>
            </w:r>
            <w:r>
              <w:t>=0) = 0.5</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2E5759" w:rsidRDefault="0061469B" w:rsidP="0061469B">
      <m:oMathPara>
        <m:oMathParaPr>
          <m:jc m:val="left"/>
        </m:oMathParaPr>
        <m:oMath>
          <m:r>
            <w:rPr>
              <w:rFonts w:ascii="Cambria Math" w:hAnsi="Cambria Math"/>
            </w:rPr>
            <m:t>=0.9*0.5+0.8*0.5=0.85</m:t>
          </m:r>
        </m:oMath>
      </m:oMathPara>
    </w:p>
    <w:p w:rsidR="0061469B" w:rsidRPr="002E5759" w:rsidRDefault="0061469B" w:rsidP="0061469B">
      <w:r>
        <w:t>We also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61469B" w:rsidRPr="00C87B3E" w:rsidRDefault="0061469B" w:rsidP="0061469B">
      <m:oMathPara>
        <m:oMathParaPr>
          <m:jc m:val="left"/>
        </m:oMathParaPr>
        <m:oMath>
          <m:r>
            <w:rPr>
              <w:rFonts w:ascii="Cambria Math" w:hAnsi="Cambria Math"/>
            </w:rPr>
            <m:t>=0.9*0.5+0.8*0.5=0.85</m:t>
          </m:r>
        </m:oMath>
      </m:oMathPara>
    </w:p>
    <w:p w:rsidR="0061469B" w:rsidRPr="00C87B3E" w:rsidRDefault="0061469B" w:rsidP="0061469B">
      <w:r>
        <w:t>Hence,</w:t>
      </w:r>
    </w:p>
    <w:p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=0.9*0.5*0.5+0.8*0.5*0.5+0.8*0.5*0.5+0*0*0.5</m:t>
          </m:r>
        </m:oMath>
      </m:oMathPara>
    </w:p>
    <w:p w:rsidR="0061469B" w:rsidRPr="00C87B3E" w:rsidRDefault="0061469B" w:rsidP="0061469B">
      <m:oMathPara>
        <m:oMathParaPr>
          <m:jc m:val="left"/>
        </m:oMathParaPr>
        <m:oMath>
          <m:r>
            <w:rPr>
              <w:rFonts w:ascii="Cambria Math" w:hAnsi="Cambria Math"/>
            </w:rPr>
            <m:t>=0.625</m:t>
          </m:r>
        </m:oMath>
      </m:oMathPara>
    </w:p>
    <w:p w:rsidR="0061469B"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(Due to Bayes’ rule)</w:t>
      </w:r>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61469B" w:rsidRPr="00C87B3E" w:rsidRDefault="0061469B" w:rsidP="0061469B">
      <w:r>
        <w:t>Whereas,</w:t>
      </w:r>
    </w:p>
    <w:p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61469B" w:rsidRDefault="0061469B" w:rsidP="0061469B">
      <w:pPr>
        <w:rPr>
          <w:szCs w:val="24"/>
        </w:rPr>
      </w:pPr>
      <w:r>
        <w:t>Obviously,</w:t>
      </w:r>
      <w:r w:rsidRPr="00873BA8">
        <w:rPr>
          <w:i/>
        </w:rPr>
        <w:t xml:space="preserve"> </w:t>
      </w:r>
      <w:r w:rsidR="000D54C4">
        <w:t xml:space="preserve">that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rsidR="00C70171" w:rsidRDefault="000D54C4" w:rsidP="00F76D72">
      <w:pPr>
        <w:ind w:firstLine="360"/>
      </w:pPr>
      <w:r>
        <w:rPr>
          <w:szCs w:val="24"/>
        </w:rPr>
        <w:t xml:space="preserve">Recall that, Lemma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8B5423"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lastRenderedPageBreak/>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687880">
            <w:instrText xml:space="preserve">CITATION Neapolitan2003 \p 76 \l 1033 </w:instrText>
          </w:r>
          <w:r w:rsidR="00595C03">
            <w:fldChar w:fldCharType="separate"/>
          </w:r>
          <w:r w:rsidR="00DA4EA5">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rsidR="003F3A89" w:rsidRDefault="00462DFD" w:rsidP="003F3A89">
      <w:pPr>
        <w:jc w:val="center"/>
      </w:pPr>
      <w:r>
        <w:rPr>
          <w:noProof/>
        </w:rPr>
        <w:drawing>
          <wp:inline distT="0" distB="0" distL="0" distR="0">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the first blocked condition is not satisfied on the </w:t>
      </w:r>
      <w:r w:rsidR="00462DFD">
        <w:t>head-to-tail meeting</w:t>
      </w:r>
      <w:r w:rsidR="00462DFD">
        <w:rPr>
          <w:rFonts w:cs="Times New Roman"/>
          <w:szCs w:val="24"/>
        </w:rPr>
        <w:t xml:space="preserve"> </w:t>
      </w:r>
      <w:r w:rsidR="00462DFD" w:rsidRPr="00047421">
        <w:rPr>
          <w:i/>
        </w:rPr>
        <w:t>X</w:t>
      </w:r>
      <w:r w:rsidR="00462DFD" w:rsidRPr="009762F5">
        <w:rPr>
          <w:i/>
        </w:rPr>
        <w:t>→</w:t>
      </w:r>
      <w:r w:rsidR="00462DFD" w:rsidRPr="00047421">
        <w:rPr>
          <w:i/>
        </w:rPr>
        <w:t>Y</w:t>
      </w:r>
      <w:r w:rsidR="00462DFD" w:rsidRPr="00047421">
        <w:t>→</w:t>
      </w:r>
      <w:r w:rsidR="00462DFD" w:rsidRPr="00047421">
        <w:rPr>
          <w:i/>
        </w:rPr>
        <w:t>Z</w:t>
      </w:r>
      <w:r w:rsidR="00462DFD">
        <w:t xml:space="preserv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5F181F" w:rsidRPr="005F181F" w:rsidRDefault="005F181F" w:rsidP="00C70171">
      <w:bookmarkStart w:id="15" w:name="_Hlk520860123"/>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5C221D" w:rsidRDefault="005C221D" w:rsidP="005C221D">
      <m:oMathPara>
        <m:oMathParaPr>
          <m:jc m:val="left"/>
        </m:oMathParaPr>
        <m:oMath>
          <m:r>
            <w:rPr>
              <w:rFonts w:ascii="Cambria Math" w:hAnsi="Cambria Math"/>
            </w:rPr>
            <m:t>=b</m:t>
          </m:r>
        </m:oMath>
      </m:oMathPara>
    </w:p>
    <w:p w:rsidR="005C221D" w:rsidRPr="005F181F" w:rsidRDefault="005C221D" w:rsidP="005C221D"/>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rsidR="004B5775" w:rsidRDefault="004B5775" w:rsidP="00C70171">
      <w:pPr>
        <w:rPr>
          <w:rFonts w:cs="Times New Roman"/>
          <w:szCs w:val="26"/>
        </w:rPr>
      </w:pPr>
    </w:p>
    <w:p w:rsidR="004B5775" w:rsidRPr="004B5775" w:rsidRDefault="004B5775" w:rsidP="00C70171">
      <w:pPr>
        <w:rPr>
          <w:highlight w:val="yellow"/>
        </w:rPr>
      </w:pPr>
      <w:r w:rsidRPr="004B5775">
        <w:rPr>
          <w:highlight w:val="yellow"/>
        </w:rPr>
        <w:t>Algorithm to find d-separations</w:t>
      </w:r>
    </w:p>
    <w:p w:rsidR="004B5775" w:rsidRDefault="004B5775" w:rsidP="00C70171">
      <w:r w:rsidRPr="004B5775">
        <w:rPr>
          <w:highlight w:val="yellow"/>
        </w:rPr>
        <w:t>(Ongoing</w:t>
      </w:r>
      <w:r>
        <w:rPr>
          <w:highlight w:val="yellow"/>
        </w:rPr>
        <w:t>…</w:t>
      </w:r>
      <w:r w:rsidRPr="004B5775">
        <w:rPr>
          <w:highlight w:val="yellow"/>
        </w:rPr>
        <w:t>)</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 xml:space="preserve">Shortly, Markov condition is defined based on joint probability distribution whereas Markov equivalence is defined based on topology of DAG </w:t>
      </w:r>
      <w:r w:rsidR="009779AE">
        <w:rPr>
          <w:szCs w:val="24"/>
        </w:rPr>
        <w:lastRenderedPageBreak/>
        <w:t>(d-separation).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 xml:space="preserve">graph that has </w:t>
      </w:r>
      <w:r w:rsidRPr="00D05EC5">
        <w:rPr>
          <w:szCs w:val="24"/>
        </w:rPr>
        <w:lastRenderedPageBreak/>
        <w:t>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w:t>
      </w:r>
      <w:proofErr w:type="gramStart"/>
      <w:r w:rsidR="001A48CB">
        <w:rPr>
          <w:szCs w:val="24"/>
        </w:rPr>
        <w:t>is Markov equivalent to them</w:t>
      </w:r>
      <w:proofErr w:type="gramEnd"/>
      <w:r w:rsidR="001A48CB">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rsidR="00AF4BFB" w:rsidRDefault="00AF4BFB" w:rsidP="00AF4BFB">
      <w:pPr>
        <w:ind w:firstLine="360"/>
        <w:rPr>
          <w:szCs w:val="24"/>
        </w:rPr>
      </w:pPr>
      <w:r>
        <w:rPr>
          <w:szCs w:val="24"/>
        </w:rPr>
        <w:lastRenderedPageBreak/>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lemma 2.7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End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End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t xml:space="preserve">2.4. </w:t>
      </w:r>
      <w:r w:rsidR="004B5775">
        <w:t>Faithfulness condition</w:t>
      </w:r>
    </w:p>
    <w:p w:rsidR="00A00698"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According to l</w:t>
      </w:r>
      <w:r w:rsidR="00A00698" w:rsidRPr="00D15531">
        <w:rPr>
          <w:szCs w:val="24"/>
        </w:rPr>
        <w:t xml:space="preserve">emma 2.4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In successive, l</w:t>
      </w:r>
      <w:r w:rsidR="00A00698">
        <w:rPr>
          <w:szCs w:val="24"/>
        </w:rPr>
        <w:t xml:space="preserve">emma 2.1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rsidR="004B5775" w:rsidRDefault="004B5775" w:rsidP="004B5775">
      <w:pPr>
        <w:jc w:val="center"/>
      </w:pPr>
      <w:r>
        <w:rPr>
          <w:noProof/>
        </w:rPr>
        <w:drawing>
          <wp:inline distT="0" distB="0" distL="0" distR="0">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rsidR="004B5775" w:rsidRDefault="004B5775" w:rsidP="004B5775">
      <w:pPr>
        <w:jc w:val="center"/>
      </w:pPr>
      <w:r w:rsidRPr="004B5775">
        <w:rPr>
          <w:b/>
        </w:rPr>
        <w:t>Figure 2.4.1.</w:t>
      </w:r>
      <w:r>
        <w:t xml:space="preserve"> Complete DAGs</w:t>
      </w:r>
    </w:p>
    <w:p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w:t>
      </w:r>
      <w:r w:rsidR="00D70166">
        <w:lastRenderedPageBreak/>
        <w:t xml:space="preserve">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p>
    <w:p w:rsidR="00A3269C" w:rsidRDefault="00A3269C" w:rsidP="008A22AB">
      <w:pPr>
        <w:ind w:firstLine="360"/>
      </w:pPr>
      <w:r>
        <w:t>According to definition 2.9</w:t>
      </w:r>
      <w:r w:rsidR="00700C58">
        <w:t xml:space="preserve"> in </w:t>
      </w:r>
      <w:sdt>
        <w:sdtPr>
          <w:id w:val="58981268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rsidR="00700C58" w:rsidRDefault="00700C58" w:rsidP="00700C58">
      <w:pPr>
        <w:jc w:val="center"/>
      </w:pPr>
      <w:r>
        <w:rPr>
          <w:noProof/>
        </w:rPr>
        <w:drawing>
          <wp:inline distT="0" distB="0" distL="0" distR="0">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End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End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End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rsidTr="00700C58">
        <w:trPr>
          <w:jc w:val="center"/>
        </w:trPr>
        <w:tc>
          <w:tcPr>
            <w:tcW w:w="0" w:type="auto"/>
          </w:tcPr>
          <w:p w:rsidR="00700C58" w:rsidRDefault="00700C58" w:rsidP="00481058">
            <w:r w:rsidRPr="00BF178A">
              <w:rPr>
                <w:i/>
              </w:rPr>
              <w:t>X</w:t>
            </w:r>
            <w:r>
              <w:t>=1</w:t>
            </w:r>
          </w:p>
        </w:tc>
        <w:tc>
          <w:tcPr>
            <w:tcW w:w="0" w:type="auto"/>
          </w:tcPr>
          <w:p w:rsidR="00700C58" w:rsidRDefault="00700C58" w:rsidP="00481058">
            <w:r>
              <w:t>All black objects</w:t>
            </w:r>
          </w:p>
        </w:tc>
      </w:tr>
      <w:tr w:rsidR="00700C58" w:rsidTr="00700C58">
        <w:trPr>
          <w:jc w:val="center"/>
        </w:trPr>
        <w:tc>
          <w:tcPr>
            <w:tcW w:w="0" w:type="auto"/>
          </w:tcPr>
          <w:p w:rsidR="00700C58" w:rsidRDefault="00700C58" w:rsidP="00481058">
            <w:r w:rsidRPr="00BF178A">
              <w:rPr>
                <w:i/>
              </w:rPr>
              <w:t>X</w:t>
            </w:r>
            <w:r>
              <w:t>=0</w:t>
            </w:r>
          </w:p>
        </w:tc>
        <w:tc>
          <w:tcPr>
            <w:tcW w:w="0" w:type="auto"/>
          </w:tcPr>
          <w:p w:rsidR="00700C58" w:rsidRDefault="00700C58" w:rsidP="00481058">
            <w:r>
              <w:t>All white objects</w:t>
            </w:r>
          </w:p>
        </w:tc>
      </w:tr>
      <w:tr w:rsidR="00700C58" w:rsidTr="00700C58">
        <w:trPr>
          <w:jc w:val="center"/>
        </w:trPr>
        <w:tc>
          <w:tcPr>
            <w:tcW w:w="0" w:type="auto"/>
          </w:tcPr>
          <w:p w:rsidR="00700C58" w:rsidRDefault="00700C58" w:rsidP="00481058">
            <w:r w:rsidRPr="00BF178A">
              <w:rPr>
                <w:i/>
              </w:rPr>
              <w:t>Y</w:t>
            </w:r>
            <w:r>
              <w:t>=1</w:t>
            </w:r>
          </w:p>
        </w:tc>
        <w:tc>
          <w:tcPr>
            <w:tcW w:w="0" w:type="auto"/>
          </w:tcPr>
          <w:p w:rsidR="00700C58" w:rsidRDefault="00700C58" w:rsidP="00481058">
            <w:r>
              <w:t>All object named “1”</w:t>
            </w:r>
          </w:p>
        </w:tc>
      </w:tr>
      <w:tr w:rsidR="00700C58" w:rsidTr="00700C58">
        <w:trPr>
          <w:jc w:val="center"/>
        </w:trPr>
        <w:tc>
          <w:tcPr>
            <w:tcW w:w="0" w:type="auto"/>
          </w:tcPr>
          <w:p w:rsidR="00700C58" w:rsidRDefault="00700C58" w:rsidP="00481058">
            <w:r w:rsidRPr="00BF178A">
              <w:rPr>
                <w:i/>
              </w:rPr>
              <w:t>Y</w:t>
            </w:r>
            <w:r>
              <w:t>=0</w:t>
            </w:r>
          </w:p>
        </w:tc>
        <w:tc>
          <w:tcPr>
            <w:tcW w:w="0" w:type="auto"/>
          </w:tcPr>
          <w:p w:rsidR="00700C58" w:rsidRDefault="00700C58" w:rsidP="00481058">
            <w:r>
              <w:t>All object named “2”</w:t>
            </w:r>
          </w:p>
        </w:tc>
      </w:tr>
      <w:tr w:rsidR="00700C58" w:rsidTr="00700C58">
        <w:trPr>
          <w:jc w:val="center"/>
        </w:trPr>
        <w:tc>
          <w:tcPr>
            <w:tcW w:w="0" w:type="auto"/>
          </w:tcPr>
          <w:p w:rsidR="00700C58" w:rsidRDefault="00700C58" w:rsidP="00481058">
            <w:r w:rsidRPr="00BF178A">
              <w:rPr>
                <w:i/>
              </w:rPr>
              <w:t>Z</w:t>
            </w:r>
            <w:r>
              <w:t>=1</w:t>
            </w:r>
          </w:p>
        </w:tc>
        <w:tc>
          <w:tcPr>
            <w:tcW w:w="0" w:type="auto"/>
          </w:tcPr>
          <w:p w:rsidR="00700C58" w:rsidRDefault="00700C58" w:rsidP="00481058">
            <w:r>
              <w:t>All square objects</w:t>
            </w:r>
          </w:p>
        </w:tc>
      </w:tr>
      <w:tr w:rsidR="00700C58" w:rsidTr="00700C58">
        <w:trPr>
          <w:jc w:val="center"/>
        </w:trPr>
        <w:tc>
          <w:tcPr>
            <w:tcW w:w="0" w:type="auto"/>
          </w:tcPr>
          <w:p w:rsidR="00700C58" w:rsidRDefault="00700C58" w:rsidP="00481058">
            <w:r w:rsidRPr="00BF178A">
              <w:rPr>
                <w:i/>
              </w:rPr>
              <w:t>Z</w:t>
            </w:r>
            <w:r>
              <w:t>=0</w:t>
            </w:r>
          </w:p>
        </w:tc>
        <w:tc>
          <w:tcPr>
            <w:tcW w:w="0" w:type="auto"/>
          </w:tcPr>
          <w:p w:rsidR="00700C58" w:rsidRDefault="00700C58" w:rsidP="00481058">
            <w:r>
              <w:t>All round objects</w:t>
            </w:r>
          </w:p>
        </w:tc>
      </w:tr>
    </w:tbl>
    <w:p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w:t>
      </w:r>
      <w:r w:rsidR="00706B98">
        <w:lastRenderedPageBreak/>
        <w:t xml:space="preserve">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rsidTr="00481058">
        <w:trPr>
          <w:jc w:val="center"/>
        </w:trPr>
        <w:tc>
          <w:tcPr>
            <w:tcW w:w="0" w:type="auto"/>
            <w:tcBorders>
              <w:bottom w:val="single" w:sz="4" w:space="0" w:color="auto"/>
            </w:tcBorders>
          </w:tcPr>
          <w:p w:rsidR="00706B98" w:rsidRDefault="00706B98" w:rsidP="00481058">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706B98" w:rsidRDefault="00706B98" w:rsidP="00481058">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rsidTr="00481058">
        <w:trPr>
          <w:jc w:val="center"/>
        </w:trPr>
        <w:tc>
          <w:tcPr>
            <w:tcW w:w="0" w:type="auto"/>
            <w:tcBorders>
              <w:top w:val="single" w:sz="4" w:space="0" w:color="auto"/>
            </w:tcBorders>
          </w:tcPr>
          <w:p w:rsidR="00706B98" w:rsidRDefault="00706B98" w:rsidP="00481058">
            <w:pPr>
              <w:jc w:val="left"/>
            </w:pPr>
            <w:r>
              <w:t>1, 1, 1</w:t>
            </w:r>
          </w:p>
        </w:tc>
        <w:tc>
          <w:tcPr>
            <w:tcW w:w="0" w:type="auto"/>
            <w:tcBorders>
              <w:top w:val="single" w:sz="4" w:space="0" w:color="auto"/>
            </w:tcBorders>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1, 1, 0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1, 0, 1</w:t>
            </w:r>
          </w:p>
        </w:tc>
        <w:tc>
          <w:tcPr>
            <w:tcW w:w="0" w:type="auto"/>
          </w:tcPr>
          <w:p w:rsidR="00706B98" w:rsidRPr="00856F37" w:rsidRDefault="00706B98" w:rsidP="00481058">
            <w:pPr>
              <w:jc w:val="right"/>
            </w:pPr>
            <w:r w:rsidRPr="00856F37">
              <w:t>4/13</w:t>
            </w:r>
          </w:p>
        </w:tc>
      </w:tr>
      <w:tr w:rsidR="00706B98" w:rsidTr="00481058">
        <w:trPr>
          <w:jc w:val="center"/>
        </w:trPr>
        <w:tc>
          <w:tcPr>
            <w:tcW w:w="0" w:type="auto"/>
          </w:tcPr>
          <w:p w:rsidR="00706B98" w:rsidRDefault="00706B98" w:rsidP="00481058">
            <w:pPr>
              <w:jc w:val="left"/>
            </w:pPr>
            <w:r>
              <w:t>1, 0, 0</w:t>
            </w:r>
          </w:p>
        </w:tc>
        <w:tc>
          <w:tcPr>
            <w:tcW w:w="0" w:type="auto"/>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0, 1, 1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0, 0, 0</w:t>
            </w:r>
          </w:p>
        </w:tc>
        <w:tc>
          <w:tcPr>
            <w:tcW w:w="0" w:type="auto"/>
          </w:tcPr>
          <w:p w:rsidR="00706B98" w:rsidRDefault="00706B98" w:rsidP="00481058">
            <w:pPr>
              <w:jc w:val="right"/>
            </w:pPr>
            <w:r w:rsidRPr="00856F37">
              <w:t>1/13</w:t>
            </w:r>
          </w:p>
        </w:tc>
      </w:tr>
    </w:tbl>
    <w:p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rsidTr="00700C58">
        <w:trPr>
          <w:jc w:val="center"/>
        </w:trPr>
        <w:tc>
          <w:tcPr>
            <w:tcW w:w="0" w:type="auto"/>
          </w:tcPr>
          <w:p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Tr="00700C58">
        <w:trPr>
          <w:jc w:val="center"/>
        </w:trPr>
        <w:tc>
          <w:tcPr>
            <w:tcW w:w="0" w:type="auto"/>
          </w:tcPr>
          <w:p w:rsidR="00700C58" w:rsidRDefault="00700C58" w:rsidP="00700C58">
            <w:r w:rsidRPr="00CF73A1">
              <w:rPr>
                <w:highlight w:val="yellow"/>
              </w:rPr>
              <w:t>0, 0, 0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rsidTr="00481058">
        <w:trPr>
          <w:jc w:val="center"/>
        </w:trPr>
        <w:tc>
          <w:tcPr>
            <w:tcW w:w="0" w:type="auto"/>
          </w:tcPr>
          <w:p w:rsidR="00700C58" w:rsidRPr="00CF73A1" w:rsidRDefault="00700C58" w:rsidP="004810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1/9</w:t>
            </w:r>
          </w:p>
        </w:tc>
        <w:tc>
          <w:tcPr>
            <w:tcW w:w="0" w:type="auto"/>
          </w:tcPr>
          <w:p w:rsidR="00706B98" w:rsidRPr="00CF73A1" w:rsidRDefault="00706B98" w:rsidP="00706B98">
            <w:pPr>
              <w:jc w:val="right"/>
              <w:rPr>
                <w:highlight w:val="yellow"/>
              </w:rPr>
            </w:pPr>
            <w:r w:rsidRPr="00CF73A1">
              <w:rPr>
                <w:highlight w:val="yellow"/>
              </w:rPr>
              <w:t>1/9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4/9</w:t>
            </w:r>
          </w:p>
        </w:tc>
        <w:tc>
          <w:tcPr>
            <w:tcW w:w="0" w:type="auto"/>
          </w:tcPr>
          <w:p w:rsidR="00706B98" w:rsidRPr="00CF73A1" w:rsidRDefault="00706B98" w:rsidP="00706B98">
            <w:pPr>
              <w:jc w:val="right"/>
              <w:rPr>
                <w:highlight w:val="yellow"/>
              </w:rPr>
            </w:pPr>
            <w:r w:rsidRPr="00CF73A1">
              <w:rPr>
                <w:highlight w:val="yellow"/>
              </w:rPr>
              <w:t>4/9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Tr="00481058">
        <w:trPr>
          <w:jc w:val="center"/>
        </w:trPr>
        <w:tc>
          <w:tcPr>
            <w:tcW w:w="0" w:type="auto"/>
          </w:tcPr>
          <w:p w:rsidR="00706B98" w:rsidRPr="00CF73A1" w:rsidRDefault="00706B98" w:rsidP="00706B98">
            <w:pPr>
              <w:rPr>
                <w:highlight w:val="yellow"/>
              </w:rPr>
            </w:pPr>
            <w:r w:rsidRPr="00CF73A1">
              <w:rPr>
                <w:highlight w:val="yellow"/>
              </w:rPr>
              <w:t>0, 0, 0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Default="00706B98" w:rsidP="00706B98">
            <w:pPr>
              <w:jc w:val="right"/>
            </w:pPr>
            <w:r w:rsidRPr="00CF73A1">
              <w:rPr>
                <w:highlight w:val="yellow"/>
              </w:rPr>
              <w:t>1/4</w:t>
            </w: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rsidR="00700C58" w:rsidRPr="00700C58" w:rsidRDefault="00700C58" w:rsidP="00700C58">
      <w:r>
        <w:t xml:space="preserve">From table 2.4.1, because there is only one equality </w:t>
      </w:r>
      <w:proofErr w:type="gramStart"/>
      <w:r w:rsidRPr="00700C58">
        <w:rPr>
          <w:i/>
        </w:rPr>
        <w:t>P</w:t>
      </w:r>
      <w:r>
        <w:t>(</w:t>
      </w:r>
      <w:proofErr w:type="gramEnd"/>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rsidR="00B753FF" w:rsidRDefault="00360077" w:rsidP="00D25EBA">
      <w:pPr>
        <w:ind w:firstLine="360"/>
        <w:rPr>
          <w:szCs w:val="24"/>
        </w:rPr>
      </w:pPr>
      <w:r>
        <w:rPr>
          <w:szCs w:val="24"/>
        </w:rPr>
        <w:lastRenderedPageBreak/>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rsidR="00D25EBA" w:rsidRDefault="00360077" w:rsidP="00D25EBA">
      <w:pPr>
        <w:ind w:firstLine="360"/>
        <w:rPr>
          <w:szCs w:val="24"/>
        </w:rPr>
      </w:pPr>
      <w:r>
        <w:t xml:space="preserve">According to theorem 2.6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w:t>
      </w:r>
      <w:r w:rsidR="00AA7661">
        <w:rPr>
          <w:szCs w:val="24"/>
        </w:rPr>
        <w:t>s</w:t>
      </w:r>
      <w:r w:rsidR="004B726F">
        <w:rPr>
          <w:szCs w:val="24"/>
        </w:rPr>
        <w:t>.</w:t>
      </w:r>
      <w:r w:rsidR="00817DA2">
        <w:t xml:space="preserve"> Especially, random binary variables are preferred.</w:t>
      </w:r>
    </w:p>
    <w:p w:rsidR="00BD2C52" w:rsidRDefault="00BD2C52">
      <w:pPr>
        <w:rPr>
          <w:szCs w:val="24"/>
        </w:rPr>
      </w:pPr>
    </w:p>
    <w:p w:rsidR="004B5775" w:rsidRPr="004B5775" w:rsidRDefault="004B5775" w:rsidP="004B5775">
      <w:pPr>
        <w:pStyle w:val="Heading2"/>
        <w:rPr>
          <w:highlight w:val="yellow"/>
        </w:rPr>
      </w:pPr>
      <w:r w:rsidRPr="004B5775">
        <w:rPr>
          <w:highlight w:val="yellow"/>
        </w:rPr>
        <w:t>2.5. Other advanced concepts</w:t>
      </w:r>
    </w:p>
    <w:p w:rsidR="004B5775" w:rsidRDefault="004B5775">
      <w:pPr>
        <w:rPr>
          <w:szCs w:val="24"/>
        </w:rPr>
      </w:pPr>
      <w:r w:rsidRPr="004B5775">
        <w:rPr>
          <w:szCs w:val="24"/>
          <w:highlight w:val="yellow"/>
        </w:rPr>
        <w:t>(Ongoing…)</w:t>
      </w:r>
    </w:p>
    <w:p w:rsidR="004B5775" w:rsidRPr="0051420F" w:rsidRDefault="004B5775">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3.1. Markov condition based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lastRenderedPageBreak/>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8B5423"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8B5423"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8B5423"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8B5423"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lastRenderedPageBreak/>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8B5423"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8B5423"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8B5423"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lastRenderedPageBreak/>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8B5423"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8B5423"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3.3. Optimal factoring based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8B5423"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8B5423"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8B542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8B542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8B542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8B542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8B542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8B542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8B542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8B542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8B5423"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r w:rsidR="00FE38A9" w:rsidRPr="002B4D9F">
        <w:rPr>
          <w:rFonts w:cs="Times New Roman"/>
          <w:i/>
        </w:rPr>
        <w:t>P</w:t>
      </w:r>
      <w:r w:rsidR="00FE38A9">
        <w:rPr>
          <w:rFonts w:cs="Times New Roman"/>
        </w:rPr>
        <w:t>(</w:t>
      </w:r>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8B542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8B542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8B5423"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lastRenderedPageBreak/>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8B5423"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8B5423"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8B5423"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8B5423"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8B5423"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lastRenderedPageBreak/>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rsidR="00F20F3C" w:rsidRPr="00CD1DE7" w:rsidRDefault="008B5423"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lastRenderedPageBreak/>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8B5423"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DA4EA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r w:rsidR="00F77422" w:rsidRPr="002256D8">
        <w:rPr>
          <w:rFonts w:cs="Times New Roman"/>
          <w:i/>
        </w:rPr>
        <w:t>P</w:t>
      </w:r>
      <w:r w:rsidR="00F77422">
        <w:rPr>
          <w:rFonts w:cs="Times New Roman"/>
        </w:rPr>
        <w:t>(</w:t>
      </w:r>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w:t>
      </w:r>
      <w:r w:rsidR="00EC1008">
        <w:t>with</w:t>
      </w:r>
      <w:r>
        <w:t xml:space="preserve">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lastRenderedPageBreak/>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r w:rsidR="00F20F3C" w:rsidRPr="00F20F3C">
        <w:rPr>
          <w:i/>
          <w:szCs w:val="26"/>
        </w:rPr>
        <w:t>P</w:t>
      </w:r>
      <w:r w:rsidR="00F20F3C">
        <w:rPr>
          <w:szCs w:val="26"/>
        </w:rPr>
        <w:t>(</w:t>
      </w:r>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lastRenderedPageBreak/>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Pr="00CD1DE7">
        <w:rPr>
          <w:i/>
          <w:szCs w:val="26"/>
        </w:rPr>
        <w:t>k</w:t>
      </w:r>
      <w:r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w:t>
      </w:r>
      <w:r w:rsidRPr="00CD1DE7">
        <w:rPr>
          <w:szCs w:val="26"/>
        </w:rPr>
        <w:lastRenderedPageBreak/>
        <w:t xml:space="preserve">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8B5423"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00687880">
            <w:rPr>
              <w:szCs w:val="26"/>
            </w:rPr>
            <w:instrText xml:space="preserve">CITATION Neapolitan2003 \p 334-335 \l 1033 </w:instrText>
          </w:r>
          <w:r w:rsidRPr="00CD1DE7">
            <w:rPr>
              <w:szCs w:val="26"/>
            </w:rPr>
            <w:fldChar w:fldCharType="separate"/>
          </w:r>
          <w:r w:rsidR="00DA4EA5" w:rsidRPr="00DA4EA5">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8B5423"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w:t>
      </w:r>
      <w:r w:rsidRPr="00CD1DE7">
        <w:rPr>
          <w:szCs w:val="26"/>
        </w:rPr>
        <w:lastRenderedPageBreak/>
        <w:t xml:space="preserve">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the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8B5423"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8B5423"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lastRenderedPageBreak/>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9"/>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40"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F74888" w:rsidRDefault="00DB72B8" w:rsidP="00DB72B8">
      <w:pPr>
        <w:ind w:firstLine="360"/>
      </w:pPr>
      <w:r w:rsidRPr="007D4A7F">
        <w:rPr>
          <w:highlight w:val="yellow"/>
        </w:rPr>
        <w:t xml:space="preserve">The quality of parameter learning depends on how to specifies </w:t>
      </w:r>
      <w:r w:rsidRPr="007D4A7F">
        <w:rPr>
          <w:i/>
          <w:highlight w:val="yellow"/>
        </w:rPr>
        <w:t>a</w:t>
      </w:r>
      <w:r w:rsidRPr="007D4A7F">
        <w:rPr>
          <w:i/>
          <w:highlight w:val="yellow"/>
          <w:vertAlign w:val="subscript"/>
        </w:rPr>
        <w:t>ij</w:t>
      </w:r>
      <w:r w:rsidRPr="007D4A7F">
        <w:rPr>
          <w:highlight w:val="yellow"/>
        </w:rPr>
        <w:t xml:space="preserve"> and </w:t>
      </w:r>
      <w:r w:rsidRPr="007D4A7F">
        <w:rPr>
          <w:i/>
          <w:highlight w:val="yellow"/>
        </w:rPr>
        <w:t>b</w:t>
      </w:r>
      <w:r w:rsidRPr="007D4A7F">
        <w:rPr>
          <w:i/>
          <w:highlight w:val="yellow"/>
          <w:vertAlign w:val="subscript"/>
        </w:rPr>
        <w:t>ij</w:t>
      </w:r>
      <w:r w:rsidRPr="007D4A7F">
        <w:rPr>
          <w:highlight w:val="yellow"/>
        </w:rPr>
        <w:t xml:space="preserve"> in prior. We often set </w:t>
      </w:r>
      <w:r w:rsidRPr="007D4A7F">
        <w:rPr>
          <w:i/>
          <w:highlight w:val="yellow"/>
        </w:rPr>
        <w:t>a</w:t>
      </w:r>
      <w:r w:rsidRPr="007D4A7F">
        <w:rPr>
          <w:i/>
          <w:highlight w:val="yellow"/>
          <w:vertAlign w:val="subscript"/>
        </w:rPr>
        <w:t>ij</w:t>
      </w:r>
      <w:r w:rsidRPr="007D4A7F">
        <w:rPr>
          <w:highlight w:val="yellow"/>
        </w:rPr>
        <w:t xml:space="preserve"> = </w:t>
      </w:r>
      <w:r w:rsidRPr="007D4A7F">
        <w:rPr>
          <w:i/>
          <w:highlight w:val="yellow"/>
        </w:rPr>
        <w:t>b</w:t>
      </w:r>
      <w:r w:rsidRPr="007D4A7F">
        <w:rPr>
          <w:i/>
          <w:highlight w:val="yellow"/>
          <w:vertAlign w:val="subscript"/>
        </w:rPr>
        <w:t>ij</w:t>
      </w:r>
      <w:r w:rsidRPr="007D4A7F">
        <w:rPr>
          <w:highlight w:val="yellow"/>
        </w:rPr>
        <w:t xml:space="preserve"> so that the original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0.5 and hence the updated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w:t>
      </w:r>
      <m:oMath>
        <m:r>
          <m:rPr>
            <m:scr m:val="script"/>
          </m:rPr>
          <w:rPr>
            <w:rFonts w:ascii="Cambria Math" w:hAnsi="Cambria Math"/>
            <w:szCs w:val="26"/>
            <w:highlight w:val="yellow"/>
          </w:rPr>
          <m:t>D</m:t>
        </m:r>
      </m:oMath>
      <w:r w:rsidRPr="007D4A7F">
        <w:rPr>
          <w:highlight w:val="yellow"/>
        </w:rPr>
        <w:t xml:space="preserve">) are computed faithfully from sample. However, </w:t>
      </w:r>
      <w:r w:rsidR="007D4A7F" w:rsidRPr="007D4A7F">
        <w:rPr>
          <w:highlight w:val="yellow"/>
        </w:rPr>
        <w:t xml:space="preserve">the number </w:t>
      </w:r>
      <w:proofErr w:type="spellStart"/>
      <w:r w:rsidRPr="007D4A7F">
        <w:rPr>
          <w:i/>
          <w:highlight w:val="yellow"/>
        </w:rPr>
        <w:t>N</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a</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b</w:t>
      </w:r>
      <w:r w:rsidRPr="007D4A7F">
        <w:rPr>
          <w:i/>
          <w:highlight w:val="yellow"/>
          <w:vertAlign w:val="subscript"/>
        </w:rPr>
        <w:t>ij</w:t>
      </w:r>
      <w:proofErr w:type="spellEnd"/>
      <w:r w:rsidRPr="007D4A7F">
        <w:rPr>
          <w:highlight w:val="yellow"/>
        </w:rPr>
        <w:t xml:space="preserve"> also affects the quality of parameter learning. Hence, if a so-called equivalent sample size is satisfied, the quality of parameter learning is faithful.</w:t>
      </w:r>
      <w:r w:rsidR="00F74888" w:rsidRPr="007D4A7F">
        <w:rPr>
          <w:highlight w:val="yellow"/>
        </w:rPr>
        <w:t xml:space="preserve"> Another goal </w:t>
      </w:r>
      <w:sdt>
        <w:sdtPr>
          <w:rPr>
            <w:highlight w:val="yellow"/>
          </w:rPr>
          <w:id w:val="1232582990"/>
          <w:citation/>
        </w:sdtPr>
        <w:sdtEndPr/>
        <w:sdtContent>
          <w:r w:rsidR="00F74888" w:rsidRPr="007D4A7F">
            <w:rPr>
              <w:highlight w:val="yellow"/>
            </w:rPr>
            <w:fldChar w:fldCharType="begin"/>
          </w:r>
          <w:r w:rsidR="00F74888" w:rsidRPr="007D4A7F">
            <w:rPr>
              <w:highlight w:val="yellow"/>
            </w:rPr>
            <w:instrText xml:space="preserve">CITATION Neapolitan2003 \p 351 \l 1033 </w:instrText>
          </w:r>
          <w:r w:rsidR="00F74888" w:rsidRPr="007D4A7F">
            <w:rPr>
              <w:highlight w:val="yellow"/>
            </w:rPr>
            <w:fldChar w:fldCharType="separate"/>
          </w:r>
          <w:r w:rsidR="00F74888" w:rsidRPr="007D4A7F">
            <w:rPr>
              <w:noProof/>
              <w:highlight w:val="yellow"/>
            </w:rPr>
            <w:t>(Neapolitan, 2003, p. 351)</w:t>
          </w:r>
          <w:r w:rsidR="00F74888" w:rsidRPr="007D4A7F">
            <w:rPr>
              <w:highlight w:val="yellow"/>
            </w:rPr>
            <w:fldChar w:fldCharType="end"/>
          </w:r>
        </w:sdtContent>
      </w:sdt>
      <w:r w:rsidR="00F74888" w:rsidRPr="007D4A7F">
        <w:rPr>
          <w:highlight w:val="yellow"/>
        </w:rPr>
        <w:t xml:space="preserve"> of equivalent sample size is that updated parameters </w:t>
      </w:r>
      <w:proofErr w:type="spellStart"/>
      <w:r w:rsidR="00F74888" w:rsidRPr="007D4A7F">
        <w:rPr>
          <w:i/>
          <w:highlight w:val="yellow"/>
        </w:rPr>
        <w:t>a</w:t>
      </w:r>
      <w:r w:rsidR="00F74888" w:rsidRPr="007D4A7F">
        <w:rPr>
          <w:i/>
          <w:highlight w:val="yellow"/>
          <w:vertAlign w:val="subscript"/>
        </w:rPr>
        <w:t>ij</w:t>
      </w:r>
      <w:proofErr w:type="spellEnd"/>
      <w:r w:rsidR="00F74888" w:rsidRPr="007D4A7F">
        <w:rPr>
          <w:highlight w:val="yellow"/>
        </w:rPr>
        <w:t xml:space="preserve"> and </w:t>
      </w:r>
      <w:proofErr w:type="spellStart"/>
      <w:r w:rsidR="00F74888" w:rsidRPr="007D4A7F">
        <w:rPr>
          <w:i/>
          <w:highlight w:val="yellow"/>
        </w:rPr>
        <w:t>b</w:t>
      </w:r>
      <w:r w:rsidR="00F74888" w:rsidRPr="007D4A7F">
        <w:rPr>
          <w:i/>
          <w:highlight w:val="yellow"/>
          <w:vertAlign w:val="subscript"/>
        </w:rPr>
        <w:t>ij</w:t>
      </w:r>
      <w:proofErr w:type="spellEnd"/>
      <w:r w:rsidR="00F74888" w:rsidRPr="007D4A7F">
        <w:rPr>
          <w:highlight w:val="yellow"/>
        </w:rPr>
        <w:t xml:space="preserve"> based on sample will keep conditional independences entailed by the DAG</w:t>
      </w:r>
      <w:r w:rsidR="00F74888">
        <w:t>.</w:t>
      </w:r>
    </w:p>
    <w:p w:rsidR="00DB72B8" w:rsidRDefault="00DB72B8" w:rsidP="00DB72B8">
      <w:pPr>
        <w:ind w:firstLine="360"/>
      </w:pPr>
      <w:r>
        <w:t xml:space="preserve">According to definition 6.13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8B5423"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8B5423"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1" w:name="_Hlk520935293"/>
      <w:r>
        <w:t xml:space="preserve">The </w:t>
      </w:r>
      <w:r w:rsidR="00F74888">
        <w:t xml:space="preserve">binomial </w:t>
      </w:r>
      <w:r>
        <w:t>augmented BN in figure 4.1.3 does not have prior equivalent sample size.</w:t>
      </w:r>
      <w:bookmarkEnd w:id="51"/>
      <w:r>
        <w:t xml:space="preserve"> </w:t>
      </w:r>
      <w:bookmarkStart w:id="52"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rsidR="00D1735F" w:rsidRPr="00F74888" w:rsidRDefault="008B5423"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rsidR="00F74888" w:rsidRDefault="00F74888" w:rsidP="00F74888">
      <w:pPr>
        <w:ind w:firstLine="360"/>
      </w:pPr>
      <w:r>
        <w:t xml:space="preserve">According to theorem 6.13 in </w:t>
      </w:r>
      <w:sdt>
        <w:sdtPr>
          <w:id w:val="873734998"/>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DB72B8" w:rsidRDefault="008B5423" w:rsidP="0048105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rsidR="00F74888" w:rsidRDefault="00F74888" w:rsidP="00481058">
            <w:pPr>
              <w:jc w:val="right"/>
            </w:pPr>
            <w:r>
              <w:t>(4.1.16)</w:t>
            </w:r>
          </w:p>
        </w:tc>
      </w:tr>
    </w:tbl>
    <w:p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F74888">
      <w:r>
        <w:t xml:space="preserve">According to theorem 6.14 in </w:t>
      </w:r>
      <w:sdt>
        <w:sdtPr>
          <w:id w:val="346062586"/>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CD1DE7" w:rsidRDefault="008B5423"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Pr="00DB72B8" w:rsidRDefault="008B5423" w:rsidP="00481058">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rsidR="00F74888" w:rsidRDefault="00F74888" w:rsidP="00481058">
            <w:pPr>
              <w:jc w:val="right"/>
            </w:pPr>
            <w:r>
              <w:t>(4.1.17)</w:t>
            </w:r>
          </w:p>
        </w:tc>
      </w:tr>
    </w:tbl>
    <w:p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234F3D">
      <w:r w:rsidRPr="00F74888">
        <w:rPr>
          <w:highlight w:val="yellow"/>
        </w:rPr>
        <w:t>(Augmented BN equivalence, ongoing…)</w:t>
      </w:r>
    </w:p>
    <w:p w:rsidR="00F74888" w:rsidRDefault="00F74888" w:rsidP="00234F3D"/>
    <w:p w:rsidR="00AE6DF2" w:rsidRDefault="00AE6DF2" w:rsidP="00AE6DF2">
      <w:pPr>
        <w:pStyle w:val="Heading2"/>
      </w:pPr>
      <w:r>
        <w:t xml:space="preserve">4.2. Parameter learning </w:t>
      </w:r>
      <w:r w:rsidR="00EC1008">
        <w:t>with</w:t>
      </w:r>
      <w:r>
        <w:t xml:space="preserve">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lastRenderedPageBreak/>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w:t>
      </w:r>
      <w:r w:rsidRPr="00CD1DE7">
        <w:lastRenderedPageBreak/>
        <w:t xml:space="preserve">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8B5423"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3" w:name="_Table_III.1.12._Posterior"/>
      <w:bookmarkStart w:id="74" w:name="_Toc511044267"/>
      <w:bookmarkEnd w:id="7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w:t>
      </w:r>
      <w:r w:rsidRPr="00CD1DE7">
        <w:lastRenderedPageBreak/>
        <w:t>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8B5423"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8B5423"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8B542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lastRenderedPageBreak/>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8B542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rsidR="00AE6DF2" w:rsidRDefault="00002010" w:rsidP="00002010">
      <w:r w:rsidRPr="00CD1DE7">
        <w:lastRenderedPageBreak/>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EC1008" w:rsidRDefault="00EC1008" w:rsidP="00EC1008">
      <w:pPr>
        <w:pStyle w:val="Heading2"/>
      </w:pPr>
      <w:r>
        <w:t>4.3. Parameter learning with multinomial complete data</w:t>
      </w:r>
    </w:p>
    <w:p w:rsidR="00EC1008" w:rsidRDefault="00EC1008">
      <w:r w:rsidRPr="00EC1008">
        <w:rPr>
          <w:highlight w:val="yellow"/>
        </w:rPr>
        <w:t>(Ongoing…)</w:t>
      </w:r>
    </w:p>
    <w:p w:rsidR="00EC1008" w:rsidRDefault="00EC1008"/>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t>
      </w:r>
      <w:proofErr w:type="gramStart"/>
      <w:r w:rsidR="00683CC2">
        <w:rPr>
          <w:szCs w:val="24"/>
        </w:rPr>
        <w:t>with regard to</w:t>
      </w:r>
      <w:proofErr w:type="gramEnd"/>
      <w:r w:rsidR="00683CC2">
        <w:rPr>
          <w:szCs w:val="24"/>
        </w:rPr>
        <w:t xml:space="preserve">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lastRenderedPageBreak/>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B5423"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lastRenderedPageBreak/>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rsidR="00847F52" w:rsidRPr="00847F52" w:rsidRDefault="008B542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rsidR="00847F52" w:rsidRPr="00847F52" w:rsidRDefault="008B542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Pr="00847F52" w:rsidRDefault="008B542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End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End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8B5423"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F74888">
              <w:t>5.1.</w:t>
            </w:r>
            <w:r w:rsidR="00E46F7E" w:rsidRPr="00F74888">
              <w:t>4</w:t>
            </w:r>
            <w:r>
              <w:t>)</w:t>
            </w:r>
          </w:p>
        </w:tc>
      </w:tr>
    </w:tbl>
    <w:p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End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rsidR="00222DF2" w:rsidRPr="00847F52" w:rsidRDefault="00847F52" w:rsidP="00847F52">
      <w:pPr>
        <w:jc w:val="center"/>
        <w:rPr>
          <w:szCs w:val="24"/>
        </w:rPr>
      </w:pPr>
      <w:r>
        <w:rPr>
          <w:noProof/>
          <w:szCs w:val="24"/>
        </w:rPr>
        <w:lastRenderedPageBreak/>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rsidR="00E46F7E" w:rsidRPr="00D52149" w:rsidRDefault="008B5423"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End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rsidR="00222DF2" w:rsidRPr="00F74888" w:rsidRDefault="00222DF2" w:rsidP="00222DF2">
      <w:pPr>
        <w:ind w:firstLine="360"/>
        <w:rPr>
          <w:szCs w:val="24"/>
          <w:highlight w:val="yellow"/>
        </w:rPr>
      </w:pPr>
      <w:r w:rsidRPr="00F74888">
        <w:rPr>
          <w:position w:val="-24"/>
          <w:szCs w:val="24"/>
          <w:highlight w:val="yellow"/>
        </w:rPr>
        <w:object w:dxaOrig="3040" w:dyaOrig="580">
          <v:shape id="_x0000_i1027" type="#_x0000_t75" style="width:152.05pt;height:28.8pt" o:ole="">
            <v:imagedata r:id="rId59" o:title=""/>
          </v:shape>
          <o:OLEObject Type="Embed" ProgID="Equation.3" ShapeID="_x0000_i1027" DrawAspect="Content" ObjectID="_1601212976" r:id="rId60"/>
        </w:object>
      </w:r>
    </w:p>
    <w:p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End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v:shape id="_x0000_i1028" type="#_x0000_t75" style="width:168.2pt;height:70.85pt" o:ole="">
            <v:imagedata r:id="rId61" o:title=""/>
          </v:shape>
          <o:OLEObject Type="Embed" ProgID="Equation.3" ShapeID="_x0000_i1028" DrawAspect="Content" ObjectID="_1601212977"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v:shape id="_x0000_i1029" type="#_x0000_t75" style="width:20.75pt;height:16.15pt" o:ole="">
            <v:imagedata r:id="rId63" o:title=""/>
          </v:shape>
          <o:OLEObject Type="Embed" ProgID="Equation.3" ShapeID="_x0000_i1029" DrawAspect="Content" ObjectID="_1601212978"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pStyle w:val="Heading2"/>
        <w:rPr>
          <w:highlight w:val="yellow"/>
        </w:rPr>
      </w:pPr>
      <w:r w:rsidRPr="00F74888">
        <w:rPr>
          <w:highlight w:val="yellow"/>
        </w:rPr>
        <w:t>5.2. Constraint-based approach</w:t>
      </w:r>
    </w:p>
    <w:p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rsidR="00222DF2" w:rsidRPr="00F74888" w:rsidRDefault="00222DF2" w:rsidP="00222DF2">
      <w:pPr>
        <w:numPr>
          <w:ilvl w:val="0"/>
          <w:numId w:val="25"/>
        </w:numPr>
        <w:rPr>
          <w:szCs w:val="24"/>
          <w:highlight w:val="yellow"/>
        </w:rPr>
      </w:pPr>
      <w:r w:rsidRPr="00F74888">
        <w:rPr>
          <w:szCs w:val="24"/>
          <w:highlight w:val="yellow"/>
        </w:rPr>
        <w:lastRenderedPageBreak/>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rsidR="00222DF2" w:rsidRPr="00D52149" w:rsidRDefault="00222DF2" w:rsidP="00222DF2">
      <w:pPr>
        <w:rPr>
          <w:szCs w:val="24"/>
        </w:rPr>
      </w:pPr>
      <w:r w:rsidRPr="00F74888">
        <w:rPr>
          <w:noProof/>
          <w:szCs w:val="24"/>
          <w:highlight w:val="yellow"/>
        </w:rPr>
        <w:lastRenderedPageBreak/>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BD2C52" w:rsidRDefault="00BD2C52"/>
    <w:p w:rsidR="00BD2C52" w:rsidRPr="00BD2C52" w:rsidRDefault="00BD2C52" w:rsidP="00DA1008">
      <w:pPr>
        <w:pStyle w:val="Heading1"/>
      </w:pPr>
      <w:r w:rsidRPr="00BD2C52">
        <w:t>6. Applications</w:t>
      </w:r>
    </w:p>
    <w:p w:rsidR="00BD2C52" w:rsidRDefault="00F74888">
      <w:r w:rsidRPr="00F74888">
        <w:rPr>
          <w:highlight w:val="yellow"/>
        </w:rPr>
        <w:t>(Ongoing…)</w:t>
      </w:r>
    </w:p>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so as to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rsidR="00BD2C52" w:rsidRDefault="00D702C6" w:rsidP="00D702C6">
      <w:pPr>
        <w:ind w:firstLine="360"/>
      </w:pPr>
      <w:r>
        <w:t>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to choose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lastRenderedPageBreak/>
        <w:t>References</w:t>
      </w:r>
    </w:p>
    <w:p w:rsidR="00F74888" w:rsidRDefault="00737619" w:rsidP="00F74888">
      <w:pPr>
        <w:pStyle w:val="Bibliography"/>
        <w:ind w:left="720" w:hanging="720"/>
        <w:rPr>
          <w:noProof/>
          <w:szCs w:val="24"/>
        </w:rPr>
      </w:pPr>
      <w:r>
        <w:fldChar w:fldCharType="begin"/>
      </w:r>
      <w:r>
        <w:instrText xml:space="preserve"> BIBLIOGRAPHY  \l 1033 </w:instrText>
      </w:r>
      <w:r>
        <w:fldChar w:fldCharType="separate"/>
      </w:r>
      <w:r w:rsidR="00F74888">
        <w:rPr>
          <w:noProof/>
        </w:rPr>
        <w:t xml:space="preserve">Borman, S. (2004). </w:t>
      </w:r>
      <w:r w:rsidR="00F74888">
        <w:rPr>
          <w:i/>
          <w:iCs/>
          <w:noProof/>
        </w:rPr>
        <w:t>The Expectation Maximization Algorithm - A short tutorial.</w:t>
      </w:r>
      <w:r w:rsidR="00F74888">
        <w:rPr>
          <w:noProof/>
        </w:rPr>
        <w:t xml:space="preserve"> University of Notre Dame, Department of Electrical Engineering. South Bend, Indiana: Sean Borman's Home Page.</w:t>
      </w:r>
    </w:p>
    <w:p w:rsidR="00F74888" w:rsidRDefault="00F74888" w:rsidP="00F74888">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74888" w:rsidRDefault="00F74888" w:rsidP="00F7488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74888" w:rsidRDefault="00F74888" w:rsidP="00F74888">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74888" w:rsidRDefault="00F74888" w:rsidP="00F74888">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74888" w:rsidRDefault="00F74888" w:rsidP="00F74888">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F74888" w:rsidRDefault="00F74888" w:rsidP="00F74888">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rsidR="00F74888" w:rsidRDefault="00F74888" w:rsidP="00F7488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74888" w:rsidRDefault="00F74888" w:rsidP="00F74888">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rsidR="00F74888" w:rsidRDefault="00F74888" w:rsidP="00F74888">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74888" w:rsidRDefault="00F74888" w:rsidP="00F74888">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74888" w:rsidRDefault="00F74888" w:rsidP="00F74888">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74888" w:rsidRDefault="00F74888" w:rsidP="00F7488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F74888" w:rsidRDefault="00F74888" w:rsidP="00F7488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rsidR="000B5BDB" w:rsidRDefault="00737619" w:rsidP="00DA4EA5">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423" w:rsidRDefault="008B5423" w:rsidP="00BB6BFC">
      <w:r>
        <w:separator/>
      </w:r>
    </w:p>
  </w:endnote>
  <w:endnote w:type="continuationSeparator" w:id="0">
    <w:p w:rsidR="008B5423" w:rsidRDefault="008B5423"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423" w:rsidRDefault="008B5423" w:rsidP="00BB6BFC">
      <w:r>
        <w:separator/>
      </w:r>
    </w:p>
  </w:footnote>
  <w:footnote w:type="continuationSeparator" w:id="0">
    <w:p w:rsidR="008B5423" w:rsidRDefault="008B5423"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w:t>
    </w:r>
    <w:r w:rsidR="00CF73A1">
      <w:rPr>
        <w:sz w:val="20"/>
        <w:szCs w:val="20"/>
      </w:rPr>
      <w:t>,</w:t>
    </w:r>
    <w:r>
      <w:rPr>
        <w:sz w:val="20"/>
        <w:szCs w:val="20"/>
      </w:rPr>
      <w:t xml:space="preserve"> </w:t>
    </w:r>
    <w:r w:rsidR="00CF73A1" w:rsidRPr="00CF73A1">
      <w:rPr>
        <w:sz w:val="20"/>
        <w:szCs w:val="20"/>
      </w:rPr>
      <w:t>Shahid Naseem</w:t>
    </w:r>
    <w:r w:rsidR="00CF73A1">
      <w:rPr>
        <w:sz w:val="20"/>
        <w:szCs w:val="20"/>
      </w:rPr>
      <w:t>,</w:t>
    </w:r>
    <w:r w:rsidR="00CF73A1"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B5BDB"/>
    <w:rsid w:val="000C3F8D"/>
    <w:rsid w:val="000C6CF4"/>
    <w:rsid w:val="000D3DCA"/>
    <w:rsid w:val="000D4146"/>
    <w:rsid w:val="000D54C4"/>
    <w:rsid w:val="000E1D57"/>
    <w:rsid w:val="000E44BD"/>
    <w:rsid w:val="000F0524"/>
    <w:rsid w:val="00103AC1"/>
    <w:rsid w:val="00104DB8"/>
    <w:rsid w:val="00117F59"/>
    <w:rsid w:val="00123B4E"/>
    <w:rsid w:val="00135D8C"/>
    <w:rsid w:val="00136360"/>
    <w:rsid w:val="00137DB8"/>
    <w:rsid w:val="00143A80"/>
    <w:rsid w:val="001538C5"/>
    <w:rsid w:val="00171E60"/>
    <w:rsid w:val="00191EC8"/>
    <w:rsid w:val="00192956"/>
    <w:rsid w:val="001A1154"/>
    <w:rsid w:val="001A48CB"/>
    <w:rsid w:val="001A7D3A"/>
    <w:rsid w:val="001B708B"/>
    <w:rsid w:val="001B7CFA"/>
    <w:rsid w:val="001E1F30"/>
    <w:rsid w:val="001F1FED"/>
    <w:rsid w:val="001F4125"/>
    <w:rsid w:val="001F4C8E"/>
    <w:rsid w:val="002006AC"/>
    <w:rsid w:val="00212319"/>
    <w:rsid w:val="00214041"/>
    <w:rsid w:val="00215FDD"/>
    <w:rsid w:val="00216490"/>
    <w:rsid w:val="00222DF2"/>
    <w:rsid w:val="002256D8"/>
    <w:rsid w:val="00227307"/>
    <w:rsid w:val="00234F3D"/>
    <w:rsid w:val="00237E09"/>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6C4D"/>
    <w:rsid w:val="002F7306"/>
    <w:rsid w:val="00302382"/>
    <w:rsid w:val="003074F1"/>
    <w:rsid w:val="00307F6C"/>
    <w:rsid w:val="00327CAD"/>
    <w:rsid w:val="00340C87"/>
    <w:rsid w:val="003419A3"/>
    <w:rsid w:val="00350F71"/>
    <w:rsid w:val="003518BC"/>
    <w:rsid w:val="00355688"/>
    <w:rsid w:val="00356F92"/>
    <w:rsid w:val="00360077"/>
    <w:rsid w:val="00363254"/>
    <w:rsid w:val="00366CFC"/>
    <w:rsid w:val="00370A3D"/>
    <w:rsid w:val="00384DD9"/>
    <w:rsid w:val="00385374"/>
    <w:rsid w:val="003907C1"/>
    <w:rsid w:val="00392193"/>
    <w:rsid w:val="003B3EDA"/>
    <w:rsid w:val="003E4CFF"/>
    <w:rsid w:val="003E7390"/>
    <w:rsid w:val="003F04D9"/>
    <w:rsid w:val="003F22B6"/>
    <w:rsid w:val="003F3A89"/>
    <w:rsid w:val="003F4F9B"/>
    <w:rsid w:val="00401BC5"/>
    <w:rsid w:val="00413022"/>
    <w:rsid w:val="004368B1"/>
    <w:rsid w:val="0044113B"/>
    <w:rsid w:val="0044155B"/>
    <w:rsid w:val="004445D4"/>
    <w:rsid w:val="00455FBC"/>
    <w:rsid w:val="00456AC5"/>
    <w:rsid w:val="00462DFD"/>
    <w:rsid w:val="004716DF"/>
    <w:rsid w:val="004751EC"/>
    <w:rsid w:val="00497985"/>
    <w:rsid w:val="00497B13"/>
    <w:rsid w:val="004A0465"/>
    <w:rsid w:val="004A2369"/>
    <w:rsid w:val="004B5775"/>
    <w:rsid w:val="004B660E"/>
    <w:rsid w:val="004B6C44"/>
    <w:rsid w:val="004B726F"/>
    <w:rsid w:val="004C266D"/>
    <w:rsid w:val="004C45A6"/>
    <w:rsid w:val="004D3333"/>
    <w:rsid w:val="004D4BC9"/>
    <w:rsid w:val="004D5BBC"/>
    <w:rsid w:val="004E081B"/>
    <w:rsid w:val="004E6F37"/>
    <w:rsid w:val="004F046E"/>
    <w:rsid w:val="0050123C"/>
    <w:rsid w:val="00501BFD"/>
    <w:rsid w:val="005027AF"/>
    <w:rsid w:val="00502942"/>
    <w:rsid w:val="00502C44"/>
    <w:rsid w:val="00507290"/>
    <w:rsid w:val="0051420F"/>
    <w:rsid w:val="00525FF7"/>
    <w:rsid w:val="00534A34"/>
    <w:rsid w:val="00534ED1"/>
    <w:rsid w:val="005367F2"/>
    <w:rsid w:val="0054098D"/>
    <w:rsid w:val="00540B35"/>
    <w:rsid w:val="00553A32"/>
    <w:rsid w:val="00570953"/>
    <w:rsid w:val="00577460"/>
    <w:rsid w:val="00581897"/>
    <w:rsid w:val="00595053"/>
    <w:rsid w:val="00595C03"/>
    <w:rsid w:val="005964B9"/>
    <w:rsid w:val="005B02A2"/>
    <w:rsid w:val="005B642C"/>
    <w:rsid w:val="005C221D"/>
    <w:rsid w:val="005D3C03"/>
    <w:rsid w:val="005D6668"/>
    <w:rsid w:val="005E4343"/>
    <w:rsid w:val="005E78DA"/>
    <w:rsid w:val="005F0433"/>
    <w:rsid w:val="005F181F"/>
    <w:rsid w:val="0060544A"/>
    <w:rsid w:val="00610D14"/>
    <w:rsid w:val="0061469B"/>
    <w:rsid w:val="00625053"/>
    <w:rsid w:val="0063162E"/>
    <w:rsid w:val="00633925"/>
    <w:rsid w:val="0064055A"/>
    <w:rsid w:val="00656608"/>
    <w:rsid w:val="00663011"/>
    <w:rsid w:val="00665837"/>
    <w:rsid w:val="00666B2E"/>
    <w:rsid w:val="00671B39"/>
    <w:rsid w:val="006730DA"/>
    <w:rsid w:val="00676847"/>
    <w:rsid w:val="00680F80"/>
    <w:rsid w:val="006825E4"/>
    <w:rsid w:val="00683CC2"/>
    <w:rsid w:val="00687880"/>
    <w:rsid w:val="00690AE8"/>
    <w:rsid w:val="00695F09"/>
    <w:rsid w:val="00696282"/>
    <w:rsid w:val="006A19ED"/>
    <w:rsid w:val="006A6B47"/>
    <w:rsid w:val="006A6E96"/>
    <w:rsid w:val="006B3AF8"/>
    <w:rsid w:val="006D4C89"/>
    <w:rsid w:val="006F2550"/>
    <w:rsid w:val="006F2A26"/>
    <w:rsid w:val="00700C58"/>
    <w:rsid w:val="007011F1"/>
    <w:rsid w:val="007022BE"/>
    <w:rsid w:val="00704359"/>
    <w:rsid w:val="00706B1E"/>
    <w:rsid w:val="00706B98"/>
    <w:rsid w:val="00710D96"/>
    <w:rsid w:val="0072021F"/>
    <w:rsid w:val="00721E83"/>
    <w:rsid w:val="007251C2"/>
    <w:rsid w:val="0072749A"/>
    <w:rsid w:val="00737619"/>
    <w:rsid w:val="00750FD7"/>
    <w:rsid w:val="007646BF"/>
    <w:rsid w:val="007765A9"/>
    <w:rsid w:val="00791FCA"/>
    <w:rsid w:val="0079290D"/>
    <w:rsid w:val="007A6067"/>
    <w:rsid w:val="007B62A2"/>
    <w:rsid w:val="007C1523"/>
    <w:rsid w:val="007C16F6"/>
    <w:rsid w:val="007C5B10"/>
    <w:rsid w:val="007D1650"/>
    <w:rsid w:val="007D4A7F"/>
    <w:rsid w:val="007E33EB"/>
    <w:rsid w:val="007E406F"/>
    <w:rsid w:val="007E4E67"/>
    <w:rsid w:val="007E5505"/>
    <w:rsid w:val="007E6F89"/>
    <w:rsid w:val="007F23EC"/>
    <w:rsid w:val="007F308F"/>
    <w:rsid w:val="00802AE5"/>
    <w:rsid w:val="00817DA2"/>
    <w:rsid w:val="008217D8"/>
    <w:rsid w:val="008266DA"/>
    <w:rsid w:val="00827098"/>
    <w:rsid w:val="008275E9"/>
    <w:rsid w:val="008361AE"/>
    <w:rsid w:val="00846B5F"/>
    <w:rsid w:val="00847F52"/>
    <w:rsid w:val="0085246D"/>
    <w:rsid w:val="008622B2"/>
    <w:rsid w:val="0086777B"/>
    <w:rsid w:val="00867B8D"/>
    <w:rsid w:val="00873319"/>
    <w:rsid w:val="00873BA8"/>
    <w:rsid w:val="00882780"/>
    <w:rsid w:val="00885EC1"/>
    <w:rsid w:val="008912D9"/>
    <w:rsid w:val="008952F8"/>
    <w:rsid w:val="008974BB"/>
    <w:rsid w:val="00897E43"/>
    <w:rsid w:val="008A16DD"/>
    <w:rsid w:val="008A22AB"/>
    <w:rsid w:val="008A6A53"/>
    <w:rsid w:val="008B2E3F"/>
    <w:rsid w:val="008B5423"/>
    <w:rsid w:val="008C1987"/>
    <w:rsid w:val="008C2B35"/>
    <w:rsid w:val="008C3EC2"/>
    <w:rsid w:val="008C6A5C"/>
    <w:rsid w:val="008C7167"/>
    <w:rsid w:val="008D79B5"/>
    <w:rsid w:val="008E14B5"/>
    <w:rsid w:val="008E7C3B"/>
    <w:rsid w:val="009008A7"/>
    <w:rsid w:val="00901D6C"/>
    <w:rsid w:val="00902A93"/>
    <w:rsid w:val="009137F9"/>
    <w:rsid w:val="0092151C"/>
    <w:rsid w:val="00922C89"/>
    <w:rsid w:val="00925A5A"/>
    <w:rsid w:val="00932927"/>
    <w:rsid w:val="00933CB9"/>
    <w:rsid w:val="00943027"/>
    <w:rsid w:val="00951F2A"/>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2C3A"/>
    <w:rsid w:val="00CA507E"/>
    <w:rsid w:val="00CB0373"/>
    <w:rsid w:val="00CB65EE"/>
    <w:rsid w:val="00CC11A7"/>
    <w:rsid w:val="00CC23AE"/>
    <w:rsid w:val="00CC2F4D"/>
    <w:rsid w:val="00CC56FF"/>
    <w:rsid w:val="00CC6C00"/>
    <w:rsid w:val="00CD4CE8"/>
    <w:rsid w:val="00CE0445"/>
    <w:rsid w:val="00CF2147"/>
    <w:rsid w:val="00CF73A1"/>
    <w:rsid w:val="00D05EC5"/>
    <w:rsid w:val="00D07B75"/>
    <w:rsid w:val="00D12ABD"/>
    <w:rsid w:val="00D15531"/>
    <w:rsid w:val="00D1735F"/>
    <w:rsid w:val="00D25EBA"/>
    <w:rsid w:val="00D70166"/>
    <w:rsid w:val="00D702C6"/>
    <w:rsid w:val="00D73622"/>
    <w:rsid w:val="00D9446E"/>
    <w:rsid w:val="00D95AC5"/>
    <w:rsid w:val="00DA1008"/>
    <w:rsid w:val="00DA1280"/>
    <w:rsid w:val="00DA4EA5"/>
    <w:rsid w:val="00DA543F"/>
    <w:rsid w:val="00DB4B1C"/>
    <w:rsid w:val="00DB4F20"/>
    <w:rsid w:val="00DB6FE5"/>
    <w:rsid w:val="00DB72B8"/>
    <w:rsid w:val="00DC0187"/>
    <w:rsid w:val="00DD6276"/>
    <w:rsid w:val="00DD7F06"/>
    <w:rsid w:val="00DE4636"/>
    <w:rsid w:val="00DE4E99"/>
    <w:rsid w:val="00DF3891"/>
    <w:rsid w:val="00E14A79"/>
    <w:rsid w:val="00E228AF"/>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1008"/>
    <w:rsid w:val="00EC39C8"/>
    <w:rsid w:val="00EC609B"/>
    <w:rsid w:val="00ED5991"/>
    <w:rsid w:val="00EE32C8"/>
    <w:rsid w:val="00EF0453"/>
    <w:rsid w:val="00EF4393"/>
    <w:rsid w:val="00F13556"/>
    <w:rsid w:val="00F17DF5"/>
    <w:rsid w:val="00F2051B"/>
    <w:rsid w:val="00F20E27"/>
    <w:rsid w:val="00F20F3C"/>
    <w:rsid w:val="00F26E1F"/>
    <w:rsid w:val="00F56016"/>
    <w:rsid w:val="00F74888"/>
    <w:rsid w:val="00F76D72"/>
    <w:rsid w:val="00F77422"/>
    <w:rsid w:val="00F83F4B"/>
    <w:rsid w:val="00F90187"/>
    <w:rsid w:val="00F94554"/>
    <w:rsid w:val="00F96A2D"/>
    <w:rsid w:val="00FA31FD"/>
    <w:rsid w:val="00FB7F24"/>
    <w:rsid w:val="00FC2344"/>
    <w:rsid w:val="00FC2D66"/>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C758"/>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s>
</file>

<file path=customXml/itemProps1.xml><?xml version="1.0" encoding="utf-8"?>
<ds:datastoreItem xmlns:ds="http://schemas.openxmlformats.org/officeDocument/2006/customXml" ds:itemID="{5ACC300A-D3C2-4B83-B5FC-320F5120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8532</TotalTime>
  <Pages>73</Pages>
  <Words>27734</Words>
  <Characters>158084</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405</cp:revision>
  <dcterms:created xsi:type="dcterms:W3CDTF">2018-01-15T06:55:00Z</dcterms:created>
  <dcterms:modified xsi:type="dcterms:W3CDTF">2018-10-16T09:36:00Z</dcterms:modified>
</cp:coreProperties>
</file>