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DE4636"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DE4636"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DE4636"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w:t>
      </w:r>
      <w:r w:rsidRPr="00CD1DE7">
        <w:rPr>
          <w:szCs w:val="26"/>
        </w:rPr>
        <w:lastRenderedPageBreak/>
        <w:t xml:space="preserve">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DE4636"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DE4636"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DE4636"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DE463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DE463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DE463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691789"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691790"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DE4636"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DE4636"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FC2D66" w:rsidRPr="00933CB9" w:rsidRDefault="00DE4636" w:rsidP="0061469B">
      <w:pPr>
        <w:jc w:val="left"/>
      </w:pPr>
      <m:oMathPara>
        <m:oMath>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933CB9" w:rsidRDefault="00DE4636"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definition 2.5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lastRenderedPageBreak/>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lastRenderedPageBreak/>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DE4636"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w:t>
      </w:r>
      <w:r w:rsidR="00DE4E99">
        <w:rPr>
          <w:szCs w:val="24"/>
        </w:rPr>
        <w:lastRenderedPageBreak/>
        <w:t xml:space="preserve">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DE4636"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DE4636"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DE4636"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1" w:name="_Hlk520900033"/>
      <w:r>
        <w:rPr>
          <w:szCs w:val="24"/>
        </w:rPr>
        <w:t>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1"/>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2" w:name="_Hlk520900065"/>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2"/>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3" w:name="_Hlk520806938"/>
      <w:r>
        <w:rPr>
          <w:szCs w:val="24"/>
        </w:rPr>
        <w:t xml:space="preserve">Lemma 2.1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3"/>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lastRenderedPageBreak/>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lastRenderedPageBreak/>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DE4636"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lastRenderedPageBreak/>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4"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w:lastRenderedPageBreak/>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4"/>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lastRenderedPageBreak/>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According to 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rsidR="00700C58" w:rsidRDefault="00700C58" w:rsidP="00700C58">
      <w:pPr>
        <w:jc w:val="center"/>
      </w:pPr>
      <w:r>
        <w:rPr>
          <w:noProof/>
        </w:rPr>
        <w:lastRenderedPageBreak/>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rsidTr="00700C58">
        <w:trPr>
          <w:jc w:val="center"/>
        </w:trPr>
        <w:tc>
          <w:tcPr>
            <w:tcW w:w="0" w:type="auto"/>
          </w:tcPr>
          <w:p w:rsidR="00700C58" w:rsidRPr="00CF73A1" w:rsidRDefault="00700C58" w:rsidP="00700C58">
            <w:pPr>
              <w:rPr>
                <w:highlight w:val="yellow"/>
              </w:rPr>
            </w:pPr>
            <w:r w:rsidRPr="00CF73A1">
              <w:rPr>
                <w:i/>
                <w:highlight w:val="yellow"/>
              </w:rPr>
              <w:lastRenderedPageBreak/>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Tr="00700C58">
        <w:trPr>
          <w:jc w:val="center"/>
        </w:trPr>
        <w:tc>
          <w:tcPr>
            <w:tcW w:w="0" w:type="auto"/>
          </w:tcPr>
          <w:p w:rsidR="00700C58" w:rsidRDefault="00700C58" w:rsidP="00700C58">
            <w:r w:rsidRPr="00CF73A1">
              <w:rPr>
                <w:highlight w:val="yellow"/>
              </w:rPr>
              <w:t>0, 0, 0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rsidTr="00481058">
        <w:trPr>
          <w:jc w:val="center"/>
        </w:trPr>
        <w:tc>
          <w:tcPr>
            <w:tcW w:w="0" w:type="auto"/>
          </w:tcPr>
          <w:p w:rsidR="00700C58" w:rsidRPr="00CF73A1" w:rsidRDefault="00700C58" w:rsidP="004810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1/9</w:t>
            </w:r>
          </w:p>
        </w:tc>
        <w:tc>
          <w:tcPr>
            <w:tcW w:w="0" w:type="auto"/>
          </w:tcPr>
          <w:p w:rsidR="00706B98" w:rsidRPr="00CF73A1" w:rsidRDefault="00706B98" w:rsidP="00706B98">
            <w:pPr>
              <w:jc w:val="right"/>
              <w:rPr>
                <w:highlight w:val="yellow"/>
              </w:rPr>
            </w:pPr>
            <w:r w:rsidRPr="00CF73A1">
              <w:rPr>
                <w:highlight w:val="yellow"/>
              </w:rPr>
              <w:t>1/9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4/9</w:t>
            </w:r>
          </w:p>
        </w:tc>
        <w:tc>
          <w:tcPr>
            <w:tcW w:w="0" w:type="auto"/>
          </w:tcPr>
          <w:p w:rsidR="00706B98" w:rsidRPr="00CF73A1" w:rsidRDefault="00706B98" w:rsidP="00706B98">
            <w:pPr>
              <w:jc w:val="right"/>
              <w:rPr>
                <w:highlight w:val="yellow"/>
              </w:rPr>
            </w:pPr>
            <w:r w:rsidRPr="00CF73A1">
              <w:rPr>
                <w:highlight w:val="yellow"/>
              </w:rPr>
              <w:t>4/9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Tr="00481058">
        <w:trPr>
          <w:jc w:val="center"/>
        </w:trPr>
        <w:tc>
          <w:tcPr>
            <w:tcW w:w="0" w:type="auto"/>
          </w:tcPr>
          <w:p w:rsidR="00706B98" w:rsidRPr="00CF73A1" w:rsidRDefault="00706B98" w:rsidP="00706B98">
            <w:pPr>
              <w:rPr>
                <w:highlight w:val="yellow"/>
              </w:rPr>
            </w:pPr>
            <w:r w:rsidRPr="00CF73A1">
              <w:rPr>
                <w:highlight w:val="yellow"/>
              </w:rPr>
              <w:t>0, 0, 0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Default="00706B98" w:rsidP="00706B98">
            <w:pPr>
              <w:jc w:val="right"/>
            </w:pPr>
            <w:r w:rsidRPr="00CF73A1">
              <w:rPr>
                <w:highlight w:val="yellow"/>
              </w:rP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From table 2.4.1, because there is only</w:t>
      </w:r>
      <w:bookmarkStart w:id="15" w:name="_GoBack"/>
      <w:bookmarkEnd w:id="15"/>
      <w:r>
        <w:t xml:space="preserve"> one 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w:t>
      </w:r>
      <w:r w:rsidRPr="00DB4B1C">
        <w:rPr>
          <w:rFonts w:cs="Times New Roman"/>
          <w:szCs w:val="24"/>
        </w:rPr>
        <w:lastRenderedPageBreak/>
        <w:t xml:space="preserve">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lastRenderedPageBreak/>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DE4636"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DE4636"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DE4636"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lastRenderedPageBreak/>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DE4636"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DE4636"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lastRenderedPageBreak/>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DE4636"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DE4636"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lastRenderedPageBreak/>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DE4636"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DE4636"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DE4636"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DE4636"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DE4636"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DE4636"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DE463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DE4636"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DE4636"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DE4636"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DE4636"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DE4636"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DE4636"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DE4636"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DE4636"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lastRenderedPageBreak/>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DE4636"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DE4636"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DE4636"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lastRenderedPageBreak/>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8" w:name="_Toc519602498"/>
      <w:r w:rsidRPr="00CD1DE7">
        <w:rPr>
          <w:b/>
        </w:rPr>
        <w:lastRenderedPageBreak/>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DE4636"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DE4636"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DE4636"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DE4636"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lastRenderedPageBreak/>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xml:space="preserve">; </w:t>
      </w:r>
      <w:r w:rsidRPr="00CD1DE7">
        <w:rPr>
          <w:szCs w:val="26"/>
        </w:rPr>
        <w:lastRenderedPageBreak/>
        <w:t>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F74888" w:rsidRDefault="00DB72B8" w:rsidP="00DB72B8">
      <w:pPr>
        <w:ind w:firstLine="360"/>
      </w:pPr>
      <w:r w:rsidRPr="007D4A7F">
        <w:rPr>
          <w:highlight w:val="yellow"/>
        </w:rPr>
        <w:lastRenderedPageBreak/>
        <w:t xml:space="preserve">The quality of parameter learning depends on how to specifies </w:t>
      </w:r>
      <w:r w:rsidRPr="007D4A7F">
        <w:rPr>
          <w:i/>
          <w:highlight w:val="yellow"/>
        </w:rPr>
        <w:t>a</w:t>
      </w:r>
      <w:r w:rsidRPr="007D4A7F">
        <w:rPr>
          <w:i/>
          <w:highlight w:val="yellow"/>
          <w:vertAlign w:val="subscript"/>
        </w:rPr>
        <w:t>ij</w:t>
      </w:r>
      <w:r w:rsidRPr="007D4A7F">
        <w:rPr>
          <w:highlight w:val="yellow"/>
        </w:rPr>
        <w:t xml:space="preserve"> and </w:t>
      </w:r>
      <w:r w:rsidRPr="007D4A7F">
        <w:rPr>
          <w:i/>
          <w:highlight w:val="yellow"/>
        </w:rPr>
        <w:t>b</w:t>
      </w:r>
      <w:r w:rsidRPr="007D4A7F">
        <w:rPr>
          <w:i/>
          <w:highlight w:val="yellow"/>
          <w:vertAlign w:val="subscript"/>
        </w:rPr>
        <w:t>ij</w:t>
      </w:r>
      <w:r w:rsidRPr="007D4A7F">
        <w:rPr>
          <w:highlight w:val="yellow"/>
        </w:rPr>
        <w:t xml:space="preserve"> in prior. We often set </w:t>
      </w:r>
      <w:r w:rsidRPr="007D4A7F">
        <w:rPr>
          <w:i/>
          <w:highlight w:val="yellow"/>
        </w:rPr>
        <w:t>a</w:t>
      </w:r>
      <w:r w:rsidRPr="007D4A7F">
        <w:rPr>
          <w:i/>
          <w:highlight w:val="yellow"/>
          <w:vertAlign w:val="subscript"/>
        </w:rPr>
        <w:t>ij</w:t>
      </w:r>
      <w:r w:rsidRPr="007D4A7F">
        <w:rPr>
          <w:highlight w:val="yellow"/>
        </w:rPr>
        <w:t xml:space="preserve"> = </w:t>
      </w:r>
      <w:r w:rsidRPr="007D4A7F">
        <w:rPr>
          <w:i/>
          <w:highlight w:val="yellow"/>
        </w:rPr>
        <w:t>b</w:t>
      </w:r>
      <w:r w:rsidRPr="007D4A7F">
        <w:rPr>
          <w:i/>
          <w:highlight w:val="yellow"/>
          <w:vertAlign w:val="subscript"/>
        </w:rPr>
        <w:t>ij</w:t>
      </w:r>
      <w:r w:rsidRPr="007D4A7F">
        <w:rPr>
          <w:highlight w:val="yellow"/>
        </w:rPr>
        <w:t xml:space="preserve"> so that the original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0.5 and hence the updated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w:t>
      </w:r>
      <m:oMath>
        <m:r>
          <m:rPr>
            <m:scr m:val="script"/>
          </m:rPr>
          <w:rPr>
            <w:rFonts w:ascii="Cambria Math" w:hAnsi="Cambria Math"/>
            <w:szCs w:val="26"/>
            <w:highlight w:val="yellow"/>
          </w:rPr>
          <m:t>D</m:t>
        </m:r>
      </m:oMath>
      <w:r w:rsidRPr="007D4A7F">
        <w:rPr>
          <w:highlight w:val="yellow"/>
        </w:rPr>
        <w:t xml:space="preserve">) are computed faithfully from sample. However, </w:t>
      </w:r>
      <w:r w:rsidR="007D4A7F" w:rsidRPr="007D4A7F">
        <w:rPr>
          <w:highlight w:val="yellow"/>
        </w:rPr>
        <w:t xml:space="preserve">the number </w:t>
      </w:r>
      <w:proofErr w:type="spellStart"/>
      <w:r w:rsidRPr="007D4A7F">
        <w:rPr>
          <w:i/>
          <w:highlight w:val="yellow"/>
        </w:rPr>
        <w:t>N</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a</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b</w:t>
      </w:r>
      <w:r w:rsidRPr="007D4A7F">
        <w:rPr>
          <w:i/>
          <w:highlight w:val="yellow"/>
          <w:vertAlign w:val="subscript"/>
        </w:rPr>
        <w:t>ij</w:t>
      </w:r>
      <w:proofErr w:type="spellEnd"/>
      <w:r w:rsidRPr="007D4A7F">
        <w:rPr>
          <w:highlight w:val="yellow"/>
        </w:rPr>
        <w:t xml:space="preserve"> also affects the quality of parameter learning. Hence, if a so-called equivalent sample size is satisfied, the quality of parameter learning is faithful.</w:t>
      </w:r>
      <w:r w:rsidR="00F74888" w:rsidRPr="007D4A7F">
        <w:rPr>
          <w:highlight w:val="yellow"/>
        </w:rPr>
        <w:t xml:space="preserve"> Another goal </w:t>
      </w:r>
      <w:sdt>
        <w:sdtPr>
          <w:rPr>
            <w:highlight w:val="yellow"/>
          </w:rPr>
          <w:id w:val="1232582990"/>
          <w:citation/>
        </w:sdtPr>
        <w:sdtContent>
          <w:r w:rsidR="00F74888" w:rsidRPr="007D4A7F">
            <w:rPr>
              <w:highlight w:val="yellow"/>
            </w:rPr>
            <w:fldChar w:fldCharType="begin"/>
          </w:r>
          <w:r w:rsidR="00F74888" w:rsidRPr="007D4A7F">
            <w:rPr>
              <w:highlight w:val="yellow"/>
            </w:rPr>
            <w:instrText xml:space="preserve">CITATION Neapolitan2003 \p 351 \l 1033 </w:instrText>
          </w:r>
          <w:r w:rsidR="00F74888" w:rsidRPr="007D4A7F">
            <w:rPr>
              <w:highlight w:val="yellow"/>
            </w:rPr>
            <w:fldChar w:fldCharType="separate"/>
          </w:r>
          <w:r w:rsidR="00F74888" w:rsidRPr="007D4A7F">
            <w:rPr>
              <w:noProof/>
              <w:highlight w:val="yellow"/>
            </w:rPr>
            <w:t>(Neapolitan, 2003, p. 351)</w:t>
          </w:r>
          <w:r w:rsidR="00F74888" w:rsidRPr="007D4A7F">
            <w:rPr>
              <w:highlight w:val="yellow"/>
            </w:rPr>
            <w:fldChar w:fldCharType="end"/>
          </w:r>
        </w:sdtContent>
      </w:sdt>
      <w:r w:rsidR="00F74888" w:rsidRPr="007D4A7F">
        <w:rPr>
          <w:highlight w:val="yellow"/>
        </w:rPr>
        <w:t xml:space="preserve"> of </w:t>
      </w:r>
      <w:r w:rsidR="00F74888" w:rsidRPr="007D4A7F">
        <w:rPr>
          <w:highlight w:val="yellow"/>
        </w:rPr>
        <w:t>equivalent sample size</w:t>
      </w:r>
      <w:r w:rsidR="00F74888" w:rsidRPr="007D4A7F">
        <w:rPr>
          <w:highlight w:val="yellow"/>
        </w:rPr>
        <w:t xml:space="preserve"> is that updated parameters </w:t>
      </w:r>
      <w:proofErr w:type="spellStart"/>
      <w:r w:rsidR="00F74888" w:rsidRPr="007D4A7F">
        <w:rPr>
          <w:i/>
          <w:highlight w:val="yellow"/>
        </w:rPr>
        <w:t>a</w:t>
      </w:r>
      <w:r w:rsidR="00F74888" w:rsidRPr="007D4A7F">
        <w:rPr>
          <w:i/>
          <w:highlight w:val="yellow"/>
          <w:vertAlign w:val="subscript"/>
        </w:rPr>
        <w:t>ij</w:t>
      </w:r>
      <w:proofErr w:type="spellEnd"/>
      <w:r w:rsidR="00F74888" w:rsidRPr="007D4A7F">
        <w:rPr>
          <w:highlight w:val="yellow"/>
        </w:rPr>
        <w:t xml:space="preserve"> and </w:t>
      </w:r>
      <w:proofErr w:type="spellStart"/>
      <w:r w:rsidR="00F74888" w:rsidRPr="007D4A7F">
        <w:rPr>
          <w:i/>
          <w:highlight w:val="yellow"/>
        </w:rPr>
        <w:t>b</w:t>
      </w:r>
      <w:r w:rsidR="00F74888" w:rsidRPr="007D4A7F">
        <w:rPr>
          <w:i/>
          <w:highlight w:val="yellow"/>
          <w:vertAlign w:val="subscript"/>
        </w:rPr>
        <w:t>ij</w:t>
      </w:r>
      <w:proofErr w:type="spellEnd"/>
      <w:r w:rsidR="00F74888" w:rsidRPr="007D4A7F">
        <w:rPr>
          <w:highlight w:val="yellow"/>
        </w:rPr>
        <w:t xml:space="preserve"> based on sample will keep conditional independences entailed by the DAG</w:t>
      </w:r>
      <w:r w:rsidR="00F74888">
        <w:t>.</w:t>
      </w:r>
    </w:p>
    <w:p w:rsidR="00DB72B8" w:rsidRDefault="00DB72B8" w:rsidP="00DB72B8">
      <w:pPr>
        <w:ind w:firstLine="360"/>
      </w:pP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DE4636"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DE4636"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augmented BN in figure 4.1.3 does not have prior 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rsidR="00D1735F" w:rsidRPr="00F74888" w:rsidRDefault="00DE4636"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rsidR="00F74888" w:rsidRDefault="00F74888" w:rsidP="00F74888">
      <w:pPr>
        <w:ind w:firstLine="360"/>
      </w:pPr>
      <w:r>
        <w:t xml:space="preserve">According to </w:t>
      </w:r>
      <w:r>
        <w:t>theorem</w:t>
      </w:r>
      <w:r>
        <w:t xml:space="preserve"> 6.13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4.1.1</w:t>
      </w:r>
      <w:r>
        <w:rPr>
          <w:szCs w:val="26"/>
        </w:rPr>
        <w:t>6</w:t>
      </w:r>
      <w:r>
        <w:rPr>
          <w:szCs w:val="26"/>
        </w:rPr>
        <w:t xml:space="preserve">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DB72B8" w:rsidRDefault="00F74888" w:rsidP="0048105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rsidR="00F74888" w:rsidRDefault="00F74888" w:rsidP="00481058">
            <w:pPr>
              <w:jc w:val="right"/>
            </w:pPr>
            <w:r>
              <w:t>(4.1.1</w:t>
            </w:r>
            <w:r>
              <w:t>6</w:t>
            </w:r>
            <w:r>
              <w:t>)</w:t>
            </w:r>
          </w:p>
        </w:tc>
      </w:tr>
    </w:tbl>
    <w:p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w:t>
      </w:r>
      <w:r>
        <w:rPr>
          <w:szCs w:val="26"/>
        </w:rPr>
        <w:t xml:space="preserve"> </w:t>
      </w:r>
      <w:r w:rsidRPr="00CD1DE7">
        <w:rPr>
          <w:szCs w:val="26"/>
          <w:lang w:val="pt-BR"/>
        </w:rPr>
        <w:t>It is easy to prove this theorem, we have:</w:t>
      </w:r>
    </w:p>
    <w:p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F74888">
      <w:r>
        <w:t>According to theorem 6.1</w:t>
      </w:r>
      <w:r>
        <w:t>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4.1.1</w:t>
      </w:r>
      <w:r>
        <w:rPr>
          <w:szCs w:val="26"/>
        </w:rPr>
        <w:t>7</w:t>
      </w:r>
      <w:r>
        <w:rPr>
          <w:szCs w:val="26"/>
        </w:rPr>
        <w:t xml:space="preserve">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CD1DE7" w:rsidRDefault="00F74888"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Pr="00DB72B8" w:rsidRDefault="00F74888" w:rsidP="00481058">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rsidR="00F74888" w:rsidRDefault="00F74888" w:rsidP="00481058">
            <w:pPr>
              <w:jc w:val="right"/>
            </w:pPr>
            <w:r>
              <w:t>(4.1.1</w:t>
            </w:r>
            <w:r>
              <w:t>7</w:t>
            </w:r>
            <w:r>
              <w:t>)</w:t>
            </w:r>
          </w:p>
        </w:tc>
      </w:tr>
    </w:tbl>
    <w:p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Pr="00CD1DE7" w:rsidRDefault="00F74888" w:rsidP="00F74888">
      <w:pPr>
        <w:rPr>
          <w:szCs w:val="26"/>
          <w:lang w:val="pt-BR"/>
        </w:rPr>
      </w:pPr>
      <m:oMathPara>
        <m:oMath>
          <m:r>
            <m:rPr>
              <m:sty m:val="p"/>
            </m:rPr>
            <w:rPr>
              <w:rFonts w:ascii="Cambria Math" w:hAnsi="Cambria Math"/>
              <w:szCs w:val="26"/>
            </w:rPr>
            <w:lastRenderedPageBreak/>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r>
            <w:rPr>
              <w:rFonts w:ascii="Cambria Math" w:hAnsi="Cambria Math"/>
              <w:szCs w:val="26"/>
            </w:rPr>
            <m:t>∎</m:t>
          </m:r>
        </m:oMath>
      </m:oMathPara>
    </w:p>
    <w:p w:rsidR="00F74888" w:rsidRDefault="00F74888" w:rsidP="00234F3D">
      <w:r w:rsidRPr="00F74888">
        <w:rPr>
          <w:highlight w:val="yellow"/>
        </w:rPr>
        <w:t>(Augmented BN equivalence, ongoing…)</w:t>
      </w:r>
    </w:p>
    <w:p w:rsidR="00F74888" w:rsidRDefault="00F74888" w:rsidP="00234F3D"/>
    <w:p w:rsidR="00AE6DF2" w:rsidRDefault="00AE6DF2" w:rsidP="00AE6DF2">
      <w:pPr>
        <w:pStyle w:val="Heading2"/>
      </w:pPr>
      <w:r>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DE4636"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3" w:name="_Table_III.1.12._Posterior"/>
      <w:bookmarkStart w:id="74" w:name="_Toc511044267"/>
      <w:bookmarkEnd w:id="73"/>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DE4636"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DE4636"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DE463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DE463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lastRenderedPageBreak/>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having the same </w:t>
      </w:r>
      <w:r w:rsidR="008C2B35" w:rsidRPr="008C2B35">
        <w:rPr>
          <w:i/>
          <w:szCs w:val="24"/>
        </w:rPr>
        <w:t>V</w:t>
      </w:r>
      <w:r w:rsidRPr="00D52149">
        <w:rPr>
          <w:szCs w:val="24"/>
        </w:rPr>
        <w:t>.</w:t>
      </w:r>
      <w:r w:rsidR="00683CC2">
        <w:rPr>
          <w:szCs w:val="24"/>
        </w:rPr>
        <w:t xml:space="preserve"> 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Pr="0050123C">
        <w:rPr>
          <w:i/>
          <w:szCs w:val="24"/>
        </w:rPr>
        <w:t>G</w:t>
      </w:r>
      <w:r>
        <w:rPr>
          <w:szCs w:val="24"/>
        </w:rPr>
        <w:t xml:space="preserve"> = </w:t>
      </w:r>
      <w:r w:rsidRPr="0050123C">
        <w:rPr>
          <w:i/>
          <w:szCs w:val="24"/>
        </w:rPr>
        <w:t>gp</w:t>
      </w:r>
      <w:r>
        <w:rPr>
          <w:szCs w:val="24"/>
        </w:rPr>
        <w:t xml:space="preserve">. 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DE4636"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m:oMath>
        <m:acc>
          <m:accPr>
            <m:ctrlPr>
              <w:rPr>
                <w:rFonts w:ascii="Cambria Math" w:hAnsi="Cambria Math"/>
                <w:i/>
                <w:szCs w:val="24"/>
              </w:rPr>
            </m:ctrlPr>
          </m:accPr>
          <m:e>
            <m:r>
              <w:rPr>
                <w:rFonts w:ascii="Cambria Math" w:hAnsi="Cambria Math"/>
                <w:szCs w:val="24"/>
              </w:rPr>
              <m:t>gp</m:t>
            </m:r>
          </m:e>
        </m:acc>
      </m:oMath>
      <w:r w:rsidRPr="00D52149">
        <w:rPr>
          <w:szCs w:val="24"/>
        </w:rPr>
        <w:t xml:space="preserve"> </w:t>
      </w:r>
      <w:r w:rsidR="006F2A26">
        <w:rPr>
          <w:szCs w:val="24"/>
        </w:rPr>
        <w:t>that maximizes</w:t>
      </w:r>
      <w:r w:rsidRPr="00D52149">
        <w:rPr>
          <w:szCs w:val="24"/>
        </w:rPr>
        <w:t xml:space="preserve"> </w:t>
      </w:r>
      <w:r w:rsidRPr="00D52149">
        <w:rPr>
          <w:i/>
          <w:szCs w:val="24"/>
        </w:rPr>
        <w:t>score</w:t>
      </w:r>
      <w:r w:rsidRPr="00D52149">
        <w:rPr>
          <w:szCs w:val="24"/>
        </w:rPr>
        <w:t>(</w:t>
      </w:r>
      <w:r w:rsidRPr="00D52149">
        <w:rPr>
          <w:i/>
          <w:szCs w:val="24"/>
        </w:rPr>
        <w:t>D</w:t>
      </w:r>
      <w:r w:rsidRPr="00847F52">
        <w:rPr>
          <w:szCs w:val="24"/>
        </w:rPr>
        <w:t>,</w:t>
      </w:r>
      <w:r w:rsidR="00847F52">
        <w:rPr>
          <w:i/>
          <w:szCs w:val="24"/>
        </w:rPr>
        <w:t xml:space="preserve"> </w:t>
      </w:r>
      <w:r w:rsidRPr="00D52149">
        <w:rPr>
          <w:i/>
          <w:szCs w:val="24"/>
        </w:rPr>
        <w:t>gp</w:t>
      </w:r>
      <w:r w:rsidRPr="00D52149">
        <w:rPr>
          <w:szCs w:val="24"/>
        </w:rPr>
        <w:t xml:space="preserve">) is </w:t>
      </w:r>
      <w:r>
        <w:rPr>
          <w:szCs w:val="24"/>
        </w:rPr>
        <w:t>selected</w:t>
      </w:r>
      <w:r w:rsidR="00847F52">
        <w:rPr>
          <w:szCs w:val="24"/>
        </w:rPr>
        <w:t xml:space="preserve"> as the final DAG </w:t>
      </w:r>
      <m:oMath>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gp</m:t>
            </m:r>
          </m:e>
        </m:acc>
      </m:oMath>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DE4636"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DE4636"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DE4636"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DE4636"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F74888">
              <w:t>5.1.</w:t>
            </w:r>
            <w:r w:rsidR="00E46F7E" w:rsidRPr="00F74888">
              <w:t>4</w:t>
            </w:r>
            <w:r>
              <w:t>)</w:t>
            </w:r>
          </w:p>
        </w:tc>
      </w:tr>
    </w:tbl>
    <w:p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lastRenderedPageBreak/>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lastRenderedPageBreak/>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DE4636"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rsidR="00222DF2" w:rsidRPr="00F74888" w:rsidRDefault="00222DF2" w:rsidP="00222DF2">
      <w:pPr>
        <w:ind w:firstLine="360"/>
        <w:rPr>
          <w:szCs w:val="24"/>
          <w:highlight w:val="yellow"/>
        </w:rPr>
      </w:pPr>
      <w:r w:rsidRPr="00F74888">
        <w:rPr>
          <w:position w:val="-24"/>
          <w:szCs w:val="24"/>
          <w:highlight w:val="yellow"/>
        </w:rPr>
        <w:object w:dxaOrig="3040" w:dyaOrig="580">
          <v:shape id="_x0000_i1027" type="#_x0000_t75" style="width:152.05pt;height:28.8pt" o:ole="">
            <v:imagedata r:id="rId59" o:title=""/>
          </v:shape>
          <o:OLEObject Type="Embed" ProgID="Equation.3" ShapeID="_x0000_i1027" DrawAspect="Content" ObjectID="_1594691791" r:id="rId60"/>
        </w:object>
      </w:r>
    </w:p>
    <w:p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v:shape id="_x0000_i1028" type="#_x0000_t75" style="width:168.2pt;height:70.85pt" o:ole="">
            <v:imagedata r:id="rId61" o:title=""/>
          </v:shape>
          <o:OLEObject Type="Embed" ProgID="Equation.3" ShapeID="_x0000_i1028" DrawAspect="Content" ObjectID="_1594691792"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v:shape id="_x0000_i1029" type="#_x0000_t75" style="width:20.75pt;height:16.15pt" o:ole="">
            <v:imagedata r:id="rId63" o:title=""/>
          </v:shape>
          <o:OLEObject Type="Embed" ProgID="Equation.3" ShapeID="_x0000_i1029" DrawAspect="Content" ObjectID="_1594691793"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pStyle w:val="Heading2"/>
        <w:rPr>
          <w:highlight w:val="yellow"/>
        </w:rPr>
      </w:pPr>
      <w:r w:rsidRPr="00F74888">
        <w:rPr>
          <w:highlight w:val="yellow"/>
        </w:rPr>
        <w:t>5.2. Constraint-based approach</w:t>
      </w:r>
    </w:p>
    <w:p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rsidR="00222DF2" w:rsidRPr="00F74888" w:rsidRDefault="00222DF2" w:rsidP="00222DF2">
      <w:pPr>
        <w:rPr>
          <w:b/>
          <w:szCs w:val="24"/>
          <w:highlight w:val="yellow"/>
        </w:rPr>
      </w:pPr>
      <w:r w:rsidRPr="00F74888">
        <w:rPr>
          <w:b/>
          <w:noProof/>
          <w:szCs w:val="24"/>
          <w:highlight w:val="yellow"/>
        </w:rPr>
        <w:lastRenderedPageBreak/>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rsidR="00222DF2" w:rsidRPr="00D52149" w:rsidRDefault="00222DF2" w:rsidP="00222DF2">
      <w:pPr>
        <w:rPr>
          <w:szCs w:val="24"/>
        </w:rPr>
      </w:pPr>
      <w:r w:rsidRPr="00F74888">
        <w:rPr>
          <w:noProof/>
          <w:szCs w:val="24"/>
          <w:highlight w:val="yellow"/>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BD2C52" w:rsidRDefault="00BD2C52"/>
    <w:p w:rsidR="00BD2C52" w:rsidRPr="00BD2C52" w:rsidRDefault="00BD2C52" w:rsidP="00DA1008">
      <w:pPr>
        <w:pStyle w:val="Heading1"/>
      </w:pPr>
      <w:r w:rsidRPr="00BD2C52">
        <w:t>6. Applications</w:t>
      </w:r>
    </w:p>
    <w:p w:rsidR="00BD2C52" w:rsidRDefault="00F74888">
      <w:r w:rsidRPr="00F74888">
        <w:rPr>
          <w:highlight w:val="yellow"/>
        </w:rPr>
        <w:t>(Ongoing…)</w:t>
      </w:r>
    </w:p>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rsidR="00BD2C52" w:rsidRDefault="00D702C6" w:rsidP="00D702C6">
      <w:pPr>
        <w:ind w:firstLine="360"/>
      </w:pPr>
      <w:r>
        <w:lastRenderedPageBreak/>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74888" w:rsidRDefault="00737619" w:rsidP="00F74888">
      <w:pPr>
        <w:pStyle w:val="Bibliography"/>
        <w:ind w:left="720" w:hanging="720"/>
        <w:rPr>
          <w:noProof/>
          <w:szCs w:val="24"/>
        </w:rPr>
      </w:pPr>
      <w:r>
        <w:fldChar w:fldCharType="begin"/>
      </w:r>
      <w:r>
        <w:instrText xml:space="preserve"> BIBLIOGRAPHY  \l 1033 </w:instrText>
      </w:r>
      <w:r>
        <w:fldChar w:fldCharType="separate"/>
      </w:r>
      <w:r w:rsidR="00F74888">
        <w:rPr>
          <w:noProof/>
        </w:rPr>
        <w:t xml:space="preserve">Borman, S. (2004). </w:t>
      </w:r>
      <w:r w:rsidR="00F74888">
        <w:rPr>
          <w:i/>
          <w:iCs/>
          <w:noProof/>
        </w:rPr>
        <w:t>The Expectation Maximization Algorithm - A short tutorial.</w:t>
      </w:r>
      <w:r w:rsidR="00F74888">
        <w:rPr>
          <w:noProof/>
        </w:rPr>
        <w:t xml:space="preserve"> University of Notre Dame, Department of Electrical Engineering. South Bend, Indiana: Sean Borman's Home Page.</w:t>
      </w:r>
    </w:p>
    <w:p w:rsidR="00F74888" w:rsidRDefault="00F74888" w:rsidP="00F74888">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74888" w:rsidRDefault="00F74888" w:rsidP="00F7488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74888" w:rsidRDefault="00F74888" w:rsidP="00F74888">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74888" w:rsidRDefault="00F74888" w:rsidP="00F74888">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74888" w:rsidRDefault="00F74888" w:rsidP="00F74888">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F74888" w:rsidRDefault="00F74888" w:rsidP="00F74888">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F74888" w:rsidRDefault="00F74888" w:rsidP="00F7488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74888" w:rsidRDefault="00F74888" w:rsidP="00F74888">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F74888" w:rsidRDefault="00F74888" w:rsidP="00F74888">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74888" w:rsidRDefault="00F74888" w:rsidP="00F74888">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74888" w:rsidRDefault="00F74888" w:rsidP="00F74888">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74888" w:rsidRDefault="00F74888" w:rsidP="00F74888">
      <w:pPr>
        <w:pStyle w:val="Bibliography"/>
        <w:ind w:left="720" w:hanging="720"/>
        <w:rPr>
          <w:noProof/>
        </w:rPr>
      </w:pPr>
      <w:r>
        <w:rPr>
          <w:noProof/>
        </w:rPr>
        <w:lastRenderedPageBreak/>
        <w:t xml:space="preserve">Wikipedia. (2014, October 10). </w:t>
      </w:r>
      <w:r>
        <w:rPr>
          <w:i/>
          <w:iCs/>
          <w:noProof/>
        </w:rPr>
        <w:t>Set (mathematics)</w:t>
      </w:r>
      <w:r>
        <w:rPr>
          <w:noProof/>
        </w:rPr>
        <w:t>. (A. Rubin, Editor, &amp; Wikimedia Foundation) Retrieved October 11, 2014, from Wikipedia website: http://en.wikipedia.org/wiki/Set_(mathematics)</w:t>
      </w:r>
    </w:p>
    <w:p w:rsidR="00F74888" w:rsidRDefault="00F74888" w:rsidP="00F7488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0B5BDB" w:rsidRDefault="00737619" w:rsidP="00DA4EA5">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636" w:rsidRDefault="00DE4636" w:rsidP="00BB6BFC">
      <w:r>
        <w:separator/>
      </w:r>
    </w:p>
  </w:endnote>
  <w:endnote w:type="continuationSeparator" w:id="0">
    <w:p w:rsidR="00DE4636" w:rsidRDefault="00DE4636"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636" w:rsidRDefault="00DE4636" w:rsidP="00BB6BFC">
      <w:r>
        <w:separator/>
      </w:r>
    </w:p>
  </w:footnote>
  <w:footnote w:type="continuationSeparator" w:id="0">
    <w:p w:rsidR="00DE4636" w:rsidRDefault="00DE4636"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w:t>
    </w:r>
    <w:r w:rsidR="00CF73A1">
      <w:rPr>
        <w:sz w:val="20"/>
        <w:szCs w:val="20"/>
      </w:rPr>
      <w:t>,</w:t>
    </w:r>
    <w:r>
      <w:rPr>
        <w:sz w:val="20"/>
        <w:szCs w:val="20"/>
      </w:rPr>
      <w:t xml:space="preserve"> </w:t>
    </w:r>
    <w:r w:rsidR="00CF73A1" w:rsidRPr="00CF73A1">
      <w:rPr>
        <w:sz w:val="20"/>
        <w:szCs w:val="20"/>
      </w:rPr>
      <w:t>Shahid Naseem</w:t>
    </w:r>
    <w:r w:rsidR="00CF73A1">
      <w:rPr>
        <w:sz w:val="20"/>
        <w:szCs w:val="20"/>
      </w:rPr>
      <w:t>,</w:t>
    </w:r>
    <w:r w:rsidR="00CF73A1"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B5BDB"/>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2956"/>
    <w:rsid w:val="001A48CB"/>
    <w:rsid w:val="001A7D3A"/>
    <w:rsid w:val="001B708B"/>
    <w:rsid w:val="001B7CFA"/>
    <w:rsid w:val="001E1F30"/>
    <w:rsid w:val="001F1FED"/>
    <w:rsid w:val="001F4125"/>
    <w:rsid w:val="001F4C8E"/>
    <w:rsid w:val="002006AC"/>
    <w:rsid w:val="00212319"/>
    <w:rsid w:val="00214041"/>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2382"/>
    <w:rsid w:val="003074F1"/>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D4A7F"/>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507E"/>
    <w:rsid w:val="00CB0373"/>
    <w:rsid w:val="00CB65EE"/>
    <w:rsid w:val="00CC11A7"/>
    <w:rsid w:val="00CC23AE"/>
    <w:rsid w:val="00CC2F4D"/>
    <w:rsid w:val="00CC56FF"/>
    <w:rsid w:val="00CC6C00"/>
    <w:rsid w:val="00CD4CE8"/>
    <w:rsid w:val="00CE0445"/>
    <w:rsid w:val="00CF2147"/>
    <w:rsid w:val="00CF73A1"/>
    <w:rsid w:val="00D05EC5"/>
    <w:rsid w:val="00D07B75"/>
    <w:rsid w:val="00D12ABD"/>
    <w:rsid w:val="00D15531"/>
    <w:rsid w:val="00D1735F"/>
    <w:rsid w:val="00D25EBA"/>
    <w:rsid w:val="00D70166"/>
    <w:rsid w:val="00D702C6"/>
    <w:rsid w:val="00D9446E"/>
    <w:rsid w:val="00D95AC5"/>
    <w:rsid w:val="00DA1008"/>
    <w:rsid w:val="00DA1280"/>
    <w:rsid w:val="00DA4EA5"/>
    <w:rsid w:val="00DA543F"/>
    <w:rsid w:val="00DB4B1C"/>
    <w:rsid w:val="00DB4F20"/>
    <w:rsid w:val="00DB6FE5"/>
    <w:rsid w:val="00DB72B8"/>
    <w:rsid w:val="00DC0187"/>
    <w:rsid w:val="00DD6276"/>
    <w:rsid w:val="00DD7F06"/>
    <w:rsid w:val="00DE4636"/>
    <w:rsid w:val="00DE4E99"/>
    <w:rsid w:val="00DF3891"/>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D5991"/>
    <w:rsid w:val="00EE32C8"/>
    <w:rsid w:val="00EF0453"/>
    <w:rsid w:val="00EF4393"/>
    <w:rsid w:val="00F13556"/>
    <w:rsid w:val="00F17DF5"/>
    <w:rsid w:val="00F2051B"/>
    <w:rsid w:val="00F20E27"/>
    <w:rsid w:val="00F20F3C"/>
    <w:rsid w:val="00F26E1F"/>
    <w:rsid w:val="00F56016"/>
    <w:rsid w:val="00F74888"/>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AE90"/>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CAB7E6C9-B7A6-4672-92A1-96ED19B2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8354</TotalTime>
  <Pages>73</Pages>
  <Words>27528</Words>
  <Characters>156916</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393</cp:revision>
  <dcterms:created xsi:type="dcterms:W3CDTF">2018-01-15T06:55:00Z</dcterms:created>
  <dcterms:modified xsi:type="dcterms:W3CDTF">2018-08-01T22:09:00Z</dcterms:modified>
</cp:coreProperties>
</file>