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 xml:space="preserve">an initial probability or prior probability. Note, in classical statistical theory, the random variable’s probability is objective (physical) through trials. But, in Bayesian method, the </w:t>
      </w:r>
      <w:r w:rsidRPr="00CD1DE7">
        <w:rPr>
          <w:szCs w:val="26"/>
        </w:rPr>
        <w:lastRenderedPageBreak/>
        <w:t>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8D79B5"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8D79B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8D79B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8D79B5"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1538C5" w:rsidRPr="001538C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8D79B5"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8D79B5"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8D79B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8D79B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8D79B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bookmarkStart w:id="8" w:name="_GoBack"/>
      <w:bookmarkEnd w:id="8"/>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604666"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604667"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8D79B5"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8D79B5"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FC2D66" w:rsidRPr="00933CB9" w:rsidRDefault="008D79B5" w:rsidP="0061469B">
      <w:pPr>
        <w:jc w:val="left"/>
      </w:pPr>
      <m:oMathPara>
        <m:oMath>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933CB9" w:rsidRDefault="008D79B5"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m:t>
          </m:r>
          <m:r>
            <w:rPr>
              <w:rFonts w:ascii="Cambria Math" w:hAnsi="Cambria Math"/>
            </w:rPr>
            <m:t>V</m:t>
          </m:r>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m:t>
          </m:r>
          <m:r>
            <w:rPr>
              <w:rFonts w:ascii="Cambria Math" w:hAnsi="Cambria Math"/>
            </w:rPr>
            <m:t>V</m:t>
          </m:r>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 2.2.2 </w:t>
      </w:r>
      <w:sdt>
        <w:sdtPr>
          <w:id w:val="1639606297"/>
          <w:citation/>
        </w:sdtPr>
        <w:sdtEndPr/>
        <w:sdtContent>
          <w:r>
            <w:fldChar w:fldCharType="begin"/>
          </w:r>
          <w:r>
            <w:instrText xml:space="preserve">CITATION Neapolitan2003 \p 12 \l 1033 </w:instrText>
          </w:r>
          <w:r>
            <w:fldChar w:fldCharType="separate"/>
          </w:r>
          <w:r>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A740DF">
            <w:instrText xml:space="preserve">CITATION Neapolitan2003 \p 32 \l 1033 </w:instrText>
          </w:r>
          <w:r>
            <w:fldChar w:fldCharType="separate"/>
          </w:r>
          <w:r w:rsidR="00A740DF">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BF178A" w:rsidP="00BF178A">
      <w:r>
        <w:t xml:space="preserve">Each object is assigned to a probability of 1/13.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w:t>
      </w:r>
      <w:r w:rsidR="00DD7F06">
        <w:t xml:space="preserve">as relative frequencies </w:t>
      </w:r>
      <w:r>
        <w:t xml:space="preserve">among such 13 objects. For example,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is probability of objects which are black, named “1”, and square. There are 2 such objects and hence,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 2/13. As another example, we need to calculate the marginal probability </w:t>
      </w:r>
      <w:proofErr w:type="gramStart"/>
      <w:r w:rsidRPr="00BF178A">
        <w:rPr>
          <w:i/>
        </w:rPr>
        <w:t>P</w:t>
      </w:r>
      <w:r>
        <w:t>(</w:t>
      </w:r>
      <w:proofErr w:type="gramEnd"/>
      <w:r w:rsidRPr="00BF178A">
        <w:rPr>
          <w:i/>
        </w:rPr>
        <w:t>X</w:t>
      </w:r>
      <w:r>
        <w:t xml:space="preserve">=1, </w:t>
      </w:r>
      <w:r w:rsidRPr="00BF178A">
        <w:rPr>
          <w:i/>
        </w:rPr>
        <w:t>Y</w:t>
      </w:r>
      <w:r>
        <w:t xml:space="preserve">=1) and the conditional probability </w:t>
      </w:r>
      <w:r w:rsidRPr="00BF178A">
        <w:rPr>
          <w:i/>
        </w:rPr>
        <w:t>P</w:t>
      </w:r>
      <w:r>
        <w:t>(</w:t>
      </w:r>
      <w:r w:rsidRPr="00BF178A">
        <w:rPr>
          <w:i/>
        </w:rPr>
        <w:t>Y</w:t>
      </w:r>
      <w:r>
        <w:t xml:space="preserve">=1, </w:t>
      </w:r>
      <w:r w:rsidRPr="00BF178A">
        <w:rPr>
          <w:i/>
        </w:rPr>
        <w:t>Z</w:t>
      </w:r>
      <w:r>
        <w:t xml:space="preserve">=1 | </w:t>
      </w:r>
      <w:r w:rsidRPr="00BF178A">
        <w:rPr>
          <w:i/>
        </w:rPr>
        <w:t>X</w:t>
      </w:r>
      <w:r>
        <w:t xml:space="preserve">=1). Because there are 3 black and named “1” objects, we have </w:t>
      </w:r>
      <w:proofErr w:type="gramStart"/>
      <w:r w:rsidRPr="00BF178A">
        <w:rPr>
          <w:i/>
        </w:rPr>
        <w:t>P</w:t>
      </w:r>
      <w:r>
        <w:t>(</w:t>
      </w:r>
      <w:proofErr w:type="gramEnd"/>
      <w:r w:rsidRPr="00BF178A">
        <w:rPr>
          <w:i/>
        </w:rPr>
        <w:t>X</w:t>
      </w:r>
      <w:r>
        <w:t xml:space="preserve">=1, </w:t>
      </w:r>
      <w:r w:rsidRPr="00BF178A">
        <w:rPr>
          <w:i/>
        </w:rPr>
        <w:t>Y</w:t>
      </w:r>
      <w:r>
        <w:t xml:space="preserve">=1) = 3/13. Because there are 2 named “1” and square objects among objects 9 black objects, we have </w:t>
      </w:r>
      <w:proofErr w:type="gramStart"/>
      <w:r w:rsidRPr="00BF178A">
        <w:rPr>
          <w:i/>
        </w:rPr>
        <w:t>P</w:t>
      </w:r>
      <w:r>
        <w:t>(</w:t>
      </w:r>
      <w:proofErr w:type="gramEnd"/>
      <w:r w:rsidRPr="00BF178A">
        <w:rPr>
          <w:i/>
        </w:rPr>
        <w:t>Y</w:t>
      </w:r>
      <w:r>
        <w:t xml:space="preserve">=1, </w:t>
      </w:r>
      <w:r w:rsidRPr="00BF178A">
        <w:rPr>
          <w:i/>
        </w:rPr>
        <w:t>Z</w:t>
      </w:r>
      <w:r>
        <w:t xml:space="preserve">=1 | </w:t>
      </w:r>
      <w:r w:rsidRPr="00BF178A">
        <w:rPr>
          <w:i/>
        </w:rPr>
        <w:t>X</w:t>
      </w:r>
      <w:r>
        <w:t xml:space="preserve">=1) = 2/9. It is easy to verify </w:t>
      </w:r>
      <w:r w:rsidR="00690AE8">
        <w:t xml:space="preserve">that </w:t>
      </w:r>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lastRenderedPageBreak/>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5D3C03">
            <w:instrText xml:space="preserve">CITATION Neapolitan2003 \p 34 \l 1033 </w:instrText>
          </w:r>
          <w:r w:rsidR="005D3C03">
            <w:fldChar w:fldCharType="separate"/>
          </w:r>
          <w:r w:rsidR="005D3C03">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DD7F06">
            <w:instrText xml:space="preserve">CITATION Neapolitan2003 \p 37 \l 1033 </w:instrText>
          </w:r>
          <w:r w:rsidR="00DD7F06">
            <w:fldChar w:fldCharType="separate"/>
          </w:r>
          <w:r w:rsidR="00DD7F06">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For illustrating theorem 1.4 in </w:t>
      </w:r>
      <w:sdt>
        <w:sdtPr>
          <w:id w:val="12457568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lastRenderedPageBreak/>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5D3C03">
            <w:instrText xml:space="preserve">CITATION Neapolitan2003 \p 37 \l 1033 </w:instrText>
          </w:r>
          <w:r w:rsidR="005D3C03">
            <w:fldChar w:fldCharType="separate"/>
          </w:r>
          <w:r w:rsidR="005D3C03">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Pr>
              <w:szCs w:val="24"/>
            </w:rPr>
            <w:instrText xml:space="preserve">CITATION Neapolitan2003 \p 31 \l 1033 </w:instrText>
          </w:r>
          <w:r>
            <w:rPr>
              <w:szCs w:val="24"/>
            </w:rPr>
            <w:fldChar w:fldCharType="separate"/>
          </w:r>
          <w:r w:rsidRPr="00882780">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instrText xml:space="preserve">CITATION Neapolitan2003 \p 75 \l 1033 </w:instrText>
          </w:r>
          <w:r>
            <w:fldChar w:fldCharType="separate"/>
          </w:r>
          <w:r>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7B62A2">
            <w:instrText xml:space="preserve">CITATION Neapolitan2003 \p 67 \l 1033 </w:instrText>
          </w:r>
          <w:r w:rsidR="007B62A2">
            <w:fldChar w:fldCharType="separate"/>
          </w:r>
          <w:r w:rsidR="007B62A2">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instrText xml:space="preserve">CITATION Neapolitan2003 \p 68 \l 1033 </w:instrText>
          </w:r>
          <w:r>
            <w:fldChar w:fldCharType="separate"/>
          </w:r>
          <w:r>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873BA8">
            <w:instrText xml:space="preserve">CITATION Neapolitan2003 \p 65 \l 1033 </w:instrText>
          </w:r>
          <w:r w:rsidR="00873BA8">
            <w:fldChar w:fldCharType="separate"/>
          </w:r>
          <w:r w:rsidR="00873BA8">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9"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8D79B5"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9"/>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w:t>
      </w:r>
      <w:r w:rsidR="00DE4E99">
        <w:rPr>
          <w:szCs w:val="24"/>
        </w:rPr>
        <w:lastRenderedPageBreak/>
        <w:t xml:space="preserve">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 xml:space="preserve">) and 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8D79B5"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8D79B5"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and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8D79B5"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According to 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Pr>
              <w:szCs w:val="24"/>
            </w:rPr>
            <w:instrText xml:space="preserve">CITATION Neapolitan2003 \p 85 \l 1033 </w:instrText>
          </w:r>
          <w:r>
            <w:rPr>
              <w:szCs w:val="24"/>
            </w:rPr>
            <w:fldChar w:fldCharType="separate"/>
          </w:r>
          <w:r w:rsidRPr="00D15531">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instrText xml:space="preserve">CITATION Neapolitan2003 \p 86 \l 1033 </w:instrText>
          </w:r>
          <w:r>
            <w:fldChar w:fldCharType="separate"/>
          </w:r>
          <w:r>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Pr>
              <w:szCs w:val="24"/>
            </w:rPr>
            <w:instrText xml:space="preserve">CITATION Neapolitan2003 \p 86 \l 1033 </w:instrText>
          </w:r>
          <w:r>
            <w:rPr>
              <w:szCs w:val="24"/>
            </w:rPr>
            <w:fldChar w:fldCharType="separate"/>
          </w:r>
          <w:r w:rsidRPr="00D15531">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0" w:name="_Hlk520806938"/>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w:t>
      </w:r>
      <w:bookmarkEnd w:id="10"/>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61469B" w:rsidRDefault="001F4C8E" w:rsidP="0061469B">
      <w:pPr>
        <w:ind w:firstLine="360"/>
        <w:rPr>
          <w:szCs w:val="24"/>
        </w:rPr>
      </w:pPr>
      <w:r>
        <w:rPr>
          <w:szCs w:val="24"/>
        </w:rPr>
        <w:t xml:space="preserve">Lemma 2.1 in </w:t>
      </w:r>
      <w:sdt>
        <w:sdtPr>
          <w:rPr>
            <w:szCs w:val="24"/>
          </w:rPr>
          <w:id w:val="-2009362550"/>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or </w:t>
      </w:r>
      <w:proofErr w:type="spellStart"/>
      <w:r w:rsidR="000D54C4">
        <w:t>Berkson’s</w:t>
      </w:r>
      <w:proofErr w:type="spellEnd"/>
      <w:r w:rsidR="000D54C4">
        <w:t xml:space="preserve"> paradox. Recall that </w:t>
      </w:r>
      <w:r w:rsidR="000D54C4">
        <w:rPr>
          <w:szCs w:val="24"/>
        </w:rPr>
        <w:t>t</w:t>
      </w:r>
      <w:r w:rsidR="0061469B">
        <w:rPr>
          <w:szCs w:val="24"/>
        </w:rPr>
        <w:t xml:space="preserve">here are three meetings mentioned in blocked conditions: head-to-tail (serial), tail-to-tail (divergent), and head-to-head (convergent). Three </w:t>
      </w:r>
      <w:r w:rsidR="0061469B">
        <w:rPr>
          <w:szCs w:val="24"/>
        </w:rPr>
        <w:lastRenderedPageBreak/>
        <w:t>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paths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on paths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paths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0D54C4">
        <w:rPr>
          <w:szCs w:val="24"/>
        </w:rPr>
        <w:t>paths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path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on path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path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0D54C4">
        <w:rPr>
          <w:szCs w:val="24"/>
        </w:rPr>
        <w:t xml:space="preserve">paths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path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 xml:space="preserve">explaining away phenomenon is illustrated in example 2.2.3. It is interesting that known </w:t>
      </w:r>
      <w:r w:rsidR="000D54C4" w:rsidRPr="005027AF">
        <w:rPr>
          <w:i/>
        </w:rPr>
        <w:t>Z</w:t>
      </w:r>
      <w:r w:rsidR="000D54C4">
        <w:t xml:space="preserve"> blocks paths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path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.3</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0D54C4">
            <w:rPr>
              <w:szCs w:val="24"/>
            </w:rPr>
            <w:instrText xml:space="preserve">CITATION Neapolitan2003 \p 74 \l 1033 </w:instrText>
          </w:r>
          <w:r w:rsidR="000D54C4">
            <w:rPr>
              <w:szCs w:val="24"/>
            </w:rPr>
            <w:fldChar w:fldCharType="separate"/>
          </w:r>
          <w:r w:rsidR="000D54C4" w:rsidRPr="00501BFD">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F76D72">
            <w:rPr>
              <w:szCs w:val="24"/>
            </w:rPr>
            <w:instrText xml:space="preserve">CITATION Neapolitan2003 \p 75 \l 1033 </w:instrText>
          </w:r>
          <w:r w:rsidR="00F76D72">
            <w:rPr>
              <w:szCs w:val="24"/>
            </w:rPr>
            <w:fldChar w:fldCharType="separate"/>
          </w:r>
          <w:r w:rsidR="00F76D72" w:rsidRPr="00C70171">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F76D72">
            <w:instrText xml:space="preserve">CITATION Neapolitan2003 \p 66 \l 1033 </w:instrText>
          </w:r>
          <w:r w:rsidR="00F76D72">
            <w:fldChar w:fldCharType="separate"/>
          </w:r>
          <w:r w:rsidR="00F76D72">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lastRenderedPageBreak/>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8D79B5"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B11F1C">
            <w:instrText xml:space="preserve">CITATION Neapolitan2003 \p 66 \l 1033 </w:instrText>
          </w:r>
          <w:r w:rsidR="00B11F1C">
            <w:fldChar w:fldCharType="separate"/>
          </w:r>
          <w:r w:rsidR="00B11F1C">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5027AF">
        <w:t>4</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0D54C4">
        <w:rPr>
          <w:b/>
          <w:szCs w:val="24"/>
        </w:rPr>
        <w:t>4</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4D4BC9">
            <w:instrText xml:space="preserve">CITATION Neapolitan2003 \p 76 \l 1033 </w:instrText>
          </w:r>
          <w:r w:rsidR="004D4BC9">
            <w:fldChar w:fldCharType="separate"/>
          </w:r>
          <w:r w:rsidR="004D4BC9">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w:t>
      </w:r>
      <w:r w:rsidR="00462DFD">
        <w:t xml:space="preserve"> | </w:t>
      </w:r>
      <w:r w:rsidR="00462DFD">
        <w:rPr>
          <w:rFonts w:cs="Times New Roman"/>
          <w:szCs w:val="24"/>
        </w:rPr>
        <w:t>Ø</w:t>
      </w:r>
      <w:r w:rsidR="00462DFD">
        <w:t>)</w:t>
      </w:r>
      <w:r w:rsidR="00462DFD">
        <w:t xml:space="preserve"> </w:t>
      </w:r>
      <w:r>
        <w:t xml:space="preserve">does not hold </w:t>
      </w:r>
      <w:r w:rsidR="00462DFD">
        <w:rPr>
          <w:rFonts w:cs="Times New Roman"/>
          <w:szCs w:val="24"/>
        </w:rPr>
        <w:t xml:space="preserve">because the first blocked condition </w:t>
      </w:r>
      <w:r w:rsidR="00462DFD">
        <w:rPr>
          <w:rFonts w:cs="Times New Roman"/>
          <w:szCs w:val="24"/>
        </w:rPr>
        <w:t>is</w:t>
      </w:r>
      <w:r w:rsidR="00462DFD">
        <w:rPr>
          <w:rFonts w:cs="Times New Roman"/>
          <w:szCs w:val="24"/>
        </w:rPr>
        <w:t xml:space="preserve"> not satisfied </w:t>
      </w:r>
      <w:r w:rsidR="00462DFD">
        <w:rPr>
          <w:rFonts w:cs="Times New Roman"/>
          <w:szCs w:val="24"/>
        </w:rPr>
        <w:t xml:space="preserve">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w:t>
      </w:r>
      <w:r w:rsidR="00462DFD">
        <w:rPr>
          <w:rFonts w:cs="Times New Roman"/>
          <w:szCs w:val="24"/>
        </w:rPr>
        <w:t xml:space="preserve"> Ø</w:t>
      </w:r>
      <w:r w:rsidR="00462DFD">
        <w:rPr>
          <w:rFonts w:cs="Times New Roman"/>
          <w:szCs w:val="24"/>
        </w:rPr>
        <w:t>)</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w:t>
            </w:r>
            <w:r w:rsidR="005C221D">
              <w:t>–</w:t>
            </w:r>
            <w:r w:rsidR="005C221D">
              <w:t xml:space="preserve"> </w:t>
            </w:r>
            <w:proofErr w:type="gramStart"/>
            <w:r w:rsidR="005C221D" w:rsidRPr="005C221D">
              <w:rPr>
                <w:i/>
              </w:rPr>
              <w:t>b</w:t>
            </w:r>
            <w:r w:rsidR="005C221D" w:rsidRPr="00741E11">
              <w:t>(</w:t>
            </w:r>
            <w:proofErr w:type="gramEnd"/>
            <w:r w:rsidR="005C221D" w:rsidRPr="005C221D">
              <w:rPr>
                <w:i/>
              </w:rPr>
              <w:t>e</w:t>
            </w:r>
            <w:r w:rsidR="005C221D">
              <w:t xml:space="preserve"> </w:t>
            </w:r>
            <w:r w:rsidR="005C221D">
              <w:t>–</w:t>
            </w:r>
            <w:r w:rsidR="005C221D">
              <w:t xml:space="preserve">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w:t>
            </w:r>
            <w:r>
              <w:t>–</w:t>
            </w:r>
            <w:r>
              <w:t xml:space="preserve">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w:t>
            </w:r>
            <w:r>
              <w:t>–</w:t>
            </w:r>
            <w:r>
              <w:t xml:space="preserve">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w:t>
            </w:r>
            <w:r>
              <w:t>–</w:t>
            </w:r>
            <w:r>
              <w:t xml:space="preserve"> </w:t>
            </w:r>
            <w:proofErr w:type="gramStart"/>
            <w:r w:rsidRPr="005C221D">
              <w:rPr>
                <w:i/>
              </w:rPr>
              <w:t>b</w:t>
            </w:r>
            <w:r w:rsidRPr="00741E11">
              <w:t>(</w:t>
            </w:r>
            <w:proofErr w:type="gramEnd"/>
            <w:r w:rsidRPr="005C221D">
              <w:rPr>
                <w:i/>
              </w:rPr>
              <w:t>e</w:t>
            </w:r>
            <w:r>
              <w:t xml:space="preserve"> </w:t>
            </w:r>
            <w:r>
              <w:t>–</w:t>
            </w:r>
            <w:r>
              <w:t xml:space="preserve">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w:t>
            </w:r>
            <w:r>
              <w:t>–</w:t>
            </w:r>
            <w:r>
              <w:t xml:space="preserve">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w:t>
            </w:r>
            <w:r>
              <w:t>–</w:t>
            </w:r>
            <w:r>
              <w:t xml:space="preserve">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1"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m:t>
          </m:r>
          <m:r>
            <w:rPr>
              <w:rFonts w:ascii="Cambria Math" w:hAnsi="Cambria Math"/>
            </w:rPr>
            <m:t>e</m:t>
          </m:r>
          <m:r>
            <w:rPr>
              <w:rFonts w:ascii="Cambria Math" w:hAnsi="Cambria Math"/>
            </w:rPr>
            <m:t>-b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r>
            <w:rPr>
              <w:rFonts w:ascii="Cambria Math" w:hAnsi="Cambria Math"/>
            </w:rPr>
            <m:t>c</m:t>
          </m:r>
          <m:r>
            <w:rPr>
              <w:rFonts w:ascii="Cambria Math" w:hAnsi="Cambria Math"/>
            </w:rPr>
            <m:t>a+</m:t>
          </m:r>
          <m:r>
            <w:rPr>
              <w:rFonts w:ascii="Cambria Math" w:hAnsi="Cambria Math"/>
            </w:rPr>
            <m:t>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m:t>=</m:t>
          </m:r>
          <m:r>
            <w:rPr>
              <w:rFonts w:ascii="Cambria Math" w:hAnsi="Cambria Math"/>
            </w:rPr>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m:t>
          </m:r>
          <m:r>
            <w:rPr>
              <w:rFonts w:ascii="Cambria Math" w:hAnsi="Cambria Math"/>
            </w:rPr>
            <m:t>b</m:t>
          </m:r>
          <m:r>
            <w:rPr>
              <w:rFonts w:ascii="Cambria Math" w:hAnsi="Cambria Math"/>
            </w:rPr>
            <m:t>=</m:t>
          </m:r>
          <m:r>
            <w:rPr>
              <w:rFonts w:ascii="Cambria Math" w:hAnsi="Cambria Math"/>
            </w:rPr>
            <m:t>e-b</m:t>
          </m:r>
          <m:d>
            <m:dPr>
              <m:ctrlPr>
                <w:rPr>
                  <w:rFonts w:ascii="Cambria Math" w:hAnsi="Cambria Math"/>
                  <w:i/>
                </w:rPr>
              </m:ctrlPr>
            </m:dPr>
            <m:e>
              <m:r>
                <w:rPr>
                  <w:rFonts w:ascii="Cambria Math" w:hAnsi="Cambria Math"/>
                </w:rPr>
                <m:t>e-f</m:t>
              </m:r>
            </m:e>
          </m:d>
        </m:oMath>
      </m:oMathPara>
    </w:p>
    <w:bookmarkEnd w:id="11"/>
    <w:p w:rsidR="00047421" w:rsidRDefault="00047421" w:rsidP="00C70171">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w:t>
      </w:r>
      <w:r w:rsidR="004D4BC9">
        <w:t xml:space="preserve"> </w:t>
      </w:r>
      <w:sdt>
        <w:sdtPr>
          <w:id w:val="344214440"/>
          <w:citation/>
        </w:sdtPr>
        <w:sdtContent>
          <w:r w:rsidR="004D4BC9">
            <w:fldChar w:fldCharType="begin"/>
          </w:r>
          <w:r w:rsidR="004D4BC9">
            <w:instrText xml:space="preserve">CITATION Neapolitan2003 \p 76 \l 1033 </w:instrText>
          </w:r>
          <w:r w:rsidR="004D4BC9">
            <w:fldChar w:fldCharType="separate"/>
          </w:r>
          <w:r w:rsidR="004D4BC9">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xml:space="preserve">}) </w:t>
      </w:r>
      <w:r w:rsidR="00462DFD">
        <w:t>is not identified by a respective d-separation</w:t>
      </w:r>
      <w:r w:rsidR="00A45466">
        <w:rPr>
          <w:rFonts w:cs="Times New Roman"/>
          <w:szCs w:val="26"/>
        </w:rPr>
        <w:t>■</w:t>
      </w:r>
    </w:p>
    <w:p w:rsidR="00047421" w:rsidRDefault="00047421" w:rsidP="00C70171"/>
    <w:p w:rsidR="001F4C8E" w:rsidRPr="00C70171" w:rsidRDefault="001F4C8E" w:rsidP="001F4C8E">
      <w:pPr>
        <w:pStyle w:val="Heading2"/>
      </w:pPr>
      <w:r>
        <w:lastRenderedPageBreak/>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lastRenderedPageBreak/>
        <w:t xml:space="preserve">According to </w:t>
      </w:r>
      <w:sdt>
        <w:sdtPr>
          <w:rPr>
            <w:szCs w:val="24"/>
          </w:rPr>
          <w:id w:val="423077934"/>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the </w:t>
      </w:r>
      <w:r>
        <w:rPr>
          <w:szCs w:val="24"/>
        </w:rPr>
        <w:t xml:space="preserve">DAG (a)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DAGS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Pr>
              <w:szCs w:val="24"/>
            </w:rPr>
            <w:instrText xml:space="preserve">CITATION Neapolitan2003 \p 86-87 \l 1033 </w:instrText>
          </w:r>
          <w:r>
            <w:rPr>
              <w:szCs w:val="24"/>
            </w:rPr>
            <w:fldChar w:fldCharType="separate"/>
          </w:r>
          <w:r w:rsidRPr="00D05EC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Pr>
              <w:szCs w:val="24"/>
            </w:rPr>
            <w:instrText xml:space="preserve">CITATION Neapolitan2003 \p 91 \l 1033 </w:instrText>
          </w:r>
          <w:r>
            <w:rPr>
              <w:szCs w:val="24"/>
            </w:rPr>
            <w:fldChar w:fldCharType="separate"/>
          </w:r>
          <w:r w:rsidRPr="00D05EC5">
            <w:rPr>
              <w:noProof/>
              <w:szCs w:val="24"/>
            </w:rPr>
            <w:t>(Neapolitan, 2003, p. 91)</w:t>
          </w:r>
          <w:r>
            <w:rPr>
              <w:szCs w:val="24"/>
            </w:rPr>
            <w:fldChar w:fldCharType="end"/>
          </w:r>
        </w:sdtContent>
      </w:sdt>
      <w:r>
        <w:rPr>
          <w:szCs w:val="24"/>
        </w:rPr>
        <w:t xml:space="preserve"> stated that </w:t>
      </w:r>
      <w:r w:rsidRPr="00666B2E">
        <w:rPr>
          <w:i/>
          <w:szCs w:val="24"/>
        </w:rPr>
        <w:t>Markov equivalent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equivalent class</w:t>
      </w:r>
    </w:p>
    <w:p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1F4C8E">
        <w:rPr>
          <w:szCs w:val="24"/>
        </w:rPr>
        <w:t>3.</w:t>
      </w:r>
      <w:r w:rsidR="00696282">
        <w:rPr>
          <w:szCs w:val="24"/>
        </w:rPr>
        <w:t>3</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lastRenderedPageBreak/>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B753FF">
        <w:rPr>
          <w:szCs w:val="24"/>
        </w:rPr>
        <w:t>t</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p>
    <w:p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B753FF">
            <w:rPr>
              <w:szCs w:val="24"/>
            </w:rPr>
            <w:instrText xml:space="preserve">CITATION Neapolitan2003 \p 91 \l 1033 </w:instrText>
          </w:r>
          <w:r w:rsidR="00B753FF">
            <w:rPr>
              <w:szCs w:val="24"/>
            </w:rPr>
            <w:fldChar w:fldCharType="separate"/>
          </w:r>
          <w:r w:rsidR="00B753FF" w:rsidRPr="00AF4BFB">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t>2.4. Entailing dependence with DAG</w:t>
      </w:r>
    </w:p>
    <w:p w:rsidR="00A00698" w:rsidRDefault="0072749A" w:rsidP="008A22AB">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EndPr/>
        <w:sdtContent>
          <w:r w:rsidR="00A00698">
            <w:rPr>
              <w:szCs w:val="24"/>
            </w:rPr>
            <w:fldChar w:fldCharType="begin"/>
          </w:r>
          <w:r w:rsidR="00A00698">
            <w:rPr>
              <w:szCs w:val="24"/>
            </w:rPr>
            <w:instrText xml:space="preserve">CITATION Neapolitan2003 \p 85 \l 1033 </w:instrText>
          </w:r>
          <w:r w:rsidR="00A00698">
            <w:rPr>
              <w:szCs w:val="24"/>
            </w:rPr>
            <w:fldChar w:fldCharType="separate"/>
          </w:r>
          <w:r w:rsidR="00A00698" w:rsidRPr="00D15531">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EndPr/>
        <w:sdtContent>
          <w:r w:rsidR="00A00698">
            <w:rPr>
              <w:szCs w:val="24"/>
            </w:rPr>
            <w:fldChar w:fldCharType="begin"/>
          </w:r>
          <w:r w:rsidR="00A00698">
            <w:rPr>
              <w:szCs w:val="24"/>
            </w:rPr>
            <w:instrText xml:space="preserve">CITATION Neapolitan2003 \p 74 \l 1033 </w:instrText>
          </w:r>
          <w:r w:rsidR="00A00698">
            <w:rPr>
              <w:szCs w:val="24"/>
            </w:rPr>
            <w:fldChar w:fldCharType="separate"/>
          </w:r>
          <w:r w:rsidR="00A00698" w:rsidRPr="00501BFD">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w:t>
      </w:r>
      <w:proofErr w:type="gramStart"/>
      <w:r w:rsidR="00A00698">
        <w:t>result</w:t>
      </w:r>
      <w:proofErr w:type="gramEnd"/>
      <w:r w:rsidR="00A00698">
        <w:t xml:space="preserve"> </w:t>
      </w:r>
      <w:sdt>
        <w:sdtPr>
          <w:id w:val="708847283"/>
          <w:citation/>
        </w:sdtPr>
        <w:sdtEndPr/>
        <w:sdtContent>
          <w:r w:rsidR="00A00698">
            <w:fldChar w:fldCharType="begin"/>
          </w:r>
          <w:r w:rsidR="00A00698">
            <w:instrText xml:space="preserve">CITATION Neapolitan2003 \p 65 \l 1033 </w:instrText>
          </w:r>
          <w:r w:rsidR="00A00698">
            <w:fldChar w:fldCharType="separate"/>
          </w:r>
          <w:r w:rsidR="00A00698">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cannot entail any conditional independence in the complete DAG </w:t>
      </w:r>
      <w:r w:rsidR="00D70166" w:rsidRPr="00D70166">
        <w:rPr>
          <w:i/>
        </w:rPr>
        <w:t>G</w:t>
      </w:r>
      <w:r w:rsidR="00D70166">
        <w:t>.</w:t>
      </w:r>
    </w:p>
    <w:p w:rsidR="008A22AB" w:rsidRDefault="00A3269C" w:rsidP="00A00698">
      <w:pPr>
        <w:ind w:firstLine="360"/>
      </w:pPr>
      <w:r>
        <w:t xml:space="preserve">Given two nodes </w:t>
      </w:r>
      <w:r w:rsidRPr="00A3269C">
        <w:rPr>
          <w:i/>
        </w:rPr>
        <w:t>X</w:t>
      </w:r>
      <w:r>
        <w:t xml:space="preserve"> and </w:t>
      </w:r>
      <w:r w:rsidRPr="00A3269C">
        <w:rPr>
          <w:i/>
        </w:rPr>
        <w:t>Y</w:t>
      </w:r>
      <w:r>
        <w:t xml:space="preserve">, there is a </w:t>
      </w:r>
      <w:r w:rsidRPr="00A3269C">
        <w:rPr>
          <w:i/>
        </w:rPr>
        <w:t>direct dependenc</w:t>
      </w:r>
      <w:r w:rsidR="00CB65EE">
        <w:rPr>
          <w:i/>
        </w:rPr>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instrText xml:space="preserve">CITATION Neapolitan2003 \p 94 \l 1033 </w:instrText>
          </w:r>
          <w:r>
            <w:fldChar w:fldCharType="separate"/>
          </w:r>
          <w:r>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that,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 xml:space="preserve">According to definition 2.9,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lastRenderedPageBreak/>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p>
    <w:p w:rsidR="00D25EBA" w:rsidRDefault="00360077" w:rsidP="00D25EBA">
      <w:pPr>
        <w:ind w:firstLine="360"/>
        <w:rPr>
          <w:szCs w:val="24"/>
        </w:rPr>
      </w:pP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instrText xml:space="preserve"> CITATION Neapolitan2003 \l 1033 </w:instrText>
          </w:r>
          <w:r>
            <w:fldChar w:fldCharType="separate"/>
          </w:r>
          <w:r>
            <w:rPr>
              <w:noProof/>
            </w:rPr>
            <w:t>(Neapolitan, 2003)</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in </w:t>
      </w:r>
      <w:sdt>
        <w:sdtPr>
          <w:id w:val="179717182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lastRenderedPageBreak/>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8">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lastRenderedPageBreak/>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8D79B5"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8D79B5"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8D79B5"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8D79B5"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9">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lastRenderedPageBreak/>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8D79B5"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lastRenderedPageBreak/>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8D79B5"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8D79B5"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0">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lastRenderedPageBreak/>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lastRenderedPageBreak/>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1">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2">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lastRenderedPageBreak/>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3">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8D79B5"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lastRenderedPageBreak/>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4">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8D79B5"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5">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6">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2"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2"/>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8D79B5"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8D79B5"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7">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8D79B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8D79B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8D79B5"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8D79B5"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8D79B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8D79B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8D79B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8D79B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8D79B5"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8D79B5"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8D79B5"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8D79B5"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lastRenderedPageBreak/>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8D79B5"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8D79B5"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8D79B5"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8D79B5"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8D79B5"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lastRenderedPageBreak/>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8D79B5"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8"/>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8D79B5"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in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3"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3"/>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lastRenderedPageBreak/>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9">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F20F3C">
            <w:instrText xml:space="preserve"> CITATION Neapolitan2003 \p 302 \l 1033  </w:instrText>
          </w:r>
          <w:r w:rsidR="00F20F3C">
            <w:fldChar w:fldCharType="separate"/>
          </w:r>
          <w:r w:rsidR="00F20F3C" w:rsidRPr="00CD1DE7">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0">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4" w:name="_Toc228439413"/>
      <w:bookmarkStart w:id="15" w:name="_Toc237154356"/>
      <w:bookmarkStart w:id="16" w:name="_Toc238195076"/>
      <w:bookmarkStart w:id="17" w:name="_Toc239502163"/>
      <w:bookmarkStart w:id="18" w:name="_Toc239503163"/>
      <w:bookmarkStart w:id="19" w:name="_Toc239508962"/>
      <w:bookmarkStart w:id="20" w:name="_Toc246569331"/>
      <w:bookmarkStart w:id="21" w:name="_Toc358830872"/>
      <w:bookmarkStart w:id="22" w:name="_Toc401045709"/>
      <w:bookmarkStart w:id="23"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4"/>
      <w:bookmarkEnd w:id="15"/>
      <w:bookmarkEnd w:id="16"/>
      <w:bookmarkEnd w:id="17"/>
      <w:bookmarkEnd w:id="18"/>
      <w:bookmarkEnd w:id="19"/>
      <w:bookmarkEnd w:id="20"/>
      <w:bookmarkEnd w:id="21"/>
      <w:bookmarkEnd w:id="22"/>
      <w:r w:rsidR="00A44377">
        <w:rPr>
          <w:szCs w:val="26"/>
        </w:rPr>
        <w:t xml:space="preserve">size </w:t>
      </w:r>
      <w:r w:rsidRPr="00CD1DE7">
        <w:rPr>
          <w:i/>
          <w:szCs w:val="26"/>
        </w:rPr>
        <w:t>m</w:t>
      </w:r>
      <w:bookmarkEnd w:id="23"/>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lastRenderedPageBreak/>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1">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4"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4"/>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w:t>
      </w:r>
      <w:r w:rsidRPr="00CD1DE7">
        <w:rPr>
          <w:szCs w:val="26"/>
        </w:rPr>
        <w:lastRenderedPageBreak/>
        <w:t xml:space="preserve">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8D79B5"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8D79B5"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w:t>
      </w:r>
      <w:r w:rsidRPr="00CD1DE7">
        <w:rPr>
          <w:szCs w:val="26"/>
        </w:rPr>
        <w:lastRenderedPageBreak/>
        <w:t xml:space="preserve">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2">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5" w:name="_Toc228439415"/>
      <w:bookmarkStart w:id="26" w:name="_Toc237154358"/>
      <w:bookmarkStart w:id="27" w:name="_Toc238195078"/>
      <w:bookmarkStart w:id="28" w:name="_Toc239502165"/>
      <w:bookmarkStart w:id="29" w:name="_Toc239503165"/>
      <w:bookmarkStart w:id="30" w:name="_Toc239508964"/>
      <w:bookmarkStart w:id="31" w:name="_Toc246569333"/>
      <w:bookmarkStart w:id="32" w:name="_Toc358830874"/>
      <w:bookmarkStart w:id="33" w:name="_Toc401045711"/>
      <w:bookmarkStart w:id="34"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5"/>
      <w:bookmarkEnd w:id="26"/>
      <w:bookmarkEnd w:id="27"/>
      <w:bookmarkEnd w:id="28"/>
      <w:bookmarkEnd w:id="29"/>
      <w:bookmarkEnd w:id="30"/>
      <w:bookmarkEnd w:id="31"/>
      <w:bookmarkEnd w:id="32"/>
      <w:bookmarkEnd w:id="33"/>
      <w:r w:rsidRPr="00CD1DE7">
        <w:rPr>
          <w:i/>
        </w:rPr>
        <w:t>m</w:t>
      </w:r>
      <w:bookmarkEnd w:id="34"/>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the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8D79B5"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8D79B5"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A92A29" w:rsidRPr="00CD1DE7">
            <w:rPr>
              <w:szCs w:val="26"/>
            </w:rPr>
            <w:instrText xml:space="preserve"> CITATION Neapolitan2003 \p 343 \l 1033  </w:instrText>
          </w:r>
          <w:r w:rsidR="00A92A29" w:rsidRPr="00CD1DE7">
            <w:rPr>
              <w:szCs w:val="26"/>
            </w:rPr>
            <w:fldChar w:fldCharType="separate"/>
          </w:r>
          <w:r w:rsidR="00A92A29" w:rsidRPr="00CD1DE7">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proofErr w:type="gramStart"/>
      <w:r w:rsidR="00A92A29" w:rsidRPr="00A92A29">
        <w:rPr>
          <w:i/>
          <w:szCs w:val="26"/>
        </w:rPr>
        <w:t>P</w:t>
      </w:r>
      <w:r w:rsidR="00A92A29">
        <w:rPr>
          <w:szCs w:val="26"/>
        </w:rPr>
        <w:t>(</w:t>
      </w:r>
      <w:proofErr w:type="gramEnd"/>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lastRenderedPageBreak/>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DA1008">
            <w:instrText xml:space="preserve"> CITATION Neapolitan2003 \p 358 \l 1033  </w:instrText>
          </w:r>
          <w:r w:rsidR="00DA1008">
            <w:fldChar w:fldCharType="separate"/>
          </w:r>
          <w:r w:rsidR="00DA1008" w:rsidRPr="00CD1DE7">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5"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5"/>
      <w:proofErr w:type="spellEnd"/>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6"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6"/>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3">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7" w:name="_Toc228439417"/>
      <w:bookmarkStart w:id="38" w:name="_Toc237154360"/>
      <w:bookmarkStart w:id="39" w:name="_Toc238195080"/>
      <w:bookmarkStart w:id="40" w:name="_Toc239502167"/>
      <w:bookmarkStart w:id="41" w:name="_Toc239503167"/>
      <w:bookmarkStart w:id="42" w:name="_Toc239508966"/>
      <w:bookmarkStart w:id="43" w:name="_Toc246569335"/>
      <w:bookmarkStart w:id="44" w:name="_Toc358830876"/>
      <w:bookmarkStart w:id="45" w:name="_Toc401045712"/>
      <w:bookmarkStart w:id="46"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7"/>
      <w:bookmarkEnd w:id="38"/>
      <w:bookmarkEnd w:id="39"/>
      <w:bookmarkEnd w:id="40"/>
      <w:bookmarkEnd w:id="41"/>
      <w:bookmarkEnd w:id="42"/>
      <w:bookmarkEnd w:id="43"/>
      <w:bookmarkEnd w:id="44"/>
      <w:bookmarkEnd w:id="45"/>
      <w:bookmarkEnd w:id="46"/>
    </w:p>
    <w:p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B72B8" w:rsidRDefault="00DB72B8" w:rsidP="00DB72B8">
      <w:pPr>
        <w:ind w:firstLine="360"/>
      </w:pPr>
      <w:r>
        <w:t xml:space="preserve">The quality of parameter learning depends on how to specifies </w:t>
      </w:r>
      <w:proofErr w:type="spellStart"/>
      <w:r w:rsidRPr="00DB72B8">
        <w:rPr>
          <w:i/>
        </w:rPr>
        <w:t>a</w:t>
      </w:r>
      <w:r w:rsidRPr="00DB72B8">
        <w:rPr>
          <w:i/>
          <w:vertAlign w:val="subscript"/>
        </w:rPr>
        <w:t>ij</w:t>
      </w:r>
      <w:proofErr w:type="spellEnd"/>
      <w:r>
        <w:t xml:space="preserve"> and </w:t>
      </w:r>
      <w:proofErr w:type="spellStart"/>
      <w:r w:rsidRPr="00DB72B8">
        <w:rPr>
          <w:i/>
        </w:rPr>
        <w:t>b</w:t>
      </w:r>
      <w:r w:rsidRPr="00DB72B8">
        <w:rPr>
          <w:i/>
          <w:vertAlign w:val="subscript"/>
        </w:rPr>
        <w:t>ij</w:t>
      </w:r>
      <w:proofErr w:type="spellEnd"/>
      <w:r>
        <w:t xml:space="preserve"> in prior. We often set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so that the original probabilities </w:t>
      </w:r>
      <w:r w:rsidRPr="00DB72B8">
        <w:rPr>
          <w:i/>
        </w:rPr>
        <w:t>P</w:t>
      </w:r>
      <w:r>
        <w:t>(</w:t>
      </w:r>
      <w:r w:rsidRPr="00DB72B8">
        <w:rPr>
          <w:i/>
        </w:rPr>
        <w:t>X</w:t>
      </w:r>
      <w:r w:rsidRPr="00DB72B8">
        <w:rPr>
          <w:i/>
          <w:vertAlign w:val="subscript"/>
        </w:rPr>
        <w:t>i</w:t>
      </w:r>
      <w:r>
        <w:t xml:space="preserve">) = 0.5 and hence the updated probabilities </w:t>
      </w:r>
      <w:proofErr w:type="gramStart"/>
      <w:r w:rsidRPr="00DB72B8">
        <w:rPr>
          <w:i/>
        </w:rPr>
        <w:t>P</w:t>
      </w:r>
      <w:r>
        <w:t>(</w:t>
      </w:r>
      <w:proofErr w:type="gramEnd"/>
      <w:r w:rsidRPr="00DB72B8">
        <w:rPr>
          <w:i/>
        </w:rPr>
        <w:t>X</w:t>
      </w:r>
      <w:r w:rsidRPr="00DB72B8">
        <w:rPr>
          <w:i/>
          <w:vertAlign w:val="subscript"/>
        </w:rPr>
        <w:t>i</w:t>
      </w:r>
      <w:r>
        <w:t xml:space="preserve"> | </w:t>
      </w:r>
      <m:oMath>
        <m:r>
          <m:rPr>
            <m:scr m:val="script"/>
          </m:rPr>
          <w:rPr>
            <w:rFonts w:ascii="Cambria Math" w:hAnsi="Cambria Math"/>
            <w:szCs w:val="26"/>
          </w:rPr>
          <m:t>D</m:t>
        </m:r>
      </m:oMath>
      <w:r>
        <w:t xml:space="preserve">) are computed faithfully from sample. However, </w:t>
      </w:r>
      <w:proofErr w:type="spellStart"/>
      <w:r w:rsidRPr="00DB72B8">
        <w:rPr>
          <w:i/>
        </w:rPr>
        <w:t>N</w:t>
      </w:r>
      <w:r w:rsidRPr="00DB72B8">
        <w:rPr>
          <w:i/>
          <w:vertAlign w:val="subscript"/>
        </w:rPr>
        <w:t>ij</w:t>
      </w:r>
      <w:proofErr w:type="spellEnd"/>
      <w:r>
        <w:t xml:space="preserve"> =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as the number of trials also affects the equality of parameter learning. Hence, if a so-called equivalent sample size is satisfied, the quality of parameter learning is faithful.</w:t>
      </w:r>
      <w:r w:rsidRPr="00DB72B8">
        <w:t xml:space="preserve"> </w:t>
      </w:r>
      <w:r>
        <w:t xml:space="preserve">According to definition 6.13 in </w:t>
      </w:r>
      <w:sdt>
        <w:sdtPr>
          <w:id w:val="-1075037879"/>
          <w:citation/>
        </w:sdtPr>
        <w:sdtEndPr/>
        <w:sdtContent>
          <w:r>
            <w:fldChar w:fldCharType="begin"/>
          </w:r>
          <w:r>
            <w:instrText xml:space="preserve">CITATION Neapolitan2003 \p 351 \l 1033 </w:instrText>
          </w:r>
          <w:r>
            <w:fldChar w:fldCharType="separate"/>
          </w:r>
          <w:r>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8D79B5"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8D79B5"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DB72B8" w:rsidRPr="006F2A26" w:rsidRDefault="00DB72B8" w:rsidP="00DB72B8">
      <w:pPr>
        <w:rPr>
          <w:highlight w:val="yellow"/>
        </w:rPr>
      </w:pPr>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r>
        <w:t xml:space="preserve">The augmented BN in figure 4.1.3 does not have prior equivalent sample size. </w:t>
      </w:r>
      <w:r w:rsidR="00902A93" w:rsidRPr="006F2A26">
        <w:rPr>
          <w:highlight w:val="yellow"/>
        </w:rPr>
        <w:t xml:space="preserve">If it is revised with. </w:t>
      </w:r>
      <w:r w:rsidRPr="006F2A26">
        <w:rPr>
          <w:highlight w:val="yellow"/>
        </w:rPr>
        <w:t xml:space="preserve">If a </w:t>
      </w:r>
      <w:r w:rsidRPr="006F2A26">
        <w:rPr>
          <w:szCs w:val="26"/>
          <w:highlight w:val="yellow"/>
        </w:rPr>
        <w:t xml:space="preserve">binomial augmented BN has </w:t>
      </w:r>
      <w:r w:rsidRPr="006F2A26">
        <w:rPr>
          <w:highlight w:val="yellow"/>
        </w:rPr>
        <w:t xml:space="preserve">equivalent sample size </w:t>
      </w:r>
      <w:r w:rsidRPr="006F2A26">
        <w:rPr>
          <w:i/>
          <w:highlight w:val="yellow"/>
        </w:rPr>
        <w:t>N</w:t>
      </w:r>
      <w:r w:rsidRPr="006F2A26">
        <w:rPr>
          <w:highlight w:val="yellow"/>
        </w:rPr>
        <w:t xml:space="preserve"> then, for each node</w:t>
      </w:r>
      <w:r w:rsidR="00D1735F" w:rsidRPr="006F2A26">
        <w:rPr>
          <w:highlight w:val="yellow"/>
        </w:rPr>
        <w:t xml:space="preserve"> </w:t>
      </w:r>
      <w:r w:rsidR="00D1735F" w:rsidRPr="006F2A26">
        <w:rPr>
          <w:i/>
          <w:highlight w:val="yellow"/>
        </w:rPr>
        <w:t>X</w:t>
      </w:r>
      <w:r w:rsidR="00D1735F" w:rsidRPr="006F2A26">
        <w:rPr>
          <w:i/>
          <w:highlight w:val="yellow"/>
          <w:vertAlign w:val="subscript"/>
        </w:rPr>
        <w:t>i</w:t>
      </w:r>
      <w:r w:rsidRPr="006F2A26">
        <w:rPr>
          <w:highlight w:val="yellow"/>
        </w:rPr>
        <w:t>, we have:</w:t>
      </w:r>
    </w:p>
    <w:p w:rsidR="00D1735F" w:rsidRPr="006F2A26" w:rsidRDefault="008D79B5" w:rsidP="00DB72B8">
      <w:pPr>
        <w:rPr>
          <w:highlight w:val="yellow"/>
        </w:rPr>
      </w:pPr>
      <m:oMathPara>
        <m:oMath>
          <m:nary>
            <m:naryPr>
              <m:chr m:val="∑"/>
              <m:limLoc m:val="undOvr"/>
              <m:ctrlPr>
                <w:rPr>
                  <w:rFonts w:ascii="Cambria Math" w:hAnsi="Cambria Math"/>
                  <w:i/>
                  <w:highlight w:val="yellow"/>
                </w:rPr>
              </m:ctrlPr>
            </m:naryPr>
            <m:sub>
              <m:r>
                <w:rPr>
                  <w:rFonts w:ascii="Cambria Math" w:hAnsi="Cambria Math"/>
                  <w:highlight w:val="yellow"/>
                </w:rPr>
                <m:t>j=1</m:t>
              </m:r>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i</m:t>
                  </m:r>
                </m:sub>
              </m:sSub>
            </m:sup>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ij</m:t>
                  </m:r>
                </m:sub>
              </m:sSub>
            </m:e>
          </m:nary>
          <m:r>
            <w:rPr>
              <w:rFonts w:ascii="Cambria Math" w:hAnsi="Cambria Math"/>
              <w:highlight w:val="yellow"/>
            </w:rPr>
            <m:t>=</m:t>
          </m:r>
          <m:nary>
            <m:naryPr>
              <m:chr m:val="∑"/>
              <m:limLoc m:val="undOvr"/>
              <m:ctrlPr>
                <w:rPr>
                  <w:rFonts w:ascii="Cambria Math" w:hAnsi="Cambria Math"/>
                  <w:i/>
                  <w:highlight w:val="yellow"/>
                </w:rPr>
              </m:ctrlPr>
            </m:naryPr>
            <m:sub/>
            <m:sup/>
            <m:e/>
          </m:nary>
        </m:oMath>
      </m:oMathPara>
    </w:p>
    <w:p w:rsidR="00DB72B8" w:rsidRPr="00DB72B8" w:rsidRDefault="00DB72B8" w:rsidP="00DB72B8">
      <w:pPr>
        <w:ind w:firstLine="360"/>
      </w:pPr>
      <w:r w:rsidRPr="006F2A26">
        <w:rPr>
          <w:highlight w:val="yellow"/>
        </w:rPr>
        <w:t xml:space="preserve">Where </w:t>
      </w:r>
      <w:r w:rsidRPr="006F2A26">
        <w:rPr>
          <w:i/>
          <w:highlight w:val="yellow"/>
        </w:rPr>
        <w:t>q</w:t>
      </w:r>
      <w:r w:rsidRPr="006F2A26">
        <w:rPr>
          <w:i/>
          <w:highlight w:val="yellow"/>
          <w:vertAlign w:val="subscript"/>
        </w:rPr>
        <w:t>i</w:t>
      </w:r>
      <w:r w:rsidRPr="006F2A26">
        <w:rPr>
          <w:highlight w:val="yellow"/>
        </w:rPr>
        <w:t xml:space="preserve"> is the number instances of parents of </w:t>
      </w:r>
      <w:r w:rsidRPr="006F2A26">
        <w:rPr>
          <w:i/>
          <w:highlight w:val="yellow"/>
        </w:rPr>
        <w:t>X</w:t>
      </w:r>
      <w:r w:rsidRPr="006F2A26">
        <w:rPr>
          <w:i/>
          <w:highlight w:val="yellow"/>
          <w:vertAlign w:val="subscript"/>
        </w:rPr>
        <w:t>i</w:t>
      </w:r>
      <w:r w:rsidRPr="006F2A26">
        <w:rPr>
          <w:highlight w:val="yellow"/>
        </w:rPr>
        <w:t>.</w:t>
      </w:r>
    </w:p>
    <w:p w:rsidR="00DA1008" w:rsidRDefault="00DA1008" w:rsidP="00234F3D"/>
    <w:p w:rsidR="00AE6DF2" w:rsidRDefault="00AE6DF2" w:rsidP="00AE6DF2">
      <w:pPr>
        <w:pStyle w:val="Heading2"/>
      </w:pPr>
      <w:r>
        <w:lastRenderedPageBreak/>
        <w:t xml:space="preserve">4.2. Parameter learning in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7" w:name="_Table_III.1.8._Evidence"/>
      <w:bookmarkStart w:id="48" w:name="_Toc228439419"/>
      <w:bookmarkStart w:id="49" w:name="_Toc237150645"/>
      <w:bookmarkStart w:id="50" w:name="_Toc237153650"/>
      <w:bookmarkStart w:id="51" w:name="_Toc238194226"/>
      <w:bookmarkStart w:id="52" w:name="_Toc239503169"/>
      <w:bookmarkStart w:id="53" w:name="_Toc239508968"/>
      <w:bookmarkStart w:id="54" w:name="_Toc239509228"/>
      <w:bookmarkStart w:id="55" w:name="_Toc246568836"/>
      <w:bookmarkStart w:id="56" w:name="_Toc349239055"/>
      <w:bookmarkStart w:id="57" w:name="_Toc358832842"/>
      <w:bookmarkStart w:id="58" w:name="_Toc401045373"/>
      <w:bookmarkStart w:id="59" w:name="_Toc511044263"/>
      <w:bookmarkEnd w:id="4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8"/>
      <w:bookmarkEnd w:id="49"/>
      <w:bookmarkEnd w:id="50"/>
      <w:bookmarkEnd w:id="51"/>
      <w:bookmarkEnd w:id="52"/>
      <w:bookmarkEnd w:id="53"/>
      <w:bookmarkEnd w:id="54"/>
      <w:bookmarkEnd w:id="55"/>
      <w:bookmarkEnd w:id="56"/>
      <w:bookmarkEnd w:id="57"/>
      <w:bookmarkEnd w:id="58"/>
      <w:r>
        <w:t xml:space="preserve"> data</w:t>
      </w:r>
      <w:bookmarkEnd w:id="59"/>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0" w:name="_Table_III.1.9._New_1"/>
      <w:bookmarkStart w:id="61" w:name="_Table_III.1.9._New"/>
      <w:bookmarkStart w:id="62" w:name="_Toc511044264"/>
      <w:bookmarkEnd w:id="60"/>
      <w:bookmarkEnd w:id="6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2"/>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lastRenderedPageBreak/>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3" w:name="_Table_III.1.10._Complete"/>
      <w:bookmarkStart w:id="64" w:name="_Toc511044265"/>
      <w:bookmarkEnd w:id="6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4"/>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8D79B5"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5" w:name="_Table_III.1.11._Counters"/>
      <w:bookmarkStart w:id="66" w:name="_Toc511044266"/>
      <w:bookmarkEnd w:id="6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6"/>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7" w:name="_Table_III.1.12._Posterior"/>
      <w:bookmarkStart w:id="68" w:name="_Toc511044267"/>
      <w:bookmarkEnd w:id="6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68"/>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w:t>
      </w:r>
      <w:r>
        <w:lastRenderedPageBreak/>
        <w:t xml:space="preserve">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8D79B5"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8D79B5"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8D79B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8D79B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w:t>
      </w:r>
      <w:r w:rsidR="00502942">
        <w:t>updated</w:t>
      </w:r>
      <w:r w:rsidRPr="00CD1DE7">
        <w:t xml:space="preserve"> probabilities</w:t>
      </w:r>
      <w:r>
        <w:t xml:space="preserve"> </w:t>
      </w:r>
      <w:r>
        <w:lastRenderedPageBreak/>
        <w:t xml:space="preserve">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4">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9" w:name="_Figure_III.1.16._Updated"/>
      <w:bookmarkStart w:id="70" w:name="_Toc519602501"/>
      <w:bookmarkEnd w:id="69"/>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70"/>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proofErr w:type="gramStart"/>
      <w:r w:rsidR="000C6CF4" w:rsidRPr="00D52149">
        <w:rPr>
          <w:i/>
          <w:szCs w:val="24"/>
        </w:rPr>
        <w:t>score</w:t>
      </w:r>
      <w:r w:rsidR="000C6CF4" w:rsidRPr="00D52149">
        <w:rPr>
          <w:szCs w:val="24"/>
        </w:rPr>
        <w:t>(</w:t>
      </w:r>
      <w:proofErr w:type="gramEnd"/>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295DF0" w:rsidRPr="000C6CF4">
            <w:rPr>
              <w:szCs w:val="24"/>
              <w:highlight w:val="yellow"/>
            </w:rPr>
            <w:instrText xml:space="preserve">CITATION Neapolitan2003 \p 541 \l 1033 </w:instrText>
          </w:r>
          <w:r w:rsidR="00295DF0" w:rsidRPr="000C6CF4">
            <w:rPr>
              <w:szCs w:val="24"/>
              <w:highlight w:val="yellow"/>
            </w:rPr>
            <w:fldChar w:fldCharType="separate"/>
          </w:r>
          <w:r w:rsidR="00295DF0" w:rsidRPr="000C6CF4">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lastRenderedPageBreak/>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3CC2">
            <w:instrText xml:space="preserve">CITATION Neapolitan2003 \p 37 \l 1033 </w:instrText>
          </w:r>
          <w:r w:rsidR="00683CC2">
            <w:fldChar w:fldCharType="separate"/>
          </w:r>
          <w:r w:rsidR="00683CC2">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 xml:space="preserve">Markov equivalent </w:t>
      </w:r>
      <w:r w:rsidR="008C2B35">
        <w:rPr>
          <w:szCs w:val="24"/>
        </w:rPr>
        <w:t xml:space="preserve">class of DAGs having the same </w:t>
      </w:r>
      <w:r w:rsidR="008C2B35" w:rsidRPr="008C2B35">
        <w:rPr>
          <w:i/>
          <w:szCs w:val="24"/>
        </w:rPr>
        <w:t>V</w:t>
      </w:r>
      <w:r w:rsidRPr="00D52149">
        <w:rPr>
          <w:szCs w:val="24"/>
        </w:rPr>
        <w:t>.</w:t>
      </w:r>
      <w:r w:rsidR="00683CC2">
        <w:rPr>
          <w:szCs w:val="24"/>
        </w:rPr>
        <w:t xml:space="preserve"> 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50123C">
            <w:rPr>
              <w:szCs w:val="24"/>
            </w:rPr>
            <w:instrText xml:space="preserve">CITATION Neapolitan2003 \p 442 \l 1033 </w:instrText>
          </w:r>
          <w:r w:rsidR="0050123C">
            <w:rPr>
              <w:szCs w:val="24"/>
            </w:rPr>
            <w:fldChar w:fldCharType="separate"/>
          </w:r>
          <w:r w:rsidR="0050123C" w:rsidRPr="0050123C">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2D6E3D">
            <w:rPr>
              <w:szCs w:val="24"/>
            </w:rPr>
            <w:instrText xml:space="preserve">CITATION Neapolitan2003 \p 443-445 \l 1033 </w:instrText>
          </w:r>
          <w:r>
            <w:rPr>
              <w:szCs w:val="24"/>
            </w:rPr>
            <w:fldChar w:fldCharType="separate"/>
          </w:r>
          <w:r w:rsidR="002D6E3D" w:rsidRPr="002D6E3D">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an augmented multinomial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Pr="0050123C">
        <w:rPr>
          <w:i/>
          <w:szCs w:val="24"/>
        </w:rPr>
        <w:t>G</w:t>
      </w:r>
      <w:r>
        <w:rPr>
          <w:szCs w:val="24"/>
        </w:rPr>
        <w:t xml:space="preserve"> = </w:t>
      </w:r>
      <w:proofErr w:type="spellStart"/>
      <w:r w:rsidRPr="0050123C">
        <w:rPr>
          <w:i/>
          <w:szCs w:val="24"/>
        </w:rPr>
        <w:t>gp</w:t>
      </w:r>
      <w:proofErr w:type="spellEnd"/>
      <w:r>
        <w:rPr>
          <w:szCs w:val="24"/>
        </w:rPr>
        <w:t xml:space="preserve">. Of course, we have such </w:t>
      </w:r>
      <w:r w:rsidRPr="0050123C">
        <w:rPr>
          <w:i/>
          <w:szCs w:val="24"/>
        </w:rPr>
        <w:t>K</w:t>
      </w:r>
      <w:r>
        <w:rPr>
          <w:szCs w:val="24"/>
        </w:rPr>
        <w:t xml:space="preserve"> augmented multinomial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E228AF">
            <w:rPr>
              <w:szCs w:val="24"/>
            </w:rPr>
            <w:instrText xml:space="preserve">CITATION Neapolitan2003 \p 396 \l 1033 </w:instrText>
          </w:r>
          <w:r w:rsidR="00E228AF">
            <w:rPr>
              <w:szCs w:val="24"/>
            </w:rPr>
            <w:fldChar w:fldCharType="separate"/>
          </w:r>
          <w:r w:rsidR="00E228AF" w:rsidRPr="00E228AF">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50123C">
        <w:rPr>
          <w:szCs w:val="24"/>
          <w:highlight w:val="yellow"/>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the joint </w:t>
      </w:r>
      <w:r w:rsidRPr="00E228AF">
        <w:rPr>
          <w:szCs w:val="24"/>
        </w:rPr>
        <w:t xml:space="preserve">probability </w:t>
      </w:r>
      <w:r w:rsidR="00E228AF">
        <w:rPr>
          <w:szCs w:val="24"/>
        </w:rPr>
        <w:t xml:space="preserve">distribution of </w:t>
      </w:r>
      <w:r w:rsidR="0050123C">
        <w:rPr>
          <w:szCs w:val="24"/>
        </w:rPr>
        <w:t xml:space="preserve">its </w:t>
      </w:r>
      <w:r w:rsidR="00E228AF">
        <w:rPr>
          <w:szCs w:val="24"/>
        </w:rPr>
        <w:t xml:space="preserve">embedded BN is uniform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D79B5"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222DF2" w:rsidP="00706B1E">
      <w:pPr>
        <w:numPr>
          <w:ilvl w:val="0"/>
          <w:numId w:val="23"/>
        </w:numPr>
        <w:ind w:left="720"/>
        <w:rPr>
          <w:szCs w:val="24"/>
        </w:rPr>
      </w:pPr>
      <w:r w:rsidRPr="00D52149">
        <w:rPr>
          <w:szCs w:val="24"/>
        </w:rPr>
        <w:t xml:space="preserve">Which </w:t>
      </w:r>
      <m:oMath>
        <m:acc>
          <m:accPr>
            <m:ctrlPr>
              <w:rPr>
                <w:rFonts w:ascii="Cambria Math" w:hAnsi="Cambria Math"/>
                <w:i/>
                <w:szCs w:val="24"/>
              </w:rPr>
            </m:ctrlPr>
          </m:accPr>
          <m:e>
            <m:r>
              <w:rPr>
                <w:rFonts w:ascii="Cambria Math" w:hAnsi="Cambria Math"/>
                <w:szCs w:val="24"/>
              </w:rPr>
              <m:t>gp</m:t>
            </m:r>
          </m:e>
        </m:acc>
      </m:oMath>
      <w:r w:rsidRPr="00D52149">
        <w:rPr>
          <w:szCs w:val="24"/>
        </w:rPr>
        <w:t xml:space="preserve"> </w:t>
      </w:r>
      <w:r w:rsidR="006F2A26">
        <w:rPr>
          <w:szCs w:val="24"/>
        </w:rPr>
        <w:t>that maximizes</w:t>
      </w:r>
      <w:r w:rsidRPr="00D52149">
        <w:rPr>
          <w:szCs w:val="24"/>
        </w:rPr>
        <w:t xml:space="preserve">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m:oMath>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gp</m:t>
            </m:r>
          </m:e>
        </m:acc>
      </m:oMath>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w:t>
      </w:r>
      <w:r w:rsidR="00A90DB3">
        <w:rPr>
          <w:szCs w:val="24"/>
        </w:rPr>
        <w:lastRenderedPageBreak/>
        <w:t xml:space="preserve">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50123C">
        <w:rPr>
          <w:szCs w:val="24"/>
          <w:highlight w:val="yellow"/>
        </w:rPr>
        <w:t>5.1.</w:t>
      </w:r>
      <w:r w:rsidR="00847F52" w:rsidRPr="0050123C">
        <w:rPr>
          <w:szCs w:val="24"/>
          <w:highlight w:val="yellow"/>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8D79B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8D79B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rsidR="00847F52" w:rsidRPr="00847F52" w:rsidRDefault="008D79B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9137F9">
        <w:rPr>
          <w:i/>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8D79B5"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50123C">
        <w:rPr>
          <w:szCs w:val="24"/>
          <w:highlight w:val="yellow"/>
        </w:rPr>
        <w:t>5.1.2</w:t>
      </w:r>
      <w:r w:rsidR="00A90DB3">
        <w:rPr>
          <w:szCs w:val="24"/>
        </w:rPr>
        <w:t xml:space="preserve"> is degraded </w:t>
      </w:r>
      <w:r w:rsidR="00A92A29">
        <w:rPr>
          <w:szCs w:val="24"/>
        </w:rPr>
        <w:t xml:space="preserve">according to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50123C">
              <w:rPr>
                <w:highlight w:val="yellow"/>
              </w:rPr>
              <w:t>5.1.</w:t>
            </w:r>
            <w:r w:rsidR="00E46F7E" w:rsidRPr="0050123C">
              <w:rPr>
                <w:highlight w:val="yellow"/>
              </w:rPr>
              <w:t>4</w:t>
            </w:r>
            <w:r>
              <w:t>)</w:t>
            </w:r>
          </w:p>
        </w:tc>
      </w:tr>
    </w:tbl>
    <w:p w:rsidR="0050123C" w:rsidRPr="0050123C" w:rsidRDefault="0050123C" w:rsidP="00222DF2">
      <w:pPr>
        <w:rPr>
          <w:szCs w:val="24"/>
        </w:rPr>
      </w:pPr>
      <w:r>
        <w:rPr>
          <w:szCs w:val="24"/>
        </w:rPr>
        <w:t xml:space="preserve">For convenience, equation </w:t>
      </w:r>
      <w:r w:rsidRPr="0050123C">
        <w:rPr>
          <w:szCs w:val="24"/>
          <w:highlight w:val="yellow"/>
        </w:rPr>
        <w:t>5.1.4</w:t>
      </w:r>
      <w:r>
        <w:rPr>
          <w:szCs w:val="24"/>
        </w:rPr>
        <w:t xml:space="preserve"> is replication of equation 4.1.12.</w:t>
      </w:r>
    </w:p>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lastRenderedPageBreak/>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5">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w:t>
      </w:r>
      <w:r w:rsidR="00A92A29" w:rsidRPr="00683CC2">
        <w:rPr>
          <w:szCs w:val="24"/>
          <w:highlight w:val="yellow"/>
        </w:rPr>
        <w:t>4.1.14</w:t>
      </w:r>
      <w:r w:rsidR="00E46F7E">
        <w:rPr>
          <w:szCs w:val="24"/>
        </w:rPr>
        <w:t xml:space="preserve">, CPTs associated with </w:t>
      </w:r>
      <w:proofErr w:type="gramStart"/>
      <w:r w:rsidR="00E46F7E" w:rsidRPr="00E46F7E">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B7486B">
            <w:rPr>
              <w:szCs w:val="24"/>
            </w:rPr>
            <w:instrText xml:space="preserve">CITATION Neapolitan2003 \p 447 \l 1033 </w:instrText>
          </w:r>
          <w:r w:rsidR="00B7486B">
            <w:rPr>
              <w:szCs w:val="24"/>
            </w:rPr>
            <w:fldChar w:fldCharType="separate"/>
          </w:r>
          <w:r w:rsidR="00B7486B" w:rsidRPr="00B7486B">
            <w:rPr>
              <w:noProof/>
              <w:szCs w:val="24"/>
            </w:rPr>
            <w:t>(Neapolitan, 2003, p. 447)</w:t>
          </w:r>
          <w:r w:rsidR="00B7486B">
            <w:rPr>
              <w:szCs w:val="24"/>
            </w:rPr>
            <w:fldChar w:fldCharType="end"/>
          </w:r>
        </w:sdtContent>
      </w:sdt>
      <w:r w:rsidR="00E46F7E">
        <w:rPr>
          <w:szCs w:val="24"/>
        </w:rPr>
        <w:t>:</w:t>
      </w:r>
    </w:p>
    <w:p w:rsidR="00E46F7E" w:rsidRPr="00D52149" w:rsidRDefault="008D79B5"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6">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w:t>
      </w:r>
      <w:proofErr w:type="gramStart"/>
      <w:r w:rsidR="00E46F7E" w:rsidRPr="00E46F7E">
        <w:rPr>
          <w:i/>
          <w:szCs w:val="24"/>
        </w:rPr>
        <w:t>score</w:t>
      </w:r>
      <w:r w:rsidR="00E46F7E">
        <w:rPr>
          <w:szCs w:val="24"/>
        </w:rPr>
        <w:t>(</w:t>
      </w:r>
      <w:proofErr w:type="gramEnd"/>
      <w:r w:rsidR="00E46F7E" w:rsidRPr="00E46F7E">
        <w:rPr>
          <w:i/>
          <w:szCs w:val="24"/>
        </w:rPr>
        <w:t>D</w:t>
      </w:r>
      <w:r w:rsidR="00E46F7E">
        <w:rPr>
          <w:szCs w:val="24"/>
        </w:rPr>
        <w:t xml:space="preserve">, </w:t>
      </w:r>
      <w:proofErr w:type="spellStart"/>
      <w:r w:rsidR="00E46F7E" w:rsidRPr="00E46F7E">
        <w:rPr>
          <w:i/>
          <w:szCs w:val="24"/>
        </w:rPr>
        <w:t>gp</w:t>
      </w:r>
      <w:proofErr w:type="spellEnd"/>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7" o:title=""/>
          </v:shape>
          <o:OLEObject Type="Embed" ProgID="Equation.3" ShapeID="_x0000_i1027" DrawAspect="Content" ObjectID="_1594604668" r:id="rId58"/>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59" o:title=""/>
          </v:shape>
          <o:OLEObject Type="Embed" ProgID="Equation.3" ShapeID="_x0000_i1028" DrawAspect="Content" ObjectID="_1594604669" r:id="rId60"/>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61" o:title=""/>
          </v:shape>
          <o:OLEObject Type="Embed" ProgID="Equation.3" ShapeID="_x0000_i1029" DrawAspect="Content" ObjectID="_1594604670" r:id="rId62"/>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lastRenderedPageBreak/>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w:t>
      </w:r>
      <w:r>
        <w:lastRenderedPageBreak/>
        <w:t xml:space="preserve">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sectPr w:rsidR="00BD2C52" w:rsidSect="00BB6BFC">
      <w:headerReference w:type="even" r:id="rId63"/>
      <w:headerReference w:type="default" r:id="rId64"/>
      <w:footerReference w:type="even"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9B5" w:rsidRDefault="008D79B5" w:rsidP="00BB6BFC">
      <w:r>
        <w:separator/>
      </w:r>
    </w:p>
  </w:endnote>
  <w:endnote w:type="continuationSeparator" w:id="0">
    <w:p w:rsidR="008D79B5" w:rsidRDefault="008D79B5"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9B5" w:rsidRDefault="008D79B5" w:rsidP="00BB6BFC">
      <w:r>
        <w:separator/>
      </w:r>
    </w:p>
  </w:footnote>
  <w:footnote w:type="continuationSeparator" w:id="0">
    <w:p w:rsidR="008D79B5" w:rsidRDefault="008D79B5"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2956"/>
    <w:rsid w:val="001A7D3A"/>
    <w:rsid w:val="001B708B"/>
    <w:rsid w:val="001B7CFA"/>
    <w:rsid w:val="001E1F30"/>
    <w:rsid w:val="001F1FED"/>
    <w:rsid w:val="001F4125"/>
    <w:rsid w:val="001F4C8E"/>
    <w:rsid w:val="002006AC"/>
    <w:rsid w:val="00212319"/>
    <w:rsid w:val="00214041"/>
    <w:rsid w:val="00216490"/>
    <w:rsid w:val="00222DF2"/>
    <w:rsid w:val="002256D8"/>
    <w:rsid w:val="00227307"/>
    <w:rsid w:val="00234F3D"/>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7306"/>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4CFF"/>
    <w:rsid w:val="003E7390"/>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B660E"/>
    <w:rsid w:val="004B6C44"/>
    <w:rsid w:val="004B726F"/>
    <w:rsid w:val="004C266D"/>
    <w:rsid w:val="004C45A6"/>
    <w:rsid w:val="004D3333"/>
    <w:rsid w:val="004D4BC9"/>
    <w:rsid w:val="004D5BBC"/>
    <w:rsid w:val="004E081B"/>
    <w:rsid w:val="004E6F37"/>
    <w:rsid w:val="0050123C"/>
    <w:rsid w:val="00501BFD"/>
    <w:rsid w:val="005027AF"/>
    <w:rsid w:val="00502942"/>
    <w:rsid w:val="00502C44"/>
    <w:rsid w:val="00507290"/>
    <w:rsid w:val="0051420F"/>
    <w:rsid w:val="00525FF7"/>
    <w:rsid w:val="00534A34"/>
    <w:rsid w:val="00534ED1"/>
    <w:rsid w:val="005367F2"/>
    <w:rsid w:val="0054098D"/>
    <w:rsid w:val="00540B35"/>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80F80"/>
    <w:rsid w:val="00683CC2"/>
    <w:rsid w:val="00690AE8"/>
    <w:rsid w:val="00695F09"/>
    <w:rsid w:val="00696282"/>
    <w:rsid w:val="006A19ED"/>
    <w:rsid w:val="006A6B47"/>
    <w:rsid w:val="006A6E96"/>
    <w:rsid w:val="006B3AF8"/>
    <w:rsid w:val="006D4C89"/>
    <w:rsid w:val="006F2550"/>
    <w:rsid w:val="006F2A26"/>
    <w:rsid w:val="007011F1"/>
    <w:rsid w:val="007022BE"/>
    <w:rsid w:val="00704359"/>
    <w:rsid w:val="00706B1E"/>
    <w:rsid w:val="00710D96"/>
    <w:rsid w:val="0072021F"/>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E33EB"/>
    <w:rsid w:val="007E406F"/>
    <w:rsid w:val="007E4E67"/>
    <w:rsid w:val="007E5505"/>
    <w:rsid w:val="007E6F89"/>
    <w:rsid w:val="007F23EC"/>
    <w:rsid w:val="007F308F"/>
    <w:rsid w:val="00802AE5"/>
    <w:rsid w:val="00817DA2"/>
    <w:rsid w:val="008217D8"/>
    <w:rsid w:val="008266DA"/>
    <w:rsid w:val="00827098"/>
    <w:rsid w:val="008361AE"/>
    <w:rsid w:val="00846B5F"/>
    <w:rsid w:val="00847F52"/>
    <w:rsid w:val="0085246D"/>
    <w:rsid w:val="008622B2"/>
    <w:rsid w:val="0086777B"/>
    <w:rsid w:val="00867B8D"/>
    <w:rsid w:val="00873319"/>
    <w:rsid w:val="00873BA8"/>
    <w:rsid w:val="00882780"/>
    <w:rsid w:val="00885EC1"/>
    <w:rsid w:val="008912D9"/>
    <w:rsid w:val="008952F8"/>
    <w:rsid w:val="00897E43"/>
    <w:rsid w:val="008A16DD"/>
    <w:rsid w:val="008A22AB"/>
    <w:rsid w:val="008A6A53"/>
    <w:rsid w:val="008B2E3F"/>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507E"/>
    <w:rsid w:val="00CB0373"/>
    <w:rsid w:val="00CB65EE"/>
    <w:rsid w:val="00CC11A7"/>
    <w:rsid w:val="00CC23AE"/>
    <w:rsid w:val="00CC2F4D"/>
    <w:rsid w:val="00CC6C00"/>
    <w:rsid w:val="00CD4CE8"/>
    <w:rsid w:val="00CE0445"/>
    <w:rsid w:val="00CF2147"/>
    <w:rsid w:val="00D05EC5"/>
    <w:rsid w:val="00D07B75"/>
    <w:rsid w:val="00D12ABD"/>
    <w:rsid w:val="00D15531"/>
    <w:rsid w:val="00D1735F"/>
    <w:rsid w:val="00D25EBA"/>
    <w:rsid w:val="00D70166"/>
    <w:rsid w:val="00D702C6"/>
    <w:rsid w:val="00D9446E"/>
    <w:rsid w:val="00D95AC5"/>
    <w:rsid w:val="00DA1008"/>
    <w:rsid w:val="00DA1280"/>
    <w:rsid w:val="00DA543F"/>
    <w:rsid w:val="00DB4B1C"/>
    <w:rsid w:val="00DB4F20"/>
    <w:rsid w:val="00DB6FE5"/>
    <w:rsid w:val="00DB72B8"/>
    <w:rsid w:val="00DC0187"/>
    <w:rsid w:val="00DD6276"/>
    <w:rsid w:val="00DD7F06"/>
    <w:rsid w:val="00DE4E99"/>
    <w:rsid w:val="00DF3891"/>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39C8"/>
    <w:rsid w:val="00EC609B"/>
    <w:rsid w:val="00EE32C8"/>
    <w:rsid w:val="00EF0453"/>
    <w:rsid w:val="00EF4393"/>
    <w:rsid w:val="00F13556"/>
    <w:rsid w:val="00F17DF5"/>
    <w:rsid w:val="00F2051B"/>
    <w:rsid w:val="00F20E27"/>
    <w:rsid w:val="00F20F3C"/>
    <w:rsid w:val="00F26E1F"/>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90CE"/>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oleObject" Target="embeddings/oleObject3.bin"/><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wmf"/><Relationship Id="rId61" Type="http://schemas.openxmlformats.org/officeDocument/2006/relationships/image" Target="media/image35.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4.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header" Target="header2.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4.wmf"/><Relationship Id="rId67" Type="http://schemas.openxmlformats.org/officeDocument/2006/relationships/fontTable" Target="fontTable.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CF909FCB-A9BA-4ABD-A1AC-21A95D6D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7833</TotalTime>
  <Pages>69</Pages>
  <Words>26198</Words>
  <Characters>149334</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375</cp:revision>
  <dcterms:created xsi:type="dcterms:W3CDTF">2018-01-15T06:55:00Z</dcterms:created>
  <dcterms:modified xsi:type="dcterms:W3CDTF">2018-07-31T21:57:00Z</dcterms:modified>
</cp:coreProperties>
</file>