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C93CD1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C93CD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C93C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C93CD1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13340E" w:rsidRDefault="0013340E" w:rsidP="0013340E">
      <w:r>
        <w:t>The product of two matrices is:</w:t>
      </w:r>
    </w:p>
    <w:p w:rsidR="0013340E" w:rsidRDefault="00C93CD1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C93CD1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C93CD1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w:r w:rsidR="00BA4BA5" w:rsidRPr="00BB716F">
        <w:rPr>
          <w:i/>
        </w:rPr>
        <w:t>X</w:t>
      </w:r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C05ACE">
        <w:t xml:space="preserve">Let </w:t>
      </w:r>
      <w:r w:rsidR="00E33E21">
        <w:rPr>
          <w:rFonts w:cs="Times New Roman"/>
        </w:rPr>
        <w:t>Ω</w:t>
      </w:r>
      <w:r w:rsidR="00E33E21">
        <w:t xml:space="preserve"> </w:t>
      </w:r>
      <w:r w:rsidR="00C05ACE">
        <w:t xml:space="preserve">be the </w:t>
      </w:r>
      <w:r w:rsidR="00045DA7">
        <w:t>convex</w:t>
      </w:r>
      <w:r w:rsidR="00C05ACE">
        <w:t xml:space="preserve"> </w:t>
      </w:r>
      <w:r w:rsidR="00045DA7">
        <w:t xml:space="preserve">set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C93C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C93CD1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C93CD1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C93C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C93C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C93CD1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C93CD1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C93C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proofErr w:type="gramStart"/>
      <w:r w:rsidR="007661AA" w:rsidRPr="00045DA7">
        <w:rPr>
          <w:i/>
        </w:rPr>
        <w:t>f</w:t>
      </w:r>
      <w:r w:rsidR="007661AA">
        <w:t>(</w:t>
      </w:r>
      <w:proofErr w:type="gramEnd"/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2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C93CD1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C93CD1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C93CD1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C93CD1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C93CD1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C93CD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C93CD1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C93CD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C93CD1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C93CD1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C93CD1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C93CD1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proofErr w:type="gramStart"/>
      <w:r w:rsidR="003611A0" w:rsidRPr="00891DC5">
        <w:rPr>
          <w:i/>
        </w:rPr>
        <w:t>f</w:t>
      </w:r>
      <w:r w:rsidR="003611A0">
        <w:t>(</w:t>
      </w:r>
      <w:proofErr w:type="gramEnd"/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1A3A1E">
        <w:rPr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</w:t>
            </w:r>
            <w:r w:rsidR="00F47741">
              <w:rPr>
                <w:szCs w:val="26"/>
              </w:rPr>
              <w:t>s follows:</w:t>
            </w:r>
          </w:p>
          <w:p w:rsidR="00F47741" w:rsidRDefault="00C93CD1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following equation: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C93C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p w:rsidR="00624C3D" w:rsidRPr="00C415C9" w:rsidRDefault="00624C3D" w:rsidP="00624C3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B6103B" w:rsidRDefault="00356207"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C93CD1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406BF1">
            <w:pPr>
              <w:jc w:val="right"/>
            </w:pPr>
            <w:r>
              <w:t>(2.1)</w:t>
            </w:r>
          </w:p>
        </w:tc>
      </w:tr>
    </w:tbl>
    <w:p w:rsidR="000C6591" w:rsidRDefault="000C6591">
      <w:r>
        <w:t xml:space="preserve">Maximizing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is to set the first-order derivative of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>) to be zero.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 xml:space="preserve">ution of the following equation which is specified in M-step. 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C518FC">
        <w:rPr>
          <w:rFonts w:cs="Times New Roman"/>
        </w:rPr>
        <w:t>2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2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C93C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3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C93CD1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C518FC">
            <w:pPr>
              <w:jc w:val="right"/>
            </w:pPr>
            <w:r>
              <w:t>(2.4)</w:t>
            </w:r>
          </w:p>
        </w:tc>
      </w:tr>
    </w:tbl>
    <w:p w:rsidR="00FA4AB3" w:rsidRDefault="00A7409C" w:rsidP="00A7409C">
      <w:r>
        <w:t xml:space="preserve">Maximizing </w:t>
      </w:r>
      <w:r w:rsidR="00B94BCA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 xml:space="preserve">) is to set the first-order derivative of </w:t>
      </w:r>
      <w:r w:rsidR="00FA4AB3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</w:t>
      </w:r>
      <w:r w:rsidR="00FA4AB3">
        <w:t xml:space="preserve"> to be zero as be zero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C518FC">
        <w:t>5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C93CD1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5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C518FC">
        <w:t>5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C518FC">
        <w:t>2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C93CD1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93CE9" w:rsidRDefault="00672F60" w:rsidP="0067588F"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C518FC">
        <w:t>6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6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C518FC">
              <w:t>6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</w:t>
            </w:r>
            <w:proofErr w:type="gramStart"/>
            <w:r w:rsidR="00BC67A1">
              <w:rPr>
                <w:szCs w:val="26"/>
              </w:rPr>
              <w:t>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C518FC">
        <w:t>3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C518FC">
        <w:t>7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7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lastRenderedPageBreak/>
        <w:t>Following is a proof of equation 2.</w:t>
      </w:r>
      <w:r w:rsidR="00C518FC">
        <w:t>7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2119CD" w:rsidRPr="002119CD" w:rsidRDefault="002119CD" w:rsidP="00456C81"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</w:t>
      </w:r>
      <w:r>
        <w:t xml:space="preserve">called </w:t>
      </w:r>
      <w:r w:rsidRPr="00FB7573">
        <w:rPr>
          <w:b/>
          <w:i/>
        </w:rPr>
        <w:t>X</w:t>
      </w:r>
      <w:r>
        <w:t xml:space="preserve"> </w:t>
      </w:r>
      <w:r>
        <w:t xml:space="preserve">as </w:t>
      </w:r>
      <w:r w:rsidRPr="001C7C05">
        <w:rPr>
          <w:i/>
        </w:rPr>
        <w:t>complete data</w:t>
      </w:r>
      <w:r>
        <w:t xml:space="preserve"> </w:t>
      </w:r>
      <w:r>
        <w:t xml:space="preserve">because the </w:t>
      </w:r>
      <w:r>
        <w:t xml:space="preserve">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>many-one</w:t>
      </w:r>
      <w:r>
        <w:rPr>
          <w:szCs w:val="24"/>
        </w:rPr>
        <w:t xml:space="preserve"> function. There is another case that the complete data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data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data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w:r w:rsidRPr="002119CD">
        <w:rPr>
          <w:rFonts w:cs="Times New Roman"/>
          <w:i/>
        </w:rPr>
        <w:t>Z</w:t>
      </w:r>
      <w:r>
        <w:rPr>
          <w:rFonts w:cs="Times New Roman"/>
        </w:rPr>
        <w:t xml:space="preserve"> as the joint PDF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C518FC">
        <w:rPr>
          <w:szCs w:val="24"/>
        </w:rPr>
        <w:t>6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szCs w:val="24"/>
        </w:rPr>
        <w:t xml:space="preserve"> mentioned in equation 1.1. </w:t>
      </w:r>
      <w:r w:rsidR="00961A9D">
        <w:rPr>
          <w:szCs w:val="24"/>
        </w:rPr>
        <w:t xml:space="preserve">Although </w:t>
      </w:r>
      <w:r w:rsidR="00961A9D">
        <w:rPr>
          <w:szCs w:val="24"/>
        </w:rPr>
        <w:t xml:space="preserve">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961A9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</w:t>
      </w:r>
      <w:r w:rsidR="00961A9D">
        <w:rPr>
          <w:szCs w:val="24"/>
        </w:rPr>
        <w:t>to</w:t>
      </w:r>
      <w:r w:rsidR="00961A9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</w:t>
      </w:r>
      <w:proofErr w:type="gramStart"/>
      <w:r w:rsidR="00961A9D">
        <w:rPr>
          <w:szCs w:val="24"/>
        </w:rPr>
        <w:t>a</w:t>
      </w:r>
      <w:proofErr w:type="gramEnd"/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Z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>The condition</w:t>
      </w:r>
      <w:r>
        <w:rPr>
          <w:szCs w:val="24"/>
        </w:rPr>
        <w:t>al</w:t>
      </w:r>
      <w:r>
        <w:rPr>
          <w:szCs w:val="24"/>
        </w:rPr>
        <w:t xml:space="preserve"> PDF</w:t>
      </w:r>
      <w:r>
        <w:rPr>
          <w:szCs w:val="24"/>
        </w:rPr>
        <w:t xml:space="preserve">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szCs w:val="24"/>
        </w:rPr>
        <w:t xml:space="preserve">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2119CD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C518FC">
        <w:rPr>
          <w:szCs w:val="24"/>
        </w:rPr>
        <w:t>8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>in case that t</w:t>
      </w:r>
      <w:r w:rsidR="002119CD">
        <w:rPr>
          <w:szCs w:val="24"/>
        </w:rPr>
        <w:t xml:space="preserve">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>mapping</w:t>
      </w:r>
      <w:r w:rsidR="002119CD">
        <w:rPr>
          <w:szCs w:val="24"/>
        </w:rPr>
        <w:t xml:space="preserve">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8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>
        <w:t xml:space="preserve">hidden data </w:t>
      </w:r>
      <w:r w:rsidR="002119CD" w:rsidRPr="002119CD">
        <w:rPr>
          <w:b/>
          <w:i/>
        </w:rPr>
        <w:t>X</w:t>
      </w:r>
      <w:r w:rsidR="002119CD">
        <w:t xml:space="preserve"> is separated from observed data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2.8, the existence of the joint PDF </w:t>
      </w:r>
      <w:proofErr w:type="gramStart"/>
      <w:r w:rsidR="0057113B" w:rsidRPr="0057113B">
        <w:rPr>
          <w:i/>
        </w:rPr>
        <w:t>f</w:t>
      </w:r>
      <w:r w:rsidR="0057113B">
        <w:t>(</w:t>
      </w:r>
      <w:proofErr w:type="gramEnd"/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>Θ</w:t>
      </w:r>
      <w:r w:rsidR="0057113B">
        <w:rPr>
          <w:rFonts w:cs="Times New Roman"/>
        </w:rPr>
        <w:t xml:space="preserve">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</w:t>
      </w:r>
      <w:r w:rsidR="0057113B">
        <w:rPr>
          <w:rFonts w:cs="Times New Roman"/>
        </w:rPr>
        <w:t>Θ</w:t>
      </w:r>
      <w:r w:rsidR="0057113B">
        <w:rPr>
          <w:rFonts w:cs="Times New Roman"/>
        </w:rPr>
        <w:t>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lastRenderedPageBreak/>
        <w:t xml:space="preserve">In applied statistics, equation 2.6 is often replaced by equation 2.8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szCs w:val="24"/>
        </w:rPr>
        <w:t xml:space="preserve">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Pr="003F6D4F">
        <w:rPr>
          <w:rFonts w:cs="Times New Roman"/>
          <w:i/>
        </w:rPr>
        <w:t>φ</w:t>
      </w:r>
      <w:r w:rsidR="003F6D4F">
        <w:t>.</w:t>
      </w:r>
      <w:r w:rsidR="00B55D86">
        <w:t xml:space="preserve"> However, equation 2.6 is more general </w:t>
      </w:r>
      <w:r w:rsidR="008A75A2">
        <w:t xml:space="preserve">equation 2.8 </w:t>
      </w:r>
      <w:r w:rsidR="00B55D86">
        <w:t xml:space="preserve">because </w:t>
      </w:r>
      <w:r w:rsidR="008A75A2">
        <w:t xml:space="preserve">the explicit </w:t>
      </w:r>
      <w:r w:rsidR="008A75A2">
        <w:t xml:space="preserve">mapping from </w:t>
      </w:r>
      <w:r w:rsidR="008A75A2">
        <w:rPr>
          <w:b/>
          <w:i/>
        </w:rPr>
        <w:t>X</w:t>
      </w:r>
      <w:r w:rsidR="008A75A2">
        <w:t xml:space="preserve"> to </w:t>
      </w:r>
      <w:r w:rsidR="008A75A2" w:rsidRPr="00B55D86">
        <w:rPr>
          <w:b/>
          <w:i/>
        </w:rPr>
        <w:t>Y</w:t>
      </w:r>
      <w:r w:rsidR="008A75A2">
        <w:t xml:space="preserve"> in equation 2.</w:t>
      </w:r>
      <w:r w:rsidR="008A75A2">
        <w:t xml:space="preserve">6 is many-to-one function </w:t>
      </w:r>
      <w:r w:rsidR="008A75A2">
        <w:t>whereas</w:t>
      </w:r>
      <w:r w:rsidR="008A75A2">
        <w:t xml:space="preserve"> </w:t>
      </w:r>
      <w:r w:rsidR="008A75A2">
        <w:t xml:space="preserve">the implicit mapping from </w:t>
      </w:r>
      <w:r w:rsidR="008A75A2" w:rsidRPr="00B55D86">
        <w:rPr>
          <w:b/>
          <w:i/>
        </w:rPr>
        <w:t>Z</w:t>
      </w:r>
      <w:r w:rsidR="008A75A2">
        <w:t xml:space="preserve"> to </w:t>
      </w:r>
      <w:r w:rsidR="008A75A2" w:rsidRPr="00B55D86">
        <w:rPr>
          <w:b/>
          <w:i/>
        </w:rPr>
        <w:t>Y</w:t>
      </w:r>
      <w:r w:rsidR="008A75A2">
        <w:t xml:space="preserve"> in equation 2.8 is one-to-one function</w:t>
      </w:r>
      <w:r w:rsidR="008A75A2">
        <w:t>.</w:t>
      </w:r>
      <w:r w:rsidR="0057113B">
        <w:t xml:space="preserve"> Thus, the requirement of the joint PDF for equation 2.8 is stricter than </w:t>
      </w:r>
      <w:r w:rsidR="0057113B">
        <w:t xml:space="preserve">the requirement of the explicit mapping </w:t>
      </w:r>
      <w:r w:rsidR="0057113B">
        <w:t>for</w:t>
      </w:r>
      <w:r w:rsidR="0057113B">
        <w:t xml:space="preserve"> equation 2.6</w:t>
      </w:r>
      <w:r w:rsidR="0057113B">
        <w:t>.</w:t>
      </w:r>
    </w:p>
    <w:p w:rsidR="00D555F9" w:rsidRDefault="00D555F9" w:rsidP="00D555F9">
      <w:pPr>
        <w:ind w:firstLine="360"/>
      </w:pPr>
      <w:r>
        <w:t xml:space="preserve">Equation 2.9 is another version of equation 2.8 when the PDF notation </w:t>
      </w:r>
      <w:r w:rsidRPr="00D555F9">
        <w:rPr>
          <w:i/>
        </w:rPr>
        <w:t>f</w:t>
      </w:r>
      <w:r>
        <w:t xml:space="preserve">(.) is replaced by probability notation </w:t>
      </w:r>
      <w:r w:rsidRPr="00D555F9">
        <w:rPr>
          <w:i/>
        </w:rPr>
        <w:t>P</w:t>
      </w:r>
      <w:r>
        <w:t>(.).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D555F9" w:rsidTr="0095133D">
        <w:tc>
          <w:tcPr>
            <w:tcW w:w="8513" w:type="dxa"/>
            <w:vAlign w:val="center"/>
          </w:tcPr>
          <w:p w:rsidR="00D555F9" w:rsidRDefault="00D555F9" w:rsidP="0095133D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D555F9" w:rsidRDefault="00D555F9" w:rsidP="0095133D">
            <w:pPr>
              <w:jc w:val="right"/>
            </w:pPr>
            <w:r>
              <w:t>(2.</w:t>
            </w:r>
            <w:r>
              <w:t>9</w:t>
            </w:r>
            <w:r>
              <w:t>)</w:t>
            </w:r>
          </w:p>
        </w:tc>
      </w:tr>
    </w:tbl>
    <w:p w:rsidR="003F6D4F" w:rsidRDefault="00D555F9" w:rsidP="00456C81">
      <w:r>
        <w:t xml:space="preserve">If </w:t>
      </w:r>
      <w:r w:rsidRPr="00D555F9">
        <w:rPr>
          <w:i/>
        </w:rPr>
        <w:t>X</w:t>
      </w:r>
      <w:r>
        <w:t xml:space="preserve"> is discrete and </w:t>
      </w:r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>
        <w:t xml:space="preserve"> is put in the context of EM iterative process shown in table 2.2, the equation 2.9 is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555F9" w:rsidTr="0095133D">
        <w:tc>
          <w:tcPr>
            <w:tcW w:w="8513" w:type="dxa"/>
            <w:vAlign w:val="center"/>
          </w:tcPr>
          <w:p w:rsidR="00D555F9" w:rsidRDefault="00D555F9" w:rsidP="0095133D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D555F9" w:rsidRDefault="00D555F9" w:rsidP="0095133D">
            <w:pPr>
              <w:jc w:val="right"/>
            </w:pPr>
            <w:r>
              <w:t>(2.</w:t>
            </w:r>
            <w:r>
              <w:t>10</w:t>
            </w:r>
            <w:r>
              <w:t>)</w:t>
            </w:r>
          </w:p>
        </w:tc>
      </w:tr>
    </w:tbl>
    <w:p w:rsidR="00D555F9" w:rsidRDefault="00D555F9" w:rsidP="00456C81">
      <w:r>
        <w:t xml:space="preserve">Where </w:t>
      </w:r>
      <w:r>
        <w:rPr>
          <w:rFonts w:cs="Times New Roman"/>
        </w:rPr>
        <w:t>Θ</w:t>
      </w:r>
      <w:r w:rsidRPr="00D555F9">
        <w:rPr>
          <w:vertAlign w:val="superscript"/>
        </w:rPr>
        <w:t>(</w:t>
      </w:r>
      <w:r w:rsidRPr="00D555F9">
        <w:rPr>
          <w:i/>
          <w:vertAlign w:val="superscript"/>
        </w:rPr>
        <w:t>t</w:t>
      </w:r>
      <w:r w:rsidRPr="00D555F9">
        <w:rPr>
          <w:vertAlign w:val="superscript"/>
        </w:rPr>
        <w:t>)</w:t>
      </w:r>
      <w:r>
        <w:t xml:space="preserve"> is the current known parameter at the current </w:t>
      </w:r>
      <w:bookmarkStart w:id="0" w:name="_GoBack"/>
      <w:bookmarkEnd w:id="0"/>
      <w:proofErr w:type="spellStart"/>
      <w:r w:rsidRPr="00D555F9">
        <w:rPr>
          <w:i/>
        </w:rPr>
        <w:t>t</w:t>
      </w:r>
      <w:r w:rsidRPr="00D555F9">
        <w:rPr>
          <w:vertAlign w:val="superscript"/>
        </w:rPr>
        <w:t>th</w:t>
      </w:r>
      <w:proofErr w:type="spellEnd"/>
      <w:r>
        <w:t xml:space="preserve"> iteration. Equation 2.10 is very popular in practice.</w:t>
      </w:r>
    </w:p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C518FC">
        <w:t>6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lastRenderedPageBreak/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C93CD1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C93CD1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C93C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C93C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C93CD1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C93C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C93CD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C93CD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C93CD1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C93CD1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C93CD1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C93CD1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C93C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C93CD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C93C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C93C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C93CD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C93CD1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C93C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C93C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C93C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C93C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C93CD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C93CD1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C93CD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C93C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C93C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C93C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C93CD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C93CD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C93CD1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C93C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C93C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C93C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C93C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C93CD1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C93C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C93C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C93CD1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C93CD1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C93CD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C93CD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C93CD1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C93CD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C93CD1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lastRenderedPageBreak/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C93CD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C93CD1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C93CD1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C93CD1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C93CD1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C93CD1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C93CD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C93CD1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C93CD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C93CD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C93CD1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C93CD1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C93CD1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C93CD1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C93CD1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C93CD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lastRenderedPageBreak/>
        <w:t>Or</w:t>
      </w:r>
    </w:p>
    <w:p w:rsidR="00C6366A" w:rsidRDefault="00C93CD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C93CD1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C93CD1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C93CD1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C93CD1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C93CD1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C93CD1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lastRenderedPageBreak/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C93CD1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C93CD1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C93CD1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C93CD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C93CD1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C93CD1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C93CD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C93CD1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C93CD1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C93CD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C93CD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C93CD1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C93CD1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C93CD1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C93CD1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C93CD1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C93CD1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C93CD1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C93CD1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C93CD1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C93CD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C93CD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C93CD1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C93CD1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C93CD1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C93CD1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C93CD1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C93CD1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C93CD1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C93CD1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C93CD1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C93CD1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C93C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proofErr w:type="gramStart"/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C93CD1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C93CD1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C93CD1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C93CD1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C93CD1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2,..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mixture model</w:t>
      </w:r>
      <w:r>
        <w:rPr>
          <w:szCs w:val="24"/>
        </w:rPr>
        <w:t xml:space="preserve"> is represented by the </w:t>
      </w:r>
      <w:r w:rsidR="003C1C4F">
        <w:rPr>
          <w:szCs w:val="24"/>
        </w:rPr>
        <w:t>probability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3C1C4F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C93CD1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Ψ=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the </w:t>
      </w:r>
      <w:r w:rsidR="003C1C4F">
        <w:rPr>
          <w:szCs w:val="24"/>
        </w:rPr>
        <w:t>probability</w:t>
      </w:r>
      <w:r w:rsidR="001514F5">
        <w:rPr>
          <w:szCs w:val="24"/>
        </w:rPr>
        <w:t xml:space="preserve"> </w:t>
      </w:r>
      <w:r w:rsidR="001514F5" w:rsidRPr="001514F5">
        <w:rPr>
          <w:i/>
          <w:szCs w:val="24"/>
        </w:rPr>
        <w:t>P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1514F5">
        <w:rPr>
          <w:rFonts w:cs="Times New Roman"/>
          <w:szCs w:val="24"/>
        </w:rPr>
        <w:t>Ψ</w:t>
      </w:r>
      <w:r w:rsidR="001514F5">
        <w:rPr>
          <w:szCs w:val="24"/>
        </w:rPr>
        <w:t xml:space="preserve">). </w:t>
      </w:r>
      <w:r w:rsidR="00254B9C">
        <w:rPr>
          <w:szCs w:val="24"/>
        </w:rPr>
        <w:t xml:space="preserve">Each </w:t>
      </w:r>
      <w:r w:rsidR="003C1C4F">
        <w:rPr>
          <w:i/>
          <w:szCs w:val="24"/>
        </w:rPr>
        <w:t>P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probability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. 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probability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C93CD1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probabilities.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probability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3E71B1">
        <w:rPr>
          <w:rFonts w:cs="Times New Roman"/>
          <w:szCs w:val="24"/>
        </w:rPr>
        <w:t>Ψ.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C93CD1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probability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partial probability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25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31376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r>
        <w:t>In other words, equation 5.6 is established</w:t>
      </w:r>
      <w:r>
        <w:rPr>
          <w:rFonts w:cs="Times New Roman"/>
        </w:rPr>
        <w:t>■</w:t>
      </w:r>
    </w:p>
    <w:p w:rsidR="006510C4" w:rsidRDefault="00E61CF0" w:rsidP="00FD422B">
      <w:pPr>
        <w:ind w:firstLine="360"/>
      </w:pPr>
      <w:r>
        <w:lastRenderedPageBreak/>
        <w:t xml:space="preserve">Suppose </w:t>
      </w:r>
      <w:r w:rsidRPr="00E61CF0">
        <w:rPr>
          <w:b/>
          <w:i/>
        </w:rPr>
        <w:t>X</w:t>
      </w:r>
      <w:r>
        <w:t xml:space="preserve"> and </w:t>
      </w:r>
      <w:r w:rsidRPr="00E61CF0">
        <w:rPr>
          <w:b/>
          <w:i/>
        </w:rPr>
        <w:t>Y</w:t>
      </w:r>
      <w:r>
        <w:t xml:space="preserve"> are discretized as statistical samples of size </w:t>
      </w:r>
      <w:r w:rsidRPr="00E61CF0">
        <w:rPr>
          <w:i/>
        </w:rPr>
        <w:t>N</w:t>
      </w:r>
      <w:r>
        <w:t xml:space="preserve"> such that </w:t>
      </w:r>
      <w:r w:rsidRPr="00E61CF0">
        <w:rPr>
          <w:i/>
        </w:rPr>
        <w:t>X</w:t>
      </w:r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and </w:t>
      </w:r>
      <w:r w:rsidRPr="00E61CF0">
        <w:rPr>
          <w:i/>
        </w:rPr>
        <w:t>Y</w:t>
      </w:r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}. Note,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 with </w:t>
      </w:r>
      <w:r w:rsidRPr="00E61CF0">
        <w:rPr>
          <w:i/>
        </w:rPr>
        <w:t>X</w:t>
      </w:r>
      <w:r>
        <w:t xml:space="preserve"> and all </w:t>
      </w:r>
      <w:r>
        <w:rPr>
          <w:i/>
        </w:rPr>
        <w:t>Y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i.i.d</w:t>
      </w:r>
      <w:proofErr w:type="spellEnd"/>
      <w:r>
        <w:t xml:space="preserve">.) with </w:t>
      </w:r>
      <w:r>
        <w:rPr>
          <w:i/>
        </w:rPr>
        <w:t>Y</w:t>
      </w:r>
      <w:r>
        <w:t>.</w:t>
      </w:r>
      <w:r w:rsidR="00FD422B">
        <w:t xml:space="preserve"> Moreover, all pairs (</w:t>
      </w:r>
      <w:r w:rsidR="00FD422B" w:rsidRPr="00FD422B">
        <w:rPr>
          <w:i/>
        </w:rPr>
        <w:t>X</w:t>
      </w:r>
      <w:r w:rsidR="00FD422B" w:rsidRPr="00FD422B">
        <w:rPr>
          <w:i/>
          <w:vertAlign w:val="subscript"/>
        </w:rPr>
        <w:t>i</w:t>
      </w:r>
      <w:r w:rsidR="00FD422B">
        <w:t xml:space="preserve">, </w:t>
      </w:r>
      <w:r w:rsidR="00FD422B" w:rsidRPr="00FD422B">
        <w:rPr>
          <w:i/>
        </w:rPr>
        <w:t>Y</w:t>
      </w:r>
      <w:r w:rsidR="00FD422B" w:rsidRPr="00FD422B">
        <w:rPr>
          <w:i/>
          <w:vertAlign w:val="subscript"/>
        </w:rPr>
        <w:t>i</w:t>
      </w:r>
      <w:r w:rsidR="00FD422B">
        <w:t>) are mutually independent.</w:t>
      </w:r>
    </w:p>
    <w:p w:rsidR="00E61CF0" w:rsidRDefault="00E61CF0" w:rsidP="0067588F"/>
    <w:p w:rsidR="001514F5" w:rsidRDefault="001514F5" w:rsidP="0067588F">
      <w:pPr>
        <w:rPr>
          <w:szCs w:val="24"/>
        </w:rPr>
      </w:pPr>
      <w:r>
        <w:rPr>
          <w:szCs w:val="24"/>
        </w:rPr>
        <w:t xml:space="preserve">Now EM algorithm is applied into mixture model for estimating the parameter 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. In E-step, it is necessary to calculate </w:t>
      </w:r>
      <w:r w:rsidRPr="001514F5">
        <w:rPr>
          <w:i/>
          <w:szCs w:val="24"/>
        </w:rPr>
        <w:t>Q</w:t>
      </w:r>
      <w:r>
        <w:rPr>
          <w:szCs w:val="24"/>
        </w:rPr>
        <w:t>(</w:t>
      </w:r>
      <w:r>
        <w:rPr>
          <w:rFonts w:cs="Times New Roman"/>
          <w:szCs w:val="24"/>
        </w:rPr>
        <w:t>Ψ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 w:rsidRPr="001514F5">
        <w:rPr>
          <w:szCs w:val="24"/>
          <w:vertAlign w:val="superscript"/>
        </w:rPr>
        <w:t>(</w:t>
      </w:r>
      <w:r w:rsidRPr="001514F5">
        <w:rPr>
          <w:i/>
          <w:szCs w:val="24"/>
          <w:vertAlign w:val="superscript"/>
        </w:rPr>
        <w:t>t</w:t>
      </w:r>
      <w:r w:rsidRPr="001514F5">
        <w:rPr>
          <w:szCs w:val="24"/>
          <w:vertAlign w:val="superscript"/>
        </w:rPr>
        <w:t>)</w:t>
      </w:r>
      <w:r>
        <w:rPr>
          <w:szCs w:val="24"/>
        </w:rPr>
        <w:t>)</w:t>
      </w:r>
      <w:r w:rsidR="00D61691">
        <w:rPr>
          <w:szCs w:val="24"/>
        </w:rPr>
        <w:t xml:space="preserve"> according to equation 2.</w:t>
      </w:r>
      <w:r w:rsidR="00595DA4">
        <w:rPr>
          <w:szCs w:val="24"/>
        </w:rPr>
        <w:t>9</w:t>
      </w:r>
      <w:r w:rsidR="00D61691">
        <w:rPr>
          <w:szCs w:val="24"/>
        </w:rPr>
        <w:t xml:space="preserve"> when there is no explicit mapping </w:t>
      </w:r>
      <w:r w:rsidR="00595DA4">
        <w:rPr>
          <w:szCs w:val="24"/>
        </w:rPr>
        <w:t>from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X</w:t>
      </w:r>
      <w:r w:rsidR="00D61691">
        <w:rPr>
          <w:szCs w:val="24"/>
        </w:rPr>
        <w:t xml:space="preserve"> </w:t>
      </w:r>
      <w:r w:rsidR="00595DA4">
        <w:rPr>
          <w:szCs w:val="24"/>
        </w:rPr>
        <w:t>to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Y</w:t>
      </w:r>
      <w:r w:rsidR="00D61691">
        <w:rPr>
          <w:szCs w:val="24"/>
        </w:rPr>
        <w:t xml:space="preserve"> but there exists the joint </w:t>
      </w:r>
      <w:r w:rsidR="00595DA4">
        <w:rPr>
          <w:szCs w:val="24"/>
        </w:rPr>
        <w:t>probability</w:t>
      </w:r>
      <w:r w:rsidR="00D61691">
        <w:rPr>
          <w:szCs w:val="24"/>
        </w:rPr>
        <w:t xml:space="preserve"> </w:t>
      </w:r>
      <w:proofErr w:type="gramStart"/>
      <w:r w:rsidR="00595DA4" w:rsidRPr="00595DA4">
        <w:rPr>
          <w:i/>
          <w:szCs w:val="24"/>
        </w:rPr>
        <w:t>P</w:t>
      </w:r>
      <w:r w:rsidR="00D61691">
        <w:rPr>
          <w:szCs w:val="24"/>
        </w:rPr>
        <w:t>(</w:t>
      </w:r>
      <w:proofErr w:type="gramEnd"/>
      <w:r w:rsidR="00595DA4" w:rsidRPr="00595DA4">
        <w:rPr>
          <w:i/>
          <w:szCs w:val="24"/>
        </w:rPr>
        <w:t>X</w:t>
      </w:r>
      <w:r w:rsidR="00595DA4">
        <w:rPr>
          <w:szCs w:val="24"/>
        </w:rPr>
        <w:t xml:space="preserve">, </w:t>
      </w:r>
      <w:r w:rsidR="00595DA4" w:rsidRPr="00595DA4">
        <w:rPr>
          <w:i/>
          <w:szCs w:val="24"/>
        </w:rPr>
        <w:t>Y</w:t>
      </w:r>
      <w:r w:rsidR="00595DA4">
        <w:rPr>
          <w:szCs w:val="24"/>
        </w:rPr>
        <w:t>|</w:t>
      </w:r>
      <w:r w:rsidR="00595DA4">
        <w:rPr>
          <w:rFonts w:cs="Times New Roman"/>
          <w:szCs w:val="24"/>
        </w:rPr>
        <w:t>Ψ</w:t>
      </w:r>
      <w:r w:rsidR="00D61691">
        <w:rPr>
          <w:szCs w:val="24"/>
        </w:rPr>
        <w:t>)</w:t>
      </w:r>
      <w:r>
        <w:rPr>
          <w:szCs w:val="24"/>
        </w:rPr>
        <w:t>.</w:t>
      </w:r>
    </w:p>
    <w:p w:rsidR="001514F5" w:rsidRDefault="001514F5" w:rsidP="0067588F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C518FC">
        <w:t>6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</w:t>
      </w:r>
      <w:r w:rsidR="00C25579">
        <w:lastRenderedPageBreak/>
        <w:t xml:space="preserve">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C93CD1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C93CD1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C93CD1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</w:t>
      </w:r>
      <w:r w:rsidR="00A80EEC">
        <w:lastRenderedPageBreak/>
        <w:t xml:space="preserve">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CD1" w:rsidRDefault="00C93CD1" w:rsidP="00AB2049">
      <w:r>
        <w:separator/>
      </w:r>
    </w:p>
  </w:endnote>
  <w:endnote w:type="continuationSeparator" w:id="0">
    <w:p w:rsidR="00C93CD1" w:rsidRDefault="00C93CD1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CD1" w:rsidRDefault="00C93CD1" w:rsidP="00AB2049">
      <w:r>
        <w:separator/>
      </w:r>
    </w:p>
  </w:footnote>
  <w:footnote w:type="continuationSeparator" w:id="0">
    <w:p w:rsidR="00C93CD1" w:rsidRDefault="00C93CD1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81A56"/>
    <w:rsid w:val="00084407"/>
    <w:rsid w:val="00087EF9"/>
    <w:rsid w:val="00087F65"/>
    <w:rsid w:val="00092D16"/>
    <w:rsid w:val="000977A0"/>
    <w:rsid w:val="000979B4"/>
    <w:rsid w:val="00097D69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5492"/>
    <w:rsid w:val="00125F66"/>
    <w:rsid w:val="00126109"/>
    <w:rsid w:val="00126A11"/>
    <w:rsid w:val="00126EBD"/>
    <w:rsid w:val="001272DC"/>
    <w:rsid w:val="001273E3"/>
    <w:rsid w:val="001274F0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3883"/>
    <w:rsid w:val="002045B7"/>
    <w:rsid w:val="0020553B"/>
    <w:rsid w:val="002103CB"/>
    <w:rsid w:val="00211103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38E"/>
    <w:rsid w:val="00293A8C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106F4"/>
    <w:rsid w:val="00311D3A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A0B1B"/>
    <w:rsid w:val="005A0FD3"/>
    <w:rsid w:val="005A103D"/>
    <w:rsid w:val="005A2190"/>
    <w:rsid w:val="005A2585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88F"/>
    <w:rsid w:val="006764DF"/>
    <w:rsid w:val="00682904"/>
    <w:rsid w:val="00683EAA"/>
    <w:rsid w:val="00684AA0"/>
    <w:rsid w:val="00685EF5"/>
    <w:rsid w:val="00687178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BA9"/>
    <w:rsid w:val="006F6414"/>
    <w:rsid w:val="006F6651"/>
    <w:rsid w:val="006F7616"/>
    <w:rsid w:val="006F7873"/>
    <w:rsid w:val="006F79A4"/>
    <w:rsid w:val="0070021D"/>
    <w:rsid w:val="00700972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523E"/>
    <w:rsid w:val="008C5AB1"/>
    <w:rsid w:val="008D038E"/>
    <w:rsid w:val="008D10E2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31780"/>
    <w:rsid w:val="0093238E"/>
    <w:rsid w:val="009348BE"/>
    <w:rsid w:val="0093556B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AA6"/>
    <w:rsid w:val="009C1547"/>
    <w:rsid w:val="009C1B29"/>
    <w:rsid w:val="009C2066"/>
    <w:rsid w:val="009C6225"/>
    <w:rsid w:val="009D306E"/>
    <w:rsid w:val="009D4922"/>
    <w:rsid w:val="009D521C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312F"/>
    <w:rsid w:val="00A34CD1"/>
    <w:rsid w:val="00A34F88"/>
    <w:rsid w:val="00A35A7D"/>
    <w:rsid w:val="00A36394"/>
    <w:rsid w:val="00A3653A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F71"/>
    <w:rsid w:val="00AC54DC"/>
    <w:rsid w:val="00AC5E12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579"/>
    <w:rsid w:val="00C91894"/>
    <w:rsid w:val="00C9399A"/>
    <w:rsid w:val="00C93CD1"/>
    <w:rsid w:val="00C96516"/>
    <w:rsid w:val="00CA0F86"/>
    <w:rsid w:val="00CA4A38"/>
    <w:rsid w:val="00CA4B48"/>
    <w:rsid w:val="00CB17F1"/>
    <w:rsid w:val="00CB255D"/>
    <w:rsid w:val="00CB2C5E"/>
    <w:rsid w:val="00CB40A9"/>
    <w:rsid w:val="00CB5A6B"/>
    <w:rsid w:val="00CB7F0A"/>
    <w:rsid w:val="00CC05B4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3C0"/>
    <w:rsid w:val="00DD752F"/>
    <w:rsid w:val="00DD77F6"/>
    <w:rsid w:val="00DE003C"/>
    <w:rsid w:val="00DE17A8"/>
    <w:rsid w:val="00DE248E"/>
    <w:rsid w:val="00DE3248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550"/>
    <w:rsid w:val="00E2349E"/>
    <w:rsid w:val="00E2440F"/>
    <w:rsid w:val="00E25B91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62D1"/>
    <w:rsid w:val="00E71093"/>
    <w:rsid w:val="00E71EF2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64C6"/>
    <w:rsid w:val="00EE731F"/>
    <w:rsid w:val="00EF08EF"/>
    <w:rsid w:val="00EF1277"/>
    <w:rsid w:val="00EF1F8F"/>
    <w:rsid w:val="00EF2386"/>
    <w:rsid w:val="00EF3306"/>
    <w:rsid w:val="00EF33EA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3E9D"/>
    <w:rsid w:val="00F749C1"/>
    <w:rsid w:val="00F7551D"/>
    <w:rsid w:val="00F7572A"/>
    <w:rsid w:val="00F76478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582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0848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11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21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25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27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26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28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29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22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30</b:RefOrder>
  </b:Source>
</b:Sources>
</file>

<file path=customXml/itemProps1.xml><?xml version="1.0" encoding="utf-8"?>
<ds:datastoreItem xmlns:ds="http://schemas.openxmlformats.org/officeDocument/2006/customXml" ds:itemID="{37C8A214-D776-4261-815B-4B0DEE17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10212</TotalTime>
  <Pages>40</Pages>
  <Words>15554</Words>
  <Characters>88663</Characters>
  <Application>Microsoft Office Word</Application>
  <DocSecurity>0</DocSecurity>
  <Lines>738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1573</cp:revision>
  <dcterms:created xsi:type="dcterms:W3CDTF">2015-11-27T02:53:00Z</dcterms:created>
  <dcterms:modified xsi:type="dcterms:W3CDTF">2018-09-07T08:20:00Z</dcterms:modified>
</cp:coreProperties>
</file>