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D97A6F">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D97A6F"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D97A6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D97A6F">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D97A6F">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D97A6F"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D97A6F"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D97A6F"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D97A6F"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D97A6F"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D97A6F"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D97A6F"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D97A6F"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D97A6F"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D97A6F"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D97A6F"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D97A6F"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D97A6F"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D97A6F"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D97A6F"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D97A6F"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D97A6F"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D97A6F"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D97A6F"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D97A6F"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D97A6F"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72AB0CC7"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D97A6F"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D97A6F"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D97A6F"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D97A6F"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D97A6F"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D97A6F"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D97A6F"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D97A6F"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D97A6F"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D97A6F"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D97A6F"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D97A6F"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D97A6F"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D97A6F"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D97A6F"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D97A6F"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D97A6F"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D97A6F"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D97A6F"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D97A6F"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D97A6F"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D97A6F"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D97A6F"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D97A6F"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D97A6F"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D97A6F"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D97A6F"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D97A6F"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D97A6F"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D97A6F"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D97A6F"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D97A6F"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5EB93E01"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D97A6F"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D97A6F"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D97A6F"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D97A6F"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D97A6F"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D97A6F"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D97A6F"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D97A6F"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D97A6F"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D97A6F"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D97A6F"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D97A6F"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D97A6F"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D97A6F"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D97A6F"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D97A6F"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D97A6F"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D97A6F"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D97A6F"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D97A6F"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D97A6F"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D97A6F"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532BA99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00757E7F">
        <w:rPr>
          <w:rFonts w:cs="Times New Roman"/>
          <w:i/>
          <w:iCs/>
          <w:szCs w:val="26"/>
        </w:rPr>
        <w:t>K</w:t>
      </w:r>
      <w:r w:rsidRPr="008C0EB0">
        <w:rPr>
          <w:rFonts w:cs="Times New Roman"/>
          <w:i/>
          <w:iCs/>
          <w:szCs w:val="26"/>
        </w:rPr>
        <w:t>N</w:t>
      </w:r>
      <w:r>
        <w:rPr>
          <w:rFonts w:cs="Times New Roman"/>
          <w:szCs w:val="26"/>
        </w:rPr>
        <w:t xml:space="preserve"> into equation</w:t>
      </w:r>
    </w:p>
    <w:p w14:paraId="287FC037" w14:textId="08A2728C" w:rsidR="008C0EB0" w:rsidRPr="008C0EB0" w:rsidRDefault="00D97A6F"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D97A6F"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D97A6F"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D97A6F"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D97A6F"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45E31868" w:rsidR="00A27C2D" w:rsidRDefault="009C3183" w:rsidP="009C3183">
      <w:pPr>
        <w:rPr>
          <w:rFonts w:ascii="TimesNewRomanPSMT" w:hAnsi="TimesNewRomanPSMT" w:hint="eastAsia"/>
          <w:szCs w:val="24"/>
        </w:rPr>
      </w:pPr>
      <w:r>
        <w:t>For MLE method, t</w:t>
      </w:r>
      <w:r w:rsidR="002241C1">
        <w:t>he i</w:t>
      </w:r>
      <w:r w:rsidR="00A27C2D">
        <w:t xml:space="preserve">nverse of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D97A6F"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D97A6F"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31215F8A"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w:t>
      </w:r>
      <w:r w:rsidR="00605721">
        <w:rPr>
          <w:rStyle w:val="fontstyle01"/>
          <w:rFonts w:ascii="Times New Roman" w:hAnsi="Times New Roman"/>
        </w:rPr>
        <w:t xml:space="preserve">is </w:t>
      </w:r>
      <w:r w:rsidR="00B33EDB">
        <w:rPr>
          <w:rStyle w:val="fontstyle01"/>
          <w:rFonts w:ascii="Times New Roman" w:hAnsi="Times New Roman"/>
        </w:rPr>
        <w:t>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D97A6F"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D97A6F"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D97A6F"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D97A6F"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D97A6F"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D97A6F"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D97A6F"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D97A6F"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D97A6F"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D97A6F"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D97A6F"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D97A6F"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D97A6F"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D97A6F"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D97A6F"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D97A6F"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D97A6F"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D97A6F"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D97A6F"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D97A6F"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D97A6F"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D97A6F"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D97A6F"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D97A6F"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D97A6F"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D97A6F"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D97A6F"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D97A6F"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D97A6F"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D97A6F"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2A2C6652"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w:t>
      </w:r>
      <w:r w:rsidR="00182828">
        <w:t>as follows</w:t>
      </w:r>
      <w:r>
        <w:t>:</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D97A6F"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D97A6F"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D97A6F"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D97A6F"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D97A6F"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D97A6F"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D97A6F"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D97A6F"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D97A6F"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D97A6F"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D97A6F"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D97A6F"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D97A6F"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D97A6F"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D97A6F"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D97A6F"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D97A6F"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D97A6F"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D97A6F"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D97A6F"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D97A6F"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D97A6F"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D97A6F"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D97A6F"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D97A6F"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D97A6F"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D97A6F"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D97A6F"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D97A6F"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D97A6F"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D97A6F"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D97A6F"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D97A6F"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D97A6F"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D97A6F"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D97A6F"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D97A6F">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D97A6F"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D97A6F">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D97A6F"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D97A6F"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D97A6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D97A6F"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69946100"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w:t>
      </w:r>
      <w:r w:rsidR="00437B21">
        <w:t>n</w:t>
      </w:r>
      <w:r w:rsidR="00DD6289">
        <w:t xml:space="preserve">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55A0041A"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460857">
              <w:rPr>
                <w:szCs w:val="26"/>
              </w:rPr>
              <w:t>is</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D97A6F"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D97A6F"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D97A6F"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D97A6F"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D97A6F"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D97A6F"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D97A6F"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D97A6F"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D97A6F"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D97A6F"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D97A6F"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D97A6F"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D97A6F"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D97A6F"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D97A6F"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D97A6F"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D97A6F"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D97A6F"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D97A6F"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D97A6F"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D97A6F"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D97A6F"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D97A6F"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D97A6F"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D97A6F"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D97A6F"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D97A6F"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D97A6F"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D97A6F"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D97A6F"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D97A6F"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D97A6F"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D97A6F"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D97A6F"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D97A6F"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D97A6F"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D97A6F"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D97A6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D97A6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D97A6F"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D97A6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D97A6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D97A6F"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D97A6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D97A6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D97A6F"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D97A6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D97A6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D97A6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D97A6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D97A6F"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D97A6F"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8"/>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8"/>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8"/>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D97A6F"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D97A6F"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D97A6F"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D97A6F"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D97A6F"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D97A6F"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D97A6F"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D97A6F"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D97A6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D97A6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D97A6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D97A6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D97A6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D97A6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D97A6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D97A6F"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D97A6F"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D97A6F"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D97A6F"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D97A6F"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D97A6F"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D97A6F"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D97A6F"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D97A6F"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D97A6F"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D97A6F"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D97A6F"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D97A6F"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D97A6F"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D97A6F"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D97A6F"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D97A6F"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D97A6F"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D97A6F"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D97A6F"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D97A6F"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D97A6F"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D97A6F"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D97A6F"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D97A6F"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D97A6F"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D97A6F"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D97A6F"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D97A6F"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D97A6F"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D97A6F"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D97A6F"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D97A6F"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D97A6F"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D97A6F"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D97A6F"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D97A6F"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D97A6F"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D97A6F"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D97A6F"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D97A6F"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D97A6F"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D97A6F"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9"/>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9"/>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9"/>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0"/>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0"/>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D97A6F"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D97A6F"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D97A6F"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D97A6F"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D97A6F"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D97A6F"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D97A6F"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D97A6F"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D97A6F"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D97A6F"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D97A6F"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D97A6F"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D97A6F"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D97A6F"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D97A6F"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D97A6F"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D97A6F"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D97A6F"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D97A6F"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D97A6F"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D97A6F"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D97A6F"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D97A6F"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D97A6F"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D97A6F"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D97A6F"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D97A6F"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D97A6F"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D97A6F"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D97A6F"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D97A6F"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D97A6F"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D97A6F"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D97A6F"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D97A6F"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D97A6F"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D97A6F"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D97A6F"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D97A6F"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D97A6F"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D97A6F"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D97A6F"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D97A6F"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D97A6F"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D97A6F"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D97A6F"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D97A6F"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D97A6F"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D97A6F"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D97A6F"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D97A6F"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D97A6F"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D97A6F"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D97A6F"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D97A6F"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D97A6F"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D97A6F"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D97A6F"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D97A6F"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D97A6F"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D97A6F"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D97A6F"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D97A6F"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D97A6F"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D97A6F"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D97A6F"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D97A6F"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D97A6F"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D97A6F"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D97A6F"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D97A6F"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D97A6F"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D97A6F"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D97A6F"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D97A6F" w:rsidP="0067588F">
      <m:oMathPara>
        <m:oMath>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lastRenderedPageBreak/>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D97A6F"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D97A6F"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D97A6F"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D97A6F"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D97A6F"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D97A6F"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D97A6F"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D97A6F"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D97A6F"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D97A6F"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D97A6F"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D97A6F"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D97A6F"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D97A6F"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D97A6F"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D97A6F"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D97A6F"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D97A6F"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D97A6F"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D97A6F"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D97A6F"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D97A6F"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lastRenderedPageBreak/>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D97A6F"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D97A6F"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D97A6F"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D97A6F"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lastRenderedPageBreak/>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D97A6F"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D97A6F"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lastRenderedPageBreak/>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D97A6F"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D97A6F"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D97A6F"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D97A6F"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D97A6F"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D97A6F"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D97A6F"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w:t>
      </w:r>
      <w:r>
        <w:lastRenderedPageBreak/>
        <w:t xml:space="preserve">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D97A6F"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D97A6F"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D97A6F"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D97A6F"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lastRenderedPageBreak/>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D97A6F"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D97A6F"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D97A6F"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D97A6F"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D97A6F"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D97A6F"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lastRenderedPageBreak/>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D97A6F"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D97A6F"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D97A6F"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D97A6F"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D97A6F"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lastRenderedPageBreak/>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D97A6F"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D97A6F"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D97A6F"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D97A6F"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D97A6F"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D97A6F"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D97A6F"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D97A6F"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D97A6F"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lastRenderedPageBreak/>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D97A6F"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D97A6F"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D97A6F"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D97A6F"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D97A6F"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D97A6F"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D97A6F"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D97A6F"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D97A6F"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D97A6F"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D97A6F"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D97A6F"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D97A6F"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D97A6F"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D97A6F"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D97A6F"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D97A6F"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D97A6F"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D97A6F"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D97A6F"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D97A6F"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D97A6F"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D97A6F"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D97A6F"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D97A6F"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D97A6F"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D97A6F"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D97A6F"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D97A6F"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D97A6F"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D97A6F"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D97A6F"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D97A6F"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D97A6F"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D97A6F"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D97A6F"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D97A6F"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D97A6F"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D97A6F"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D97A6F"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D97A6F"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D97A6F"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D97A6F"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D97A6F"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D97A6F"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D97A6F"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D97A6F"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D97A6F"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D97A6F"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D97A6F"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D97A6F"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D97A6F"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D97A6F"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D97A6F"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D97A6F"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D97A6F"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D97A6F"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D97A6F"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D97A6F"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D97A6F"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D97A6F"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D97A6F"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D97A6F"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D97A6F"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D97A6F"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D97A6F"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D97A6F"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D97A6F"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D97A6F"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D97A6F"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D97A6F"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D97A6F"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D97A6F"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D97A6F"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D97A6F"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D97A6F"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D97A6F"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D97A6F"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D97A6F"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D97A6F"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D97A6F"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D97A6F"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D97A6F"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D97A6F"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D97A6F"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D97A6F"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D97A6F"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D97A6F"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D97A6F"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D97A6F"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D97A6F"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D97A6F"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D97A6F"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D97A6F"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D97A6F"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D97A6F"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D97A6F"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D97A6F"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D97A6F"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D97A6F"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D97A6F"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D97A6F"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D97A6F"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D97A6F"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D97A6F"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D97A6F"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D97A6F"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D97A6F"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D97A6F"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D97A6F"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D97A6F"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D97A6F"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D97A6F"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D97A6F"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D97A6F"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D97A6F"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D97A6F"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D97A6F"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D97A6F"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D97A6F"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D97A6F"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D97A6F"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D97A6F"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D97A6F"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D97A6F"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D97A6F"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D97A6F"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D97A6F"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D97A6F"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D97A6F"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D97A6F"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D97A6F"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D97A6F"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D97A6F"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D97A6F"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D97A6F"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D97A6F"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D97A6F"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D97A6F"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D97A6F"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D97A6F"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D97A6F"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D97A6F"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D97A6F"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D97A6F"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D97A6F"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D97A6F"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D97A6F"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D97A6F"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D97A6F"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D97A6F"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D97A6F"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7D24A41"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14AD1C55" w:rsidR="00EA0A6D" w:rsidRDefault="00EA0A6D"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End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End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870994">
      <w:pPr>
        <w:numPr>
          <w:ilvl w:val="0"/>
          <w:numId w:val="1"/>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870994">
      <w:pPr>
        <w:numPr>
          <w:ilvl w:val="0"/>
          <w:numId w:val="1"/>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870994">
      <w:pPr>
        <w:numPr>
          <w:ilvl w:val="0"/>
          <w:numId w:val="1"/>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870994">
      <w:pPr>
        <w:numPr>
          <w:ilvl w:val="0"/>
          <w:numId w:val="1"/>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870994">
      <w:pPr>
        <w:numPr>
          <w:ilvl w:val="0"/>
          <w:numId w:val="1"/>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9"/>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End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870994">
      <w:pPr>
        <w:pStyle w:val="ListParagraph"/>
        <w:numPr>
          <w:ilvl w:val="0"/>
          <w:numId w:val="2"/>
        </w:numPr>
        <w:contextualSpacing w:val="0"/>
      </w:pPr>
      <w:r w:rsidRPr="00CD1DE7">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End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D97A6F"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D97A6F"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D97A6F"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D97A6F"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D97A6F"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End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0"/>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D97A6F"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End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9502A1">
            <w:pPr>
              <w:pStyle w:val="ListParagraph"/>
              <w:numPr>
                <w:ilvl w:val="0"/>
                <w:numId w:val="6"/>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9502A1">
            <w:pPr>
              <w:pStyle w:val="ListParagraph"/>
              <w:numPr>
                <w:ilvl w:val="0"/>
                <w:numId w:val="6"/>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D97A6F"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9502A1">
            <w:pPr>
              <w:pStyle w:val="ListParagraph"/>
              <w:numPr>
                <w:ilvl w:val="0"/>
                <w:numId w:val="6"/>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D97A6F"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D97A6F"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D97A6F"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D97A6F"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End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1"/>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D97A6F"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D97A6F"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End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9502A1">
            <w:pPr>
              <w:pStyle w:val="ListParagraph"/>
              <w:numPr>
                <w:ilvl w:val="0"/>
                <w:numId w:val="7"/>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9502A1">
            <w:pPr>
              <w:pStyle w:val="ListParagraph"/>
              <w:numPr>
                <w:ilvl w:val="0"/>
                <w:numId w:val="7"/>
              </w:numPr>
              <w:contextualSpacing w:val="0"/>
            </w:pPr>
            <w:r w:rsidRPr="00CD1DE7">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D97A6F"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9502A1">
            <w:pPr>
              <w:pStyle w:val="ListParagraph"/>
              <w:numPr>
                <w:ilvl w:val="0"/>
                <w:numId w:val="7"/>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D97A6F"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D97A6F"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D97A6F"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D97A6F"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End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D97A6F"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End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End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End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D97A6F"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D97A6F"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D97A6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D97A6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D97A6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D97A6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D97A6F"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D97A6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D97A6F"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D97A6F"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D97A6F"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D97A6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D97A6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D97A6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D97A6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D97A6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D97A6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D97A6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D97A6F"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D97A6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D97A6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D97A6F"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D97A6F"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D97A6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D97A6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D97A6F"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End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D97A6F"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D97A6F"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D97A6F"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D97A6F"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D97A6F"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End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2"/>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D97A6F"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D97A6F"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D97A6F"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D97A6F"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D97A6F"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D97A6F"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D97A6F"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D97A6F"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D97A6F"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End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1"/>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D97A6F"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1"/>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D97A6F"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1"/>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1"/>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D97A6F"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t>References</w:t>
      </w:r>
      <w:bookmarkEnd w:id="107"/>
    </w:p>
    <w:p w14:paraId="7ABAD2D4" w14:textId="77777777" w:rsidR="00870994" w:rsidRDefault="00C77546" w:rsidP="00870994">
      <w:pPr>
        <w:pStyle w:val="Bibliography"/>
        <w:ind w:left="720" w:hanging="720"/>
        <w:rPr>
          <w:noProof/>
          <w:szCs w:val="24"/>
        </w:rPr>
      </w:pPr>
      <w:r>
        <w:fldChar w:fldCharType="begin"/>
      </w:r>
      <w:r>
        <w:instrText xml:space="preserve"> BIBLIOGRAPHY  \l 1033 </w:instrText>
      </w:r>
      <w:r>
        <w:fldChar w:fldCharType="separate"/>
      </w:r>
      <w:r w:rsidR="00870994">
        <w:rPr>
          <w:noProof/>
        </w:rPr>
        <w:t xml:space="preserve">Ari, C., &amp; Aksoy, S. (2010). Maximum Likelihood Estimation of Gaussian Mixture Models Using Particle Swarm Optimization. </w:t>
      </w:r>
      <w:r w:rsidR="00870994">
        <w:rPr>
          <w:i/>
          <w:iCs/>
          <w:noProof/>
        </w:rPr>
        <w:t>The 20th International Conference on Pattern Recognition (ICPR 2010)</w:t>
      </w:r>
      <w:r w:rsidR="00870994">
        <w:rPr>
          <w:noProof/>
        </w:rPr>
        <w:t xml:space="preserve"> (pp. 746-749). Istanbul: IEEE. Retrieved February 21, 2018, from www.cs.bilkent.edu.tr/~saksoy/papers/icpr10_clustering.pdf</w:t>
      </w:r>
    </w:p>
    <w:p w14:paraId="6C370F4A" w14:textId="77777777" w:rsidR="00870994" w:rsidRDefault="00870994" w:rsidP="00870994">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5288E4" w14:textId="77777777" w:rsidR="00870994" w:rsidRDefault="00870994" w:rsidP="00870994">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45A41CF" w14:textId="77777777" w:rsidR="00870994" w:rsidRDefault="00870994" w:rsidP="00870994">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259B77C5" w14:textId="77777777" w:rsidR="00870994" w:rsidRDefault="00870994" w:rsidP="00870994">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84E84AD" w14:textId="77777777" w:rsidR="00870994" w:rsidRDefault="00870994" w:rsidP="00870994">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5744BEF5" w14:textId="77777777" w:rsidR="00870994" w:rsidRDefault="00870994" w:rsidP="00870994">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35E9C3E" w14:textId="77777777" w:rsidR="00870994" w:rsidRDefault="00870994" w:rsidP="00870994">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5F9CA4D4" w14:textId="77777777" w:rsidR="00870994" w:rsidRDefault="00870994" w:rsidP="00870994">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176C3C99" w14:textId="77777777" w:rsidR="00870994" w:rsidRDefault="00870994" w:rsidP="00870994">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2E5D7C6B" w14:textId="77777777" w:rsidR="00870994" w:rsidRDefault="00870994" w:rsidP="00870994">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537AEF9C" w14:textId="77777777" w:rsidR="00870994" w:rsidRDefault="00870994" w:rsidP="00870994">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E470C3D" w14:textId="77777777" w:rsidR="00870994" w:rsidRDefault="00870994" w:rsidP="00870994">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6AD4E75" w14:textId="77777777" w:rsidR="00870994" w:rsidRDefault="00870994" w:rsidP="00870994">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71A7D796" w14:textId="77777777" w:rsidR="00870994" w:rsidRDefault="00870994" w:rsidP="00870994">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F0683B6" w14:textId="77777777" w:rsidR="00870994" w:rsidRDefault="00870994" w:rsidP="00870994">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47F7BE73" w14:textId="77777777" w:rsidR="00870994" w:rsidRDefault="00870994" w:rsidP="00870994">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065219BF" w14:textId="77777777" w:rsidR="00870994" w:rsidRDefault="00870994" w:rsidP="00870994">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16B2714E" w14:textId="77777777" w:rsidR="00870994" w:rsidRDefault="00870994" w:rsidP="00870994">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56B18AA9" w14:textId="77777777" w:rsidR="00870994" w:rsidRDefault="00870994" w:rsidP="00870994">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7421609D" w14:textId="77777777" w:rsidR="00870994" w:rsidRDefault="00870994" w:rsidP="00870994">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3F846477" w14:textId="77777777" w:rsidR="00870994" w:rsidRDefault="00870994" w:rsidP="00870994">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550F05C4" w14:textId="77777777" w:rsidR="00870994" w:rsidRDefault="00870994" w:rsidP="00870994">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3C5D168E" w14:textId="77777777" w:rsidR="00870994" w:rsidRDefault="00870994" w:rsidP="00870994">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5A372412" w14:textId="77777777" w:rsidR="00870994" w:rsidRDefault="00870994" w:rsidP="00870994">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106FA241" w14:textId="77777777" w:rsidR="00870994" w:rsidRDefault="00870994" w:rsidP="0087099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5B057AE" w14:textId="77777777" w:rsidR="00870994" w:rsidRDefault="00870994" w:rsidP="00870994">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79206D4C" w14:textId="77777777" w:rsidR="00870994" w:rsidRDefault="00870994" w:rsidP="00870994">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6C0DFA90" w14:textId="77777777" w:rsidR="00870994" w:rsidRDefault="00870994" w:rsidP="00870994">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6F524D30" w14:textId="77777777" w:rsidR="00870994" w:rsidRDefault="00870994" w:rsidP="00870994">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368136A" w14:textId="77777777" w:rsidR="00870994" w:rsidRDefault="00870994" w:rsidP="00870994">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0ABD8F6B" w14:textId="77777777" w:rsidR="00870994" w:rsidRDefault="00870994" w:rsidP="00870994">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533C168" w14:textId="77777777" w:rsidR="00870994" w:rsidRDefault="00870994" w:rsidP="00870994">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4D8F7BD6" w14:textId="77777777" w:rsidR="00870994" w:rsidRDefault="00870994" w:rsidP="00870994">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148E9E68" w14:textId="77777777" w:rsidR="00870994" w:rsidRDefault="00870994" w:rsidP="00870994">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3E5FB135" w14:textId="77777777" w:rsidR="00870994" w:rsidRDefault="00870994" w:rsidP="00870994">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781E0548" w14:textId="77777777" w:rsidR="00870994" w:rsidRDefault="00870994" w:rsidP="00870994">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2BDA2DA" w14:textId="77777777" w:rsidR="00870994" w:rsidRDefault="00870994" w:rsidP="00870994">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301D5D3D" w14:textId="77777777" w:rsidR="00870994" w:rsidRDefault="00870994" w:rsidP="00870994">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718EB10B" w14:textId="77777777" w:rsidR="00870994" w:rsidRDefault="00870994" w:rsidP="00870994">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0A2AE291" w14:textId="77777777" w:rsidR="00870994" w:rsidRDefault="00870994" w:rsidP="0087099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2A4299FC" w14:textId="77777777" w:rsidR="00870994" w:rsidRDefault="00870994" w:rsidP="00870994">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81A330F" w14:textId="77777777" w:rsidR="00870994" w:rsidRDefault="00870994" w:rsidP="00870994">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0025B07A" w14:textId="77777777" w:rsidR="00870994" w:rsidRDefault="00870994" w:rsidP="00870994">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0EFEC9F" w14:textId="77777777" w:rsidR="00870994" w:rsidRDefault="00870994" w:rsidP="00870994">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4F55615C" w14:textId="77777777" w:rsidR="00870994" w:rsidRDefault="00870994" w:rsidP="00870994">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1984E73B" w14:textId="77777777" w:rsidR="00870994" w:rsidRDefault="00870994" w:rsidP="0087099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AA78FFD" w14:textId="77777777" w:rsidR="00870994" w:rsidRDefault="00870994" w:rsidP="00870994">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294B9050" w14:textId="77777777" w:rsidR="00870994" w:rsidRDefault="00870994" w:rsidP="00870994">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2EC17C4" w14:textId="77777777" w:rsidR="00870994" w:rsidRDefault="00870994" w:rsidP="00870994">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465897B7" w14:textId="77777777" w:rsidR="00870994" w:rsidRDefault="00870994" w:rsidP="00870994">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4FC11555" w14:textId="77777777" w:rsidR="00870994" w:rsidRDefault="00870994" w:rsidP="00870994">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3D5C2D27" w14:textId="77777777" w:rsidR="00870994" w:rsidRDefault="00870994" w:rsidP="00870994">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143D11C1" w14:textId="77777777" w:rsidR="00870994" w:rsidRDefault="00870994" w:rsidP="00870994">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5DED1C3" w14:textId="77777777" w:rsidR="00870994" w:rsidRDefault="00870994" w:rsidP="00870994">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870994">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27CF4E04"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365DCF">
              <w:rPr>
                <w:noProof/>
                <w:webHidden/>
              </w:rPr>
              <w:t>1</w:t>
            </w:r>
            <w:r w:rsidR="00D93C35" w:rsidRPr="00D93C35">
              <w:rPr>
                <w:noProof/>
                <w:webHidden/>
              </w:rPr>
              <w:fldChar w:fldCharType="end"/>
            </w:r>
          </w:hyperlink>
        </w:p>
        <w:p w14:paraId="0577C265" w14:textId="27255E32" w:rsidR="00D93C35" w:rsidRPr="00D93C35" w:rsidRDefault="00D97A6F">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365DCF">
              <w:rPr>
                <w:noProof/>
                <w:webHidden/>
              </w:rPr>
              <w:t>1</w:t>
            </w:r>
            <w:r w:rsidR="00D93C35" w:rsidRPr="00D93C35">
              <w:rPr>
                <w:noProof/>
                <w:webHidden/>
              </w:rPr>
              <w:fldChar w:fldCharType="end"/>
            </w:r>
          </w:hyperlink>
        </w:p>
        <w:p w14:paraId="5E6954E3" w14:textId="239F4DAE" w:rsidR="00D93C35" w:rsidRPr="00D93C35" w:rsidRDefault="00D97A6F">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365DCF">
              <w:rPr>
                <w:noProof/>
                <w:webHidden/>
              </w:rPr>
              <w:t>37</w:t>
            </w:r>
            <w:r w:rsidR="00D93C35" w:rsidRPr="00D93C35">
              <w:rPr>
                <w:noProof/>
                <w:webHidden/>
              </w:rPr>
              <w:fldChar w:fldCharType="end"/>
            </w:r>
          </w:hyperlink>
        </w:p>
        <w:p w14:paraId="09EA6B26" w14:textId="0DE36A30" w:rsidR="00D93C35" w:rsidRPr="00D93C35" w:rsidRDefault="00D97A6F">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365DCF">
              <w:rPr>
                <w:noProof/>
                <w:webHidden/>
              </w:rPr>
              <w:t>53</w:t>
            </w:r>
            <w:r w:rsidR="00D93C35" w:rsidRPr="00D93C35">
              <w:rPr>
                <w:noProof/>
                <w:webHidden/>
              </w:rPr>
              <w:fldChar w:fldCharType="end"/>
            </w:r>
          </w:hyperlink>
        </w:p>
        <w:p w14:paraId="011D4CC0" w14:textId="70E7C41B" w:rsidR="00D93C35" w:rsidRPr="00D93C35" w:rsidRDefault="00D97A6F">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365DCF">
              <w:rPr>
                <w:noProof/>
                <w:webHidden/>
              </w:rPr>
              <w:t>68</w:t>
            </w:r>
            <w:r w:rsidR="00D93C35" w:rsidRPr="00D93C35">
              <w:rPr>
                <w:noProof/>
                <w:webHidden/>
              </w:rPr>
              <w:fldChar w:fldCharType="end"/>
            </w:r>
          </w:hyperlink>
        </w:p>
        <w:p w14:paraId="5C162136" w14:textId="18BE9EAF" w:rsidR="00D93C35" w:rsidRPr="00D93C35" w:rsidRDefault="00D97A6F">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365DCF">
              <w:rPr>
                <w:noProof/>
                <w:webHidden/>
              </w:rPr>
              <w:t>68</w:t>
            </w:r>
            <w:r w:rsidR="00D93C35" w:rsidRPr="00D93C35">
              <w:rPr>
                <w:noProof/>
                <w:webHidden/>
              </w:rPr>
              <w:fldChar w:fldCharType="end"/>
            </w:r>
          </w:hyperlink>
        </w:p>
        <w:p w14:paraId="58050F0D" w14:textId="34DDD416" w:rsidR="00D93C35" w:rsidRPr="00D93C35" w:rsidRDefault="00D97A6F">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365DCF">
              <w:rPr>
                <w:noProof/>
                <w:webHidden/>
              </w:rPr>
              <w:t>70</w:t>
            </w:r>
            <w:r w:rsidR="00D93C35" w:rsidRPr="00D93C35">
              <w:rPr>
                <w:noProof/>
                <w:webHidden/>
              </w:rPr>
              <w:fldChar w:fldCharType="end"/>
            </w:r>
          </w:hyperlink>
        </w:p>
        <w:p w14:paraId="551F4362" w14:textId="7CDF1E0C" w:rsidR="00D93C35" w:rsidRPr="00D93C35" w:rsidRDefault="00D97A6F">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365DCF">
              <w:rPr>
                <w:noProof/>
                <w:webHidden/>
              </w:rPr>
              <w:t>75</w:t>
            </w:r>
            <w:r w:rsidR="00D93C35" w:rsidRPr="00D93C35">
              <w:rPr>
                <w:noProof/>
                <w:webHidden/>
              </w:rPr>
              <w:fldChar w:fldCharType="end"/>
            </w:r>
          </w:hyperlink>
        </w:p>
        <w:p w14:paraId="2B68E264" w14:textId="7A2D4A87" w:rsidR="00D93C35" w:rsidRPr="00D93C35" w:rsidRDefault="00D97A6F">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365DCF">
              <w:rPr>
                <w:noProof/>
                <w:webHidden/>
              </w:rPr>
              <w:t>77</w:t>
            </w:r>
            <w:r w:rsidR="00D93C35" w:rsidRPr="00D93C35">
              <w:rPr>
                <w:noProof/>
                <w:webHidden/>
              </w:rPr>
              <w:fldChar w:fldCharType="end"/>
            </w:r>
          </w:hyperlink>
        </w:p>
        <w:p w14:paraId="71C1DD5C" w14:textId="281406C7" w:rsidR="00D93C35" w:rsidRPr="00D93C35" w:rsidRDefault="00D97A6F">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365DCF">
              <w:rPr>
                <w:noProof/>
                <w:webHidden/>
              </w:rPr>
              <w:t>78</w:t>
            </w:r>
            <w:r w:rsidR="00D93C35" w:rsidRPr="00D93C35">
              <w:rPr>
                <w:noProof/>
                <w:webHidden/>
              </w:rPr>
              <w:fldChar w:fldCharType="end"/>
            </w:r>
          </w:hyperlink>
        </w:p>
        <w:p w14:paraId="3555F3C1" w14:textId="7157BD1D" w:rsidR="00D93C35" w:rsidRPr="00D93C35" w:rsidRDefault="00D97A6F">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365DCF">
              <w:rPr>
                <w:noProof/>
                <w:webHidden/>
              </w:rPr>
              <w:t>78</w:t>
            </w:r>
            <w:r w:rsidR="00D93C35" w:rsidRPr="00D93C35">
              <w:rPr>
                <w:noProof/>
                <w:webHidden/>
              </w:rPr>
              <w:fldChar w:fldCharType="end"/>
            </w:r>
          </w:hyperlink>
        </w:p>
        <w:p w14:paraId="3D750B28" w14:textId="506B8E08" w:rsidR="00D93C35" w:rsidRPr="00D93C35" w:rsidRDefault="00D97A6F">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365DCF">
              <w:rPr>
                <w:noProof/>
                <w:webHidden/>
              </w:rPr>
              <w:t>101</w:t>
            </w:r>
            <w:r w:rsidR="00D93C35" w:rsidRPr="00D93C35">
              <w:rPr>
                <w:noProof/>
                <w:webHidden/>
              </w:rPr>
              <w:fldChar w:fldCharType="end"/>
            </w:r>
          </w:hyperlink>
        </w:p>
        <w:p w14:paraId="4E39C16A" w14:textId="086188A3" w:rsidR="00D93C35" w:rsidRPr="00D93C35" w:rsidRDefault="00D97A6F">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365DCF">
              <w:rPr>
                <w:noProof/>
                <w:webHidden/>
              </w:rPr>
              <w:t>126</w:t>
            </w:r>
            <w:r w:rsidR="00D93C35" w:rsidRPr="00D93C35">
              <w:rPr>
                <w:noProof/>
                <w:webHidden/>
              </w:rPr>
              <w:fldChar w:fldCharType="end"/>
            </w:r>
          </w:hyperlink>
        </w:p>
        <w:p w14:paraId="18BDEF14" w14:textId="780D0BB3" w:rsidR="00D93C35" w:rsidRPr="00D93C35" w:rsidRDefault="00D97A6F">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365DCF">
              <w:rPr>
                <w:noProof/>
                <w:webHidden/>
              </w:rPr>
              <w:t>143</w:t>
            </w:r>
            <w:r w:rsidR="00D93C35" w:rsidRPr="00D93C35">
              <w:rPr>
                <w:noProof/>
                <w:webHidden/>
              </w:rPr>
              <w:fldChar w:fldCharType="end"/>
            </w:r>
          </w:hyperlink>
        </w:p>
        <w:p w14:paraId="49899780" w14:textId="3BB93151" w:rsidR="00D93C35" w:rsidRDefault="00D97A6F">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365DCF">
              <w:rPr>
                <w:noProof/>
                <w:webHidden/>
              </w:rPr>
              <w:t>145</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1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AB2CD" w14:textId="77777777" w:rsidR="00D97A6F" w:rsidRDefault="00D97A6F" w:rsidP="00AB2049">
      <w:r>
        <w:separator/>
      </w:r>
    </w:p>
  </w:endnote>
  <w:endnote w:type="continuationSeparator" w:id="0">
    <w:p w14:paraId="593A0578" w14:textId="77777777" w:rsidR="00D97A6F" w:rsidRDefault="00D97A6F"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8EB44" w14:textId="77777777" w:rsidR="00D97A6F" w:rsidRDefault="00D97A6F" w:rsidP="00AB2049">
      <w:r>
        <w:separator/>
      </w:r>
    </w:p>
  </w:footnote>
  <w:footnote w:type="continuationSeparator" w:id="0">
    <w:p w14:paraId="7D364156" w14:textId="77777777" w:rsidR="00D97A6F" w:rsidRDefault="00D97A6F"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3"/>
  </w:num>
  <w:num w:numId="2" w16cid:durableId="1266570319">
    <w:abstractNumId w:val="16"/>
  </w:num>
  <w:num w:numId="3" w16cid:durableId="153300718">
    <w:abstractNumId w:val="5"/>
  </w:num>
  <w:num w:numId="4" w16cid:durableId="978341962">
    <w:abstractNumId w:val="0"/>
  </w:num>
  <w:num w:numId="5" w16cid:durableId="1690834460">
    <w:abstractNumId w:val="22"/>
  </w:num>
  <w:num w:numId="6" w16cid:durableId="1096098612">
    <w:abstractNumId w:val="1"/>
  </w:num>
  <w:num w:numId="7" w16cid:durableId="2129423031">
    <w:abstractNumId w:val="2"/>
  </w:num>
  <w:num w:numId="8" w16cid:durableId="1008947197">
    <w:abstractNumId w:val="14"/>
  </w:num>
  <w:num w:numId="9" w16cid:durableId="7175073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828"/>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5A61"/>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5DCF"/>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37B21"/>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0857"/>
    <w:rsid w:val="0046110C"/>
    <w:rsid w:val="00461E68"/>
    <w:rsid w:val="004631B7"/>
    <w:rsid w:val="004632F1"/>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17F21"/>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57EDA"/>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5721"/>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0D9"/>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57E7F"/>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CFF"/>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260"/>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6C9"/>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6F"/>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51E"/>
    <w:rsid w:val="00E71EF2"/>
    <w:rsid w:val="00E722A6"/>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66"/>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5187</TotalTime>
  <Pages>109</Pages>
  <Words>54069</Words>
  <Characters>308195</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868</cp:revision>
  <dcterms:created xsi:type="dcterms:W3CDTF">2020-10-04T11:48:00Z</dcterms:created>
  <dcterms:modified xsi:type="dcterms:W3CDTF">2022-05-31T03:35:00Z</dcterms:modified>
</cp:coreProperties>
</file>