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:rsidR="00F1554B" w:rsidRDefault="00F1554B" w:rsidP="00F1554B">
      <w:pPr>
        <w:jc w:val="center"/>
      </w:pPr>
    </w:p>
    <w:p w:rsidR="00F1554B" w:rsidRDefault="00F1554B" w:rsidP="00F1554B">
      <w:pPr>
        <w:jc w:val="center"/>
      </w:pPr>
      <w:r>
        <w:t>Loc Nguyen</w:t>
      </w:r>
    </w:p>
    <w:p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:rsidR="003B6393" w:rsidRDefault="003B6393" w:rsidP="00F1554B">
      <w:pPr>
        <w:jc w:val="center"/>
      </w:pPr>
      <w:r>
        <w:t>Email: ngphloc@sunflowersoft.net</w:t>
      </w:r>
    </w:p>
    <w:p w:rsidR="00F1554B" w:rsidRDefault="00F1554B"/>
    <w:p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</w:p>
    <w:p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>instead of maximizing directly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in order to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Moreover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:rsidR="00E504F5" w:rsidRPr="001871EE" w:rsidRDefault="00E504F5" w:rsidP="001871EE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</w:p>
    <w:p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:rsidR="000D2C81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Before discussing main subjects, there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random variables are denoted as uppercase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BB716F" w:rsidRPr="00BB716F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BB716F">
        <w:rPr>
          <w:rFonts w:cs="Times New Roman"/>
          <w:szCs w:val="24"/>
        </w:rPr>
        <w:t xml:space="preserve">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denotes algebraic structures such as spaces and fields. </w:t>
      </w:r>
      <w:r w:rsidR="000977A0">
        <w:rPr>
          <w:rFonts w:cs="Times New Roman"/>
          <w:szCs w:val="24"/>
        </w:rPr>
        <w:t>By default, vectors are column vectors.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:rsidR="000D2C81" w:rsidRDefault="004B2B1E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13340E" w:rsidRDefault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squared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>
        <w:rPr>
          <w:rFonts w:cs="Times New Roman"/>
        </w:rPr>
        <w:t>. Matrix Λ is diagonal if it is squared and its elements outside the main diagonal are zero:</w:t>
      </w:r>
    </w:p>
    <w:p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w:lastRenderedPageBreak/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peration for vector and matrix, as follows:</w:t>
      </w:r>
    </w:p>
    <w:p w:rsidR="000D2C81" w:rsidRDefault="004B2B1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operation, as follows:</w:t>
      </w:r>
    </w:p>
    <w:p w:rsidR="00044C10" w:rsidRDefault="004B2B1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:rsidR="00CA4B48" w:rsidRDefault="004B2B1E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:rsidR="0013340E" w:rsidRDefault="0013340E" w:rsidP="0013340E">
      <w:r>
        <w:t>The product of two matrices is:</w:t>
      </w:r>
    </w:p>
    <w:p w:rsidR="0013340E" w:rsidRDefault="004B2B1E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:rsidR="00AE5C18" w:rsidRDefault="0013340E" w:rsidP="0013340E">
      <w:pPr>
        <w:rPr>
          <w:rFonts w:cs="Times New Roman"/>
        </w:rPr>
      </w:pPr>
      <w:r>
        <w:rPr>
          <w:rFonts w:cs="Times New Roman"/>
        </w:rPr>
        <w:t xml:space="preserve">Matrix </w:t>
      </w:r>
      <w:r>
        <w:rPr>
          <w:rFonts w:cs="Times New Roman"/>
          <w:i/>
        </w:rPr>
        <w:t>A</w:t>
      </w:r>
      <w:r>
        <w:rPr>
          <w:rFonts w:cs="Times New Roman"/>
        </w:rPr>
        <w:t xml:space="preserve"> is symmetric if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ij</w:t>
      </w:r>
      <w:proofErr w:type="spellEnd"/>
      <w:r>
        <w:rPr>
          <w:rFonts w:cs="Times New Roman"/>
        </w:rPr>
        <w:t xml:space="preserve"> = </w:t>
      </w:r>
      <w:proofErr w:type="spellStart"/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bscript"/>
        </w:rPr>
        <w:t>ji</w:t>
      </w:r>
      <w:proofErr w:type="spellEnd"/>
      <w:r>
        <w:rPr>
          <w:rFonts w:cs="Times New Roman"/>
        </w:rPr>
        <w:t xml:space="preserve"> for all </w:t>
      </w:r>
      <w:proofErr w:type="spellStart"/>
      <w:r w:rsidRPr="0013340E">
        <w:rPr>
          <w:rFonts w:cs="Times New Roman"/>
          <w:i/>
        </w:rPr>
        <w:t>i</w:t>
      </w:r>
      <w:proofErr w:type="spellEnd"/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j</w:t>
      </w:r>
      <w:r>
        <w:rPr>
          <w:rFonts w:cs="Times New Roman"/>
        </w:rPr>
        <w:t xml:space="preserve">. If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symmetric then, </w:t>
      </w:r>
      <w:r w:rsidRPr="0013340E">
        <w:rPr>
          <w:rFonts w:cs="Times New Roman"/>
          <w:i/>
        </w:rPr>
        <w:t>A</w:t>
      </w:r>
      <w:r w:rsidRPr="0013340E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. If both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and </w:t>
      </w:r>
      <w:r w:rsidRPr="0013340E">
        <w:rPr>
          <w:rFonts w:cs="Times New Roman"/>
          <w:i/>
        </w:rPr>
        <w:t>B</w:t>
      </w:r>
      <w:r>
        <w:rPr>
          <w:rFonts w:cs="Times New Roman"/>
        </w:rPr>
        <w:t xml:space="preserve"> are symmetric then, they are commutative such that </w:t>
      </w:r>
      <w:r w:rsidRPr="0013340E">
        <w:rPr>
          <w:rFonts w:cs="Times New Roman"/>
          <w:i/>
        </w:rPr>
        <w:t>AB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BA</w:t>
      </w:r>
      <w:r>
        <w:rPr>
          <w:rFonts w:cs="Times New Roman"/>
        </w:rPr>
        <w:t>.</w:t>
      </w:r>
    </w:p>
    <w:p w:rsidR="0013340E" w:rsidRDefault="00CA4B48" w:rsidP="00AE5C18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example,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:rsidR="00CA4B48" w:rsidRDefault="004B2B1E" w:rsidP="0013340E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:rsidR="0013340E" w:rsidRDefault="00CA4B48" w:rsidP="0013340E"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with regard to </w:t>
      </w:r>
      <w:proofErr w:type="gramStart"/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</w:t>
      </w:r>
      <w:proofErr w:type="gramEnd"/>
      <w:r>
        <w:t xml:space="preserve"> So gradient vector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:rsidR="00CA4B48" w:rsidRPr="00CA4B48" w:rsidRDefault="004B2B1E" w:rsidP="0013340E"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CA4B48" w:rsidRDefault="00CA4B48" w:rsidP="0013340E">
      <w:pPr>
        <w:rPr>
          <w:rFonts w:cs="Times New Roman"/>
        </w:rPr>
      </w:pPr>
      <w:r>
        <w:t xml:space="preserve">Hessian matrix is squared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</w:t>
      </w:r>
      <w:proofErr w:type="gramStart"/>
      <w:r>
        <w:t>2,…</w:t>
      </w:r>
      <w:proofErr w:type="gramEnd"/>
      <w:r>
        <w:t xml:space="preserve">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:rsidR="00246308" w:rsidRDefault="005D1E01" w:rsidP="005D1E01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w:r w:rsidR="00BA4BA5" w:rsidRPr="00BB716F">
        <w:rPr>
          <w:i/>
        </w:rPr>
        <w:t>X</w:t>
      </w:r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</w:t>
      </w:r>
      <w:r w:rsidR="00284A4D">
        <w:rPr>
          <w:szCs w:val="24"/>
        </w:rPr>
        <w:t xml:space="preserve">probability density function </w:t>
      </w:r>
      <w:r w:rsidR="0080362B">
        <w:rPr>
          <w:szCs w:val="24"/>
        </w:rPr>
        <w:t xml:space="preserve">(PDF)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1.1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946874">
            <w:pPr>
              <w:jc w:val="right"/>
            </w:pPr>
            <w:r>
              <w:t>(</w:t>
            </w:r>
            <w:r w:rsidR="00750D65">
              <w:t>1.1</w:t>
            </w:r>
            <w:r>
              <w:t>)</w:t>
            </w:r>
          </w:p>
        </w:tc>
      </w:tr>
    </w:tbl>
    <w:p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>), is specified by equation 1.2.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87EF9">
            <w:pPr>
              <w:jc w:val="right"/>
            </w:pPr>
            <w:r>
              <w:t>(</w:t>
            </w:r>
            <w:r w:rsidR="00750D65">
              <w:t>1.2</w:t>
            </w:r>
            <w:r>
              <w:t>)</w:t>
            </w:r>
          </w:p>
        </w:tc>
      </w:tr>
    </w:tbl>
    <w:p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8B7B90">
        <w:rPr>
          <w:rFonts w:cs="Times New Roman"/>
        </w:rPr>
        <w:t xml:space="preserve">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>(Dempster, Laird, 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>refers to a set of probabilistic distributions whose density functions have the same exponential form according to equation 1.</w:t>
      </w:r>
      <w:r w:rsidR="000F43EA">
        <w:rPr>
          <w:szCs w:val="26"/>
        </w:rPr>
        <w:t>3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0F43EA">
            <w:pPr>
              <w:jc w:val="right"/>
            </w:pPr>
            <w:r>
              <w:t>(</w:t>
            </w:r>
            <w:r w:rsidR="00750D65">
              <w:t>1.3</w:t>
            </w:r>
            <w:r>
              <w:t>)</w:t>
            </w:r>
          </w:p>
        </w:tc>
      </w:tr>
    </w:tbl>
    <w:p w:rsidR="00A729B7" w:rsidRDefault="00C46BD1" w:rsidP="00C46BD1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1.3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C05ACE">
        <w:t xml:space="preserve">Let </w:t>
      </w:r>
      <w:r w:rsidR="00E33E21">
        <w:rPr>
          <w:rFonts w:cs="Times New Roman"/>
        </w:rPr>
        <w:t>Ω</w:t>
      </w:r>
      <w:r w:rsidR="00E33E21">
        <w:t xml:space="preserve"> </w:t>
      </w:r>
      <w:r w:rsidR="00C05ACE">
        <w:t xml:space="preserve">be the </w:t>
      </w:r>
      <w:r w:rsidR="00045DA7">
        <w:t>convex</w:t>
      </w:r>
      <w:r w:rsidR="00C05ACE">
        <w:t xml:space="preserve"> </w:t>
      </w:r>
      <w:r w:rsidR="00045DA7">
        <w:t xml:space="preserve">set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r w:rsidR="00045DA7" w:rsidRPr="00045DA7">
        <w:rPr>
          <w:i/>
        </w:rPr>
        <w:t>f</w:t>
      </w:r>
      <w:r w:rsidR="00045DA7">
        <w:t>(</w:t>
      </w:r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 xml:space="preserve">. </w:t>
      </w:r>
      <w:r w:rsidRPr="00227ECB">
        <w:t xml:space="preserve">The </w:t>
      </w:r>
      <w:r>
        <w:rPr>
          <w:i/>
        </w:rPr>
        <w:t>a</w:t>
      </w:r>
      <w:r w:rsidRPr="00227ECB">
        <w:t>(</w:t>
      </w:r>
      <w:r w:rsidR="00E33E21" w:rsidRPr="00E33E21">
        <w:rPr>
          <w:rFonts w:cs="Times New Roman"/>
        </w:rPr>
        <w:t>Θ</w:t>
      </w:r>
      <w:r w:rsidRPr="00227ECB">
        <w:t xml:space="preserve">) is </w:t>
      </w:r>
      <w:r w:rsidRPr="00782758">
        <w:rPr>
          <w:i/>
        </w:rPr>
        <w:t>partition function</w:t>
      </w:r>
      <w:r>
        <w:t xml:space="preserve"> </w:t>
      </w:r>
      <w:r w:rsidR="00782758">
        <w:t xml:space="preserve">for </w:t>
      </w:r>
      <w:r w:rsidR="00C72E3A">
        <w:t xml:space="preserve">variable </w:t>
      </w:r>
      <w:r w:rsidR="00C72E3A" w:rsidRPr="00C72E3A">
        <w:rPr>
          <w:i/>
        </w:rPr>
        <w:t>X</w:t>
      </w:r>
      <w:r w:rsidR="00E33E21">
        <w:t xml:space="preserve">, </w:t>
      </w:r>
      <w:r>
        <w:t xml:space="preserve">which is used </w:t>
      </w:r>
      <w:r w:rsidR="002103CB">
        <w:t>for</w:t>
      </w:r>
      <w:r>
        <w:t xml:space="preserve"> normaliz</w:t>
      </w:r>
      <w:r w:rsidR="002103CB">
        <w:t>ation</w:t>
      </w:r>
      <w:r w:rsidRPr="00227ECB">
        <w:t>.</w:t>
      </w:r>
    </w:p>
    <w:p w:rsidR="00C46BD1" w:rsidRPr="00F4116C" w:rsidRDefault="00C46BD1" w:rsidP="00C46BD1">
      <m:oMathPara>
        <m:oMath>
          <m:r>
            <w:rPr>
              <w:rFonts w:ascii="Cambria Math" w:hAnsi="Cambria Math"/>
              <w:szCs w:val="26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107892" w:rsidRDefault="00107892" w:rsidP="00311D3A">
      <w:r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:rsidR="001C7C05" w:rsidRDefault="004B2B1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:rsidR="00FB1656" w:rsidRPr="00452BA6" w:rsidRDefault="004B2B1E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2BA6" w:rsidRDefault="00452BA6" w:rsidP="00311D3A">
      <w:r>
        <w:t>Where,</w:t>
      </w:r>
    </w:p>
    <w:p w:rsidR="00452BA6" w:rsidRPr="00452BA6" w:rsidRDefault="004B2B1E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:rsidR="00452BA6" w:rsidRPr="00452BA6" w:rsidRDefault="004B2B1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:rsidR="008E2DE5" w:rsidRDefault="004B2B1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:rsidR="003D2B93" w:rsidRDefault="003D2B93" w:rsidP="00311D3A">
      <w:r>
        <w:t xml:space="preserve">If </w:t>
      </w:r>
      <w:r w:rsidRPr="00045DA7">
        <w:rPr>
          <w:i/>
        </w:rPr>
        <w:t>f</w:t>
      </w:r>
      <w:r>
        <w:t>(</w:t>
      </w:r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5F6B7E" w:rsidRDefault="008D6AF5" w:rsidP="00311D3A">
      <w:r>
        <w:t xml:space="preserve">If </w:t>
      </w:r>
      <w:r w:rsidRPr="00045DA7">
        <w:rPr>
          <w:i/>
        </w:rPr>
        <w:t>f</w:t>
      </w:r>
      <w:r>
        <w:t>(</w:t>
      </w:r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:rsidR="003B3A90" w:rsidRDefault="004B2B1E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:rsidR="006350B1" w:rsidRDefault="004B2B1E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:rsidR="006350B1" w:rsidRDefault="004B2B1E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.1</w:t>
      </w:r>
      <w:r w:rsidR="007661AA">
        <w:t xml:space="preserve"> is summary of </w:t>
      </w:r>
      <w:proofErr w:type="gramStart"/>
      <w:r w:rsidR="007661AA" w:rsidRPr="00045DA7">
        <w:rPr>
          <w:i/>
        </w:rPr>
        <w:t>f</w:t>
      </w:r>
      <w:r w:rsidR="007661AA">
        <w:t>(</w:t>
      </w:r>
      <w:proofErr w:type="gramEnd"/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2"/>
      </w:tblGrid>
      <w:tr w:rsidR="003E2207" w:rsidTr="003E2207">
        <w:trPr>
          <w:jc w:val="center"/>
        </w:trPr>
        <w:tc>
          <w:tcPr>
            <w:tcW w:w="0" w:type="auto"/>
          </w:tcPr>
          <w:p w:rsidR="003E2207" w:rsidRDefault="004B2B1E" w:rsidP="004118E1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Cs w:val="26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mr>
                </m:m>
              </m:oMath>
            </m:oMathPara>
          </w:p>
        </w:tc>
      </w:tr>
    </w:tbl>
    <w:p w:rsidR="007661AA" w:rsidRDefault="003E2207" w:rsidP="00536395">
      <w:pPr>
        <w:jc w:val="center"/>
      </w:pPr>
      <w:r w:rsidRPr="00536395">
        <w:rPr>
          <w:b/>
        </w:rPr>
        <w:t>Table 1.</w:t>
      </w:r>
      <w:r w:rsidR="001A3A1E">
        <w:rPr>
          <w:b/>
        </w:rPr>
        <w:t>1.</w:t>
      </w:r>
      <w:r>
        <w:t xml:space="preserve"> Summary of </w:t>
      </w:r>
      <w:proofErr w:type="gramStart"/>
      <w:r w:rsidR="00536395" w:rsidRPr="00045DA7">
        <w:rPr>
          <w:i/>
        </w:rPr>
        <w:t>f</w:t>
      </w:r>
      <w:r w:rsidR="00536395">
        <w:t>(</w:t>
      </w:r>
      <w:proofErr w:type="gramEnd"/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family.</w:t>
      </w:r>
    </w:p>
    <w:p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of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:rsidR="0080362B" w:rsidRDefault="0080362B" w:rsidP="00672F60"/>
    <w:p w:rsidR="00672F60" w:rsidRDefault="0080362B" w:rsidP="0080362B"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:rsidR="00672F60" w:rsidRDefault="00672F60" w:rsidP="00672F60">
      <w:r>
        <w:lastRenderedPageBreak/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r w:rsidRPr="003B7ECE">
        <w:rPr>
          <w:i/>
        </w:rPr>
        <w:t>g</w:t>
      </w:r>
      <w:r>
        <w:t>(</w:t>
      </w:r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r w:rsidRPr="004B3F07">
        <w:rPr>
          <w:i/>
        </w:rPr>
        <w:t>g</w:t>
      </w:r>
      <w:r>
        <w:t>(</w:t>
      </w:r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r w:rsidR="003F6D4F" w:rsidRPr="003F6D4F">
        <w:rPr>
          <w:rFonts w:cs="Times New Roman"/>
          <w:i/>
        </w:rPr>
        <w:t>φ</w:t>
      </w:r>
      <w:r>
        <w:t>(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1.1. In other words,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r w:rsidR="00B16433" w:rsidRPr="00B16433">
        <w:rPr>
          <w:i/>
        </w:rPr>
        <w:t>g</w:t>
      </w:r>
      <w:r w:rsidR="00B16433">
        <w:t>(</w:t>
      </w:r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:rsidR="00672F60" w:rsidRPr="00C4774A" w:rsidRDefault="004B2B1E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72F60" w:rsidRDefault="00672F60" w:rsidP="00672F60">
      <w:r>
        <w:t xml:space="preserve">Due to </w:t>
      </w:r>
      <w:r w:rsidRPr="00C4774A">
        <w:rPr>
          <w:i/>
        </w:rPr>
        <w:t>y</w:t>
      </w:r>
      <w:r w:rsidRPr="00C4774A">
        <w:rPr>
          <w:vertAlign w:val="subscript"/>
        </w:rPr>
        <w:t>1</w:t>
      </w:r>
      <w:r>
        <w:t xml:space="preserve"> = 125 from observed data and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>
        <w:t>, which implies that:</w:t>
      </w:r>
    </w:p>
    <w:p w:rsidR="00672F60" w:rsidRPr="00C4774A" w:rsidRDefault="004B2B1E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=125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672F60" w:rsidRDefault="00672F60" w:rsidP="00672F60">
      <w:r>
        <w:t>We select:</w:t>
      </w:r>
    </w:p>
    <w:p w:rsidR="00672F60" w:rsidRPr="00C4774A" w:rsidRDefault="004B2B1E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Pr="00C4774A" w:rsidRDefault="004B2B1E" w:rsidP="00672F60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:rsidR="00672F60" w:rsidRDefault="00672F60" w:rsidP="00672F60">
      <w:pPr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of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:rsidR="00B1479C" w:rsidRDefault="004B2B1E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:rsidR="00B16433" w:rsidRPr="00B16433" w:rsidRDefault="004B2B1E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:rsidR="00B16433" w:rsidRPr="00B16433" w:rsidRDefault="004B2B1E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:rsidR="00B16433" w:rsidRDefault="00B16433" w:rsidP="00672F60">
      <w:pPr>
        <w:rPr>
          <w:rFonts w:cs="Times New Roman"/>
        </w:rPr>
      </w:pPr>
      <w:r>
        <w:rPr>
          <w:rFonts w:cs="Times New Roman"/>
        </w:rPr>
        <w:t>So we have:</w:t>
      </w:r>
    </w:p>
    <w:p w:rsidR="00B16433" w:rsidRDefault="004B2B1E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:rsidR="00C20F14" w:rsidRDefault="004B2B1E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:rsidR="00672F60" w:rsidRDefault="004B2B1E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:rsidR="00672F60" w:rsidRDefault="00672F60" w:rsidP="00672F60">
      <w:r>
        <w:t xml:space="preserve">Table 1.2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Later on,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:rsidTr="008301B1">
        <w:trPr>
          <w:jc w:val="center"/>
        </w:trPr>
        <w:tc>
          <w:tcPr>
            <w:tcW w:w="0" w:type="auto"/>
            <w:vAlign w:val="center"/>
          </w:tcPr>
          <w:p w:rsidR="00672F60" w:rsidRPr="001A72CC" w:rsidRDefault="00672F60" w:rsidP="008301B1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:rsidR="00672F60" w:rsidRDefault="00672F60" w:rsidP="008301B1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:rsidR="00672F60" w:rsidRDefault="0091674E" w:rsidP="008301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0.1465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0.1346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0.1330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AF283E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 w:val="restart"/>
            <w:vAlign w:val="center"/>
          </w:tcPr>
          <w:p w:rsidR="00240336" w:rsidRDefault="00240336" w:rsidP="008301B1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  <w:tr w:rsidR="00240336" w:rsidTr="008301B1">
        <w:trPr>
          <w:jc w:val="center"/>
        </w:trPr>
        <w:tc>
          <w:tcPr>
            <w:tcW w:w="0" w:type="auto"/>
            <w:vMerge/>
            <w:vAlign w:val="center"/>
          </w:tcPr>
          <w:p w:rsidR="00240336" w:rsidRDefault="00240336" w:rsidP="008301B1">
            <w:pPr>
              <w:jc w:val="left"/>
            </w:pPr>
          </w:p>
        </w:tc>
        <w:tc>
          <w:tcPr>
            <w:tcW w:w="0" w:type="auto"/>
            <w:vAlign w:val="center"/>
          </w:tcPr>
          <w:p w:rsidR="00240336" w:rsidRDefault="00240336" w:rsidP="00240336">
            <w:pPr>
              <w:jc w:val="left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240336" w:rsidRDefault="00240336" w:rsidP="008301B1">
            <w:pPr>
              <w:jc w:val="left"/>
            </w:pPr>
            <w:r>
              <w:t>0.1328</w:t>
            </w:r>
          </w:p>
        </w:tc>
      </w:tr>
    </w:tbl>
    <w:p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>
        <w:rPr>
          <w:b/>
        </w:rPr>
        <w:t>2</w:t>
      </w:r>
      <w:r w:rsidRPr="0016462D">
        <w:rPr>
          <w:b/>
        </w:rPr>
        <w:t>.</w:t>
      </w:r>
      <w:r>
        <w:t xml:space="preserve"> EM algorithm in simple case</w:t>
      </w:r>
    </w:p>
    <w:p w:rsidR="000F43EA" w:rsidRDefault="00AF283E" w:rsidP="00EF1F8F">
      <w:r>
        <w:t>For example, at the first iteration, we have:</w:t>
      </w:r>
    </w:p>
    <w:p w:rsidR="00AF283E" w:rsidRPr="00D57A70" w:rsidRDefault="004B2B1E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:rsidR="00D57A70" w:rsidRDefault="00D57A70" w:rsidP="00EF1F8F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2. EM algorithm</w:t>
      </w:r>
    </w:p>
    <w:p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proofErr w:type="gramStart"/>
      <w:r w:rsidR="003611A0" w:rsidRPr="00891DC5">
        <w:rPr>
          <w:i/>
        </w:rPr>
        <w:t>f</w:t>
      </w:r>
      <w:r w:rsidR="003611A0">
        <w:t>(</w:t>
      </w:r>
      <w:proofErr w:type="gramEnd"/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1A3A1E">
        <w:rPr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:rsidTr="001A3A1E">
        <w:trPr>
          <w:jc w:val="center"/>
        </w:trPr>
        <w:tc>
          <w:tcPr>
            <w:tcW w:w="0" w:type="auto"/>
          </w:tcPr>
          <w:p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</w:t>
            </w:r>
            <w:r w:rsidR="00F47741">
              <w:rPr>
                <w:szCs w:val="26"/>
              </w:rPr>
              <w:t>s follows:</w:t>
            </w:r>
          </w:p>
          <w:p w:rsidR="00F47741" w:rsidRDefault="004B2B1E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lastRenderedPageBreak/>
              <w:t>M-step</w:t>
            </w:r>
            <w:r>
              <w:rPr>
                <w:szCs w:val="26"/>
              </w:rPr>
              <w:t>:</w:t>
            </w:r>
          </w:p>
          <w:p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following equation:</w:t>
            </w:r>
          </w:p>
          <w:p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>Table 2.1.</w:t>
      </w:r>
      <w:r>
        <w:rPr>
          <w:szCs w:val="26"/>
        </w:rPr>
        <w:t xml:space="preserve"> E-step and M-step of EM algorithm</w:t>
      </w:r>
    </w:p>
    <w:p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 xml:space="preserve">Please see table 1.1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</w:p>
    <w:p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:rsidR="00D16385" w:rsidRDefault="004B2B1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1D2147" w:rsidRDefault="00C415C9">
      <w:r>
        <w:t>Where,</w:t>
      </w:r>
    </w:p>
    <w:p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6A2058">
        <w:t>with respect</w:t>
      </w:r>
      <w:r>
        <w:t xml:space="preserve"> to </w:t>
      </w:r>
      <w:r w:rsidR="00C72E3A">
        <w:t>variable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p w:rsidR="00624C3D" w:rsidRPr="00C415C9" w:rsidRDefault="00624C3D" w:rsidP="00624C3D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B6103B" w:rsidRDefault="00356207">
      <w:r>
        <w:t xml:space="preserve">By referring </w:t>
      </w:r>
      <w:r w:rsidR="00672F60">
        <w:t xml:space="preserve">to </w:t>
      </w:r>
      <w:r>
        <w:t>table 1.1,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406BF1">
        <w:tc>
          <w:tcPr>
            <w:tcW w:w="8513" w:type="dxa"/>
            <w:vAlign w:val="center"/>
          </w:tcPr>
          <w:p w:rsidR="00C518FC" w:rsidRDefault="004B2B1E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C518FC" w:rsidRDefault="00C518FC" w:rsidP="00406BF1">
            <w:pPr>
              <w:jc w:val="right"/>
            </w:pPr>
            <w:r>
              <w:t>(2.1)</w:t>
            </w:r>
          </w:p>
        </w:tc>
      </w:tr>
    </w:tbl>
    <w:p w:rsidR="000C6591" w:rsidRDefault="000C6591">
      <w:r>
        <w:t xml:space="preserve">Maximizing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is to set the first-order derivative of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>) to be zero.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 xml:space="preserve">ution of the following equation which is specified in M-step. </w:t>
      </w:r>
    </w:p>
    <w:p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C518FC">
        <w:rPr>
          <w:rFonts w:cs="Times New Roman"/>
        </w:rPr>
        <w:t>2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2</w:t>
            </w:r>
            <w:r>
              <w:t>)</w:t>
            </w:r>
          </w:p>
        </w:tc>
      </w:tr>
    </w:tbl>
    <w:p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with respect to </w:t>
      </w:r>
      <w:r w:rsidR="009F7C06">
        <w:t xml:space="preserve">observation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:rsidR="0059286D" w:rsidRPr="0093556B" w:rsidRDefault="004B2B1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3</w:t>
            </w:r>
            <w:r>
              <w:t>)</w:t>
            </w:r>
          </w:p>
        </w:tc>
      </w:tr>
    </w:tbl>
    <w:p w:rsidR="00650D49" w:rsidRPr="00650D49" w:rsidRDefault="00650D49" w:rsidP="00A7409C">
      <w:r>
        <w:t>Due to:</w:t>
      </w:r>
    </w:p>
    <w:p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650D49" w:rsidRDefault="00650D49" w:rsidP="00A7409C">
      <w:r>
        <w:t>It implies: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:rsidR="00650D49" w:rsidRDefault="00650D49" w:rsidP="00A7409C">
      <w:r>
        <w:t xml:space="preserve">Because </w:t>
      </w:r>
      <w:r w:rsidRPr="00891DC5">
        <w:rPr>
          <w:i/>
        </w:rPr>
        <w:t>f</w:t>
      </w:r>
      <w:r>
        <w:t>(</w:t>
      </w:r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:rsidR="00A7409C" w:rsidRDefault="00A7409C" w:rsidP="00A7409C">
      <w:r>
        <w:t xml:space="preserve">By referring </w:t>
      </w:r>
      <w:r w:rsidR="00672F60">
        <w:t xml:space="preserve">to </w:t>
      </w:r>
      <w:r>
        <w:t xml:space="preserve">table 1.1,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:rsidTr="00406BF1">
        <w:tc>
          <w:tcPr>
            <w:tcW w:w="8513" w:type="dxa"/>
            <w:vAlign w:val="center"/>
          </w:tcPr>
          <w:p w:rsidR="00C518FC" w:rsidRDefault="004B2B1E" w:rsidP="00406BF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C518FC" w:rsidRDefault="00C518FC" w:rsidP="00C518FC">
            <w:pPr>
              <w:jc w:val="right"/>
            </w:pPr>
            <w:r>
              <w:t>(2.4)</w:t>
            </w:r>
          </w:p>
        </w:tc>
      </w:tr>
    </w:tbl>
    <w:p w:rsidR="00FA4AB3" w:rsidRDefault="00A7409C" w:rsidP="00A7409C">
      <w:r>
        <w:t xml:space="preserve">Maximizing </w:t>
      </w:r>
      <w:r w:rsidR="00B94BCA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 xml:space="preserve">) is to set the first-order derivative of </w:t>
      </w:r>
      <w:r w:rsidR="00FA4AB3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</w:t>
      </w:r>
      <w:r w:rsidR="00FA4AB3">
        <w:t xml:space="preserve"> to be zero as be zero as follows:</w:t>
      </w:r>
    </w:p>
    <w:p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4AB3" w:rsidRDefault="00FA4AB3" w:rsidP="00A7409C">
      <w:r>
        <w:t>It implies:</w:t>
      </w:r>
    </w:p>
    <w:p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C518FC">
        <w:t>5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4B2B1E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5</w:t>
            </w:r>
            <w:r>
              <w:t>)</w:t>
            </w:r>
          </w:p>
        </w:tc>
      </w:tr>
    </w:tbl>
    <w:p w:rsidR="000C6591" w:rsidRDefault="00E611D4">
      <w:pPr>
        <w:rPr>
          <w:szCs w:val="26"/>
        </w:rPr>
      </w:pPr>
      <w:r>
        <w:t>Equation 2.</w:t>
      </w:r>
      <w:r w:rsidR="00C518FC">
        <w:t>5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C518FC">
        <w:t>2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:rsidR="00E611D4" w:rsidRDefault="004B2B1E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F93CE9" w:rsidRDefault="00672F60" w:rsidP="0067588F">
      <w:r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proofErr w:type="gramStart"/>
      <w:r w:rsidR="00F93CE9" w:rsidRPr="00F93CE9">
        <w:rPr>
          <w:i/>
        </w:rPr>
        <w:t>Q</w:t>
      </w:r>
      <w:r w:rsidR="00F93CE9">
        <w:t>(</w:t>
      </w:r>
      <w:proofErr w:type="gramEnd"/>
      <w:r w:rsidR="00F93CE9">
        <w:rPr>
          <w:rFonts w:cs="Times New Roman"/>
        </w:rPr>
        <w:t>Θ</w:t>
      </w:r>
      <w:r w:rsidR="00F93CE9" w:rsidRPr="00351FC3">
        <w:rPr>
          <w:vertAlign w:val="superscript"/>
        </w:rPr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C518FC">
        <w:t>6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6</w:t>
            </w:r>
            <w:r>
              <w:t>)</w:t>
            </w:r>
          </w:p>
        </w:tc>
      </w:tr>
    </w:tbl>
    <w:p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672F60">
        <w:t>2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:rsidTr="00986C8B">
        <w:trPr>
          <w:jc w:val="center"/>
        </w:trPr>
        <w:tc>
          <w:tcPr>
            <w:tcW w:w="0" w:type="auto"/>
          </w:tcPr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C518FC">
              <w:t>6</w:t>
            </w:r>
            <w:r w:rsidR="00563BD6">
              <w:t>.</w:t>
            </w:r>
          </w:p>
          <w:p w:rsidR="00BC67A1" w:rsidRDefault="00BC67A1" w:rsidP="00986C8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</w:t>
            </w:r>
            <w:proofErr w:type="gramStart"/>
            <w:r w:rsidR="00BC67A1">
              <w:rPr>
                <w:szCs w:val="26"/>
              </w:rPr>
              <w:t>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BC67A1">
              <w:rPr>
                <w:szCs w:val="26"/>
              </w:rPr>
              <w:t xml:space="preserve"> iteration).</w:t>
            </w:r>
          </w:p>
        </w:tc>
      </w:tr>
    </w:tbl>
    <w:p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672F60"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:rsidR="00BC67A1" w:rsidRDefault="00DA20D8" w:rsidP="0067588F"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process.</w:t>
      </w:r>
      <w:r w:rsidR="0042333A">
        <w:rPr>
          <w:szCs w:val="26"/>
        </w:rPr>
        <w:t xml:space="preserve"> </w:t>
      </w:r>
      <w:r w:rsidR="009669A5">
        <w:rPr>
          <w:szCs w:val="26"/>
        </w:rPr>
        <w:t>I</w:t>
      </w:r>
      <w:r w:rsidR="00546B2E">
        <w:rPr>
          <w:szCs w:val="26"/>
        </w:rPr>
        <w:t xml:space="preserve">t is </w:t>
      </w:r>
      <w:r w:rsidR="009669A5">
        <w:rPr>
          <w:szCs w:val="26"/>
        </w:rPr>
        <w:t>deduced</w:t>
      </w:r>
      <w:r w:rsidR="00546B2E">
        <w:rPr>
          <w:szCs w:val="26"/>
        </w:rPr>
        <w:t xml:space="preserve"> </w:t>
      </w:r>
      <w:r w:rsidR="009669A5"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4744C">
        <w:rPr>
          <w:szCs w:val="26"/>
        </w:rPr>
        <w:t xml:space="preserve">Newton-Raphson </w:t>
      </w:r>
      <w:sdt>
        <w:sdtPr>
          <w:rPr>
            <w:szCs w:val="26"/>
          </w:rPr>
          <w:id w:val="-1335767467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CITATION Burden2011 \p 67-71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(Burden &amp; Faires, 2011, pp. 67-71)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gradient descent </w:t>
      </w:r>
      <w:sdt>
        <w:sdtPr>
          <w:rPr>
            <w:szCs w:val="26"/>
          </w:rPr>
          <w:id w:val="-1248415581"/>
          <w:citation/>
        </w:sdtPr>
        <w:sdtEndPr/>
        <w:sdtContent>
          <w:r w:rsidR="0064744C">
            <w:rPr>
              <w:szCs w:val="26"/>
            </w:rPr>
            <w:fldChar w:fldCharType="begin"/>
          </w:r>
          <w:r w:rsidR="0064744C">
            <w:rPr>
              <w:szCs w:val="26"/>
            </w:rPr>
            <w:instrText xml:space="preserve"> CITATION Ta2014NumericalAnalysis \l 1033 </w:instrText>
          </w:r>
          <w:r w:rsidR="0064744C">
            <w:rPr>
              <w:szCs w:val="26"/>
            </w:rPr>
            <w:fldChar w:fldCharType="separate"/>
          </w:r>
          <w:r w:rsidR="0064744C" w:rsidRPr="0064744C">
            <w:rPr>
              <w:noProof/>
              <w:szCs w:val="26"/>
            </w:rPr>
            <w:t>(Ta, 2014)</w:t>
          </w:r>
          <w:r w:rsidR="0064744C">
            <w:rPr>
              <w:szCs w:val="26"/>
            </w:rPr>
            <w:fldChar w:fldCharType="end"/>
          </w:r>
        </w:sdtContent>
      </w:sdt>
      <w:r w:rsidR="0064744C">
        <w:rPr>
          <w:szCs w:val="26"/>
        </w:rPr>
        <w:t xml:space="preserve">, and </w:t>
      </w:r>
      <w:proofErr w:type="spellStart"/>
      <w:r w:rsidR="005F3783" w:rsidRPr="009C0AA6">
        <w:rPr>
          <w:szCs w:val="26"/>
        </w:rPr>
        <w:t>Lagrangian</w:t>
      </w:r>
      <w:proofErr w:type="spellEnd"/>
      <w:r w:rsidR="005F3783" w:rsidRPr="009C0AA6">
        <w:rPr>
          <w:szCs w:val="26"/>
        </w:rPr>
        <w:t xml:space="preserve"> duality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77269205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 CITATION Jia2013 \l 1033 </w:instrText>
          </w:r>
          <w:r w:rsidR="005F3783">
            <w:rPr>
              <w:szCs w:val="26"/>
            </w:rPr>
            <w:fldChar w:fldCharType="separate"/>
          </w:r>
          <w:r w:rsidR="005F3783" w:rsidRPr="009C0AA6">
            <w:rPr>
              <w:noProof/>
              <w:szCs w:val="26"/>
            </w:rPr>
            <w:t>(Jia, 2013)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C518FC">
        <w:t>3</w:t>
      </w:r>
      <w:r w:rsidR="005F3783">
        <w:rPr>
          <w:szCs w:val="26"/>
        </w:rPr>
        <w:t xml:space="preserve">. The next section focuses on the 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351FC3">
        <w:rPr>
          <w:rFonts w:cs="Times New Roman"/>
          <w:vertAlign w:val="superscript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351FC3">
        <w:rPr>
          <w:vertAlign w:val="superscript"/>
        </w:rPr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C518FC">
        <w:t>7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7</w:t>
            </w:r>
            <w:r>
              <w:t>)</w:t>
            </w:r>
          </w:p>
        </w:tc>
      </w:tr>
    </w:tbl>
    <w:p w:rsidR="0038202C" w:rsidRDefault="0038202C" w:rsidP="00456C81">
      <w:r>
        <w:t>Where,</w:t>
      </w:r>
    </w:p>
    <w:p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4044BB" w:rsidRDefault="004044BB" w:rsidP="00456C81">
      <w:r>
        <w:lastRenderedPageBreak/>
        <w:t>Following is a proof of equation 2.</w:t>
      </w:r>
      <w:r w:rsidR="00C518FC">
        <w:t>7</w:t>
      </w:r>
      <w:r>
        <w:t>.</w:t>
      </w:r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:rsidR="002119CD" w:rsidRPr="002119CD" w:rsidRDefault="002119CD" w:rsidP="00456C81"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w:r w:rsidRPr="002119CD">
        <w:rPr>
          <w:rFonts w:cs="Times New Roman"/>
          <w:i/>
        </w:rPr>
        <w:t>Z</w:t>
      </w:r>
      <w:r>
        <w:rPr>
          <w:rFonts w:cs="Times New Roman"/>
        </w:rPr>
        <w:t xml:space="preserve"> as the joint PDF of </w:t>
      </w:r>
      <w:r w:rsidRPr="002119CD">
        <w:rPr>
          <w:rFonts w:cs="Times New Roman"/>
          <w:i/>
        </w:rPr>
        <w:t>X</w:t>
      </w:r>
      <w:r>
        <w:rPr>
          <w:rFonts w:cs="Times New Roman"/>
        </w:rPr>
        <w:t xml:space="preserve"> and </w:t>
      </w:r>
      <w:r w:rsidRPr="002119CD">
        <w:rPr>
          <w:rFonts w:cs="Times New Roman"/>
          <w:i/>
        </w:rPr>
        <w:t>Y</w:t>
      </w:r>
      <w:r>
        <w:rPr>
          <w:rFonts w:cs="Times New Roman"/>
        </w:rPr>
        <w:t>.</w:t>
      </w:r>
    </w:p>
    <w:p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C518FC">
        <w:rPr>
          <w:szCs w:val="24"/>
        </w:rPr>
        <w:t>6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1.1.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Z,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X,Y,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1.2.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:rsidR="00456C81" w:rsidRDefault="004B2B1E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456C81" w:rsidRDefault="00456C81" w:rsidP="00456C81">
      <w:r>
        <w:rPr>
          <w:szCs w:val="24"/>
        </w:rPr>
        <w:t>Equation 2.</w:t>
      </w:r>
      <w:r w:rsidR="00C518FC">
        <w:rPr>
          <w:szCs w:val="24"/>
        </w:rPr>
        <w:t>8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C518FC">
              <w:t>8</w:t>
            </w:r>
            <w:r>
              <w:t>)</w:t>
            </w:r>
          </w:p>
        </w:tc>
      </w:tr>
    </w:tbl>
    <w:p w:rsidR="00B55D86" w:rsidRDefault="00B55D86" w:rsidP="00456C81">
      <w:r>
        <w:t>Where,</w:t>
      </w:r>
    </w:p>
    <w:p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2.8, the existence of the joint PDF </w:t>
      </w:r>
      <w:proofErr w:type="gramStart"/>
      <w:r w:rsidR="0057113B" w:rsidRPr="0057113B">
        <w:rPr>
          <w:i/>
        </w:rPr>
        <w:t>f</w:t>
      </w:r>
      <w:r w:rsidR="0057113B">
        <w:t>(</w:t>
      </w:r>
      <w:proofErr w:type="gramEnd"/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:rsidR="0005004F" w:rsidRDefault="002119CD" w:rsidP="00456C81">
      <w:r>
        <w:lastRenderedPageBreak/>
        <w:t xml:space="preserve">In applied statistics, equation 2.6 is often replaced by equation 2.8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2.6 is more general </w:t>
      </w:r>
      <w:r w:rsidR="008A75A2">
        <w:t xml:space="preserve">equation 2.8 </w:t>
      </w:r>
      <w:r w:rsidR="00B55D86">
        <w:t xml:space="preserve">because </w:t>
      </w:r>
      <w:r w:rsidR="0057113B">
        <w:t>the requirement of the joint PDF for equation 2.8 is stricter than the requirement of the explicit mapping for equation 2.6.</w:t>
      </w:r>
    </w:p>
    <w:p w:rsidR="006C2B96" w:rsidRDefault="006C2B96" w:rsidP="006C2B96">
      <w:pPr>
        <w:ind w:firstLine="360"/>
      </w:pPr>
      <w:r>
        <w:t xml:space="preserve">Suppose </w:t>
      </w:r>
      <w:r>
        <w:t xml:space="preserve">space </w:t>
      </w:r>
      <w:r w:rsidRPr="00E61CF0">
        <w:rPr>
          <w:b/>
          <w:i/>
        </w:rPr>
        <w:t>X</w:t>
      </w:r>
      <w:r>
        <w:t xml:space="preserve"> and </w:t>
      </w:r>
      <w:r>
        <w:t xml:space="preserve">space </w:t>
      </w:r>
      <w:r w:rsidRPr="00E61CF0">
        <w:rPr>
          <w:b/>
          <w:i/>
        </w:rPr>
        <w:t>Y</w:t>
      </w:r>
      <w:r>
        <w:t xml:space="preserve"> are discretized as statistical samples of size </w:t>
      </w:r>
      <w:r w:rsidRPr="00E61CF0">
        <w:rPr>
          <w:i/>
        </w:rPr>
        <w:t>N</w:t>
      </w:r>
      <w:r>
        <w:t xml:space="preserve"> such that </w:t>
      </w:r>
      <w:r w:rsidRPr="006C2B96">
        <w:rPr>
          <w:b/>
          <w:i/>
        </w:rPr>
        <w:t>X</w:t>
      </w:r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and </w:t>
      </w:r>
      <w:r w:rsidRPr="006C2B96">
        <w:rPr>
          <w:b/>
          <w:i/>
        </w:rPr>
        <w:t>Y</w:t>
      </w:r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}. Note,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 xml:space="preserve">) with </w:t>
      </w:r>
      <w:r w:rsidRPr="00E61CF0">
        <w:rPr>
          <w:i/>
        </w:rPr>
        <w:t>X</w:t>
      </w:r>
      <w:r>
        <w:t xml:space="preserve"> and all </w:t>
      </w:r>
      <w:r>
        <w:rPr>
          <w:i/>
        </w:rPr>
        <w:t>Y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i.i.d</w:t>
      </w:r>
      <w:proofErr w:type="spellEnd"/>
      <w:r>
        <w:t xml:space="preserve">.) with </w:t>
      </w:r>
      <w:r>
        <w:rPr>
          <w:i/>
        </w:rPr>
        <w:t>Y</w:t>
      </w:r>
      <w:r>
        <w:t>. Moreover, all pairs (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, </w:t>
      </w:r>
      <w:r w:rsidRPr="00FD422B">
        <w:rPr>
          <w:i/>
        </w:rPr>
        <w:t>Y</w:t>
      </w:r>
      <w:r w:rsidRPr="00FD422B">
        <w:rPr>
          <w:i/>
          <w:vertAlign w:val="subscript"/>
        </w:rPr>
        <w:t>i</w:t>
      </w:r>
      <w:r>
        <w:t>) are mutually independent.</w:t>
      </w:r>
      <w:r>
        <w:t xml:space="preserve"> Therefore, the joint PDF of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:rsidR="006C2B96" w:rsidRDefault="00E30EE5" w:rsidP="006C2B9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6C2B96" w:rsidRDefault="006C2B96" w:rsidP="00456C81">
      <w:r>
        <w:t xml:space="preserve">The conditional PDF of </w:t>
      </w:r>
      <w:r w:rsidRPr="006C2B96">
        <w:rPr>
          <w:b/>
          <w:i/>
        </w:rPr>
        <w:t>X</w:t>
      </w:r>
      <w:r>
        <w:t xml:space="preserve"> given </w:t>
      </w:r>
      <w:r w:rsidRPr="006C2B96">
        <w:rPr>
          <w:b/>
          <w:i/>
        </w:rPr>
        <w:t>Y</w:t>
      </w:r>
      <w:r>
        <w:t xml:space="preserve"> is determined as follows:</w:t>
      </w:r>
    </w:p>
    <w:p w:rsidR="006C2B96" w:rsidRPr="006C2B96" w:rsidRDefault="00E30EE5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:rsidR="006C2B96" w:rsidRDefault="006C2B96" w:rsidP="00456C81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>
        <w:t xml:space="preserve">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:rsidR="006C2B96" w:rsidRPr="006C2B96" w:rsidRDefault="006C2B96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:rsidR="006C2B96" w:rsidRPr="006C2B96" w:rsidRDefault="006C2B96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E30EE5" w:rsidRPr="00E30EE5" w:rsidRDefault="006C2B96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E30EE5" w:rsidRPr="00E30EE5" w:rsidRDefault="00E30EE5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E65FAD" w:rsidRPr="00926EB2" w:rsidRDefault="00E30EE5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926EB2" w:rsidRPr="00E65FAD" w:rsidRDefault="00926EB2" w:rsidP="00926EB2">
      <w:pPr>
        <w:jc w:val="center"/>
      </w:pPr>
      <w:r>
        <w:t xml:space="preserve">(Due to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, </w:t>
      </w:r>
      <w:r w:rsidRPr="00926EB2">
        <w:rPr>
          <w:i/>
        </w:rPr>
        <w:t>Y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>) is analytic function)</w:t>
      </w:r>
      <w:bookmarkStart w:id="0" w:name="_GoBack"/>
      <w:bookmarkEnd w:id="0"/>
    </w:p>
    <w:p w:rsidR="00E65FAD" w:rsidRPr="0027146B" w:rsidRDefault="00E65FAD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:rsidR="0027146B" w:rsidRPr="0027146B" w:rsidRDefault="0027146B" w:rsidP="00456C8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with suppose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that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contains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E65FAD" w:rsidRPr="00E65FAD" w:rsidRDefault="00E65FAD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E65FAD" w:rsidRPr="00E65FAD" w:rsidRDefault="00E65FAD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E65FAD" w:rsidRPr="00E65FAD" w:rsidRDefault="00E65FAD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6C2B96" w:rsidRPr="00E65FAD" w:rsidRDefault="00E65FAD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E65FAD" w:rsidRPr="00E65FAD" w:rsidRDefault="00E65FAD" w:rsidP="00E65FA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E65FAD" w:rsidRPr="00E65FAD" w:rsidRDefault="00E65FAD" w:rsidP="00E65FA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E65FAD" w:rsidRPr="00E65FAD" w:rsidRDefault="00E65FAD" w:rsidP="00E65FA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j=1,j≠i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E65FAD" w:rsidRPr="00E65FAD" w:rsidRDefault="00E65FAD" w:rsidP="00E65FA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E65FAD" w:rsidRPr="00E65FAD" w:rsidRDefault="00E65FAD" w:rsidP="00E65FA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E65FAD" w:rsidRPr="0027146B" w:rsidRDefault="00E65FAD" w:rsidP="00E65FAD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:rsidR="0027146B" w:rsidRPr="0027146B" w:rsidRDefault="0027146B" w:rsidP="00E65FA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E65FAD" w:rsidRDefault="00E65FAD" w:rsidP="00E65FAD">
      <w:r>
        <w:t xml:space="preserve">The integrate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is only calculated by Riemann integral. In practice, it is easy to calculate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</w:t>
      </w:r>
      <w:r>
        <w:t xml:space="preserve">in case of discrete variables when all </w:t>
      </w:r>
      <w:r w:rsidRPr="00E65FAD">
        <w:rPr>
          <w:i/>
        </w:rPr>
        <w:t>X</w:t>
      </w:r>
      <w:r w:rsidRPr="00E65FAD">
        <w:rPr>
          <w:i/>
          <w:vertAlign w:val="subscript"/>
        </w:rPr>
        <w:t>i</w:t>
      </w:r>
      <w:r>
        <w:t xml:space="preserve"> and </w:t>
      </w:r>
      <w:r w:rsidRPr="00E65FAD">
        <w:rPr>
          <w:i/>
        </w:rPr>
        <w:t>Y</w:t>
      </w:r>
      <w:r w:rsidRPr="00E65FAD">
        <w:rPr>
          <w:i/>
          <w:vertAlign w:val="subscript"/>
        </w:rPr>
        <w:t>i</w:t>
      </w:r>
      <w:r>
        <w:t xml:space="preserve"> are discrete.</w:t>
      </w:r>
    </w:p>
    <w:p w:rsidR="00E65FAD" w:rsidRDefault="00E65FAD" w:rsidP="00E65FAD"/>
    <w:p w:rsidR="00E65FAD" w:rsidRPr="00E65FAD" w:rsidRDefault="00E65FAD" w:rsidP="00E65FAD"/>
    <w:p w:rsidR="00E65FAD" w:rsidRDefault="00E65FAD" w:rsidP="00456C81"/>
    <w:p w:rsidR="00E65FAD" w:rsidRPr="006C2B96" w:rsidRDefault="00E65FAD" w:rsidP="00456C81"/>
    <w:p w:rsidR="00D555F9" w:rsidRDefault="00D555F9" w:rsidP="00D555F9">
      <w:pPr>
        <w:ind w:firstLine="360"/>
      </w:pPr>
      <w:r>
        <w:t xml:space="preserve">Equation 2.9 is another version of equation 2.8 when the PDF notation </w:t>
      </w:r>
      <w:r w:rsidRPr="00D555F9">
        <w:rPr>
          <w:i/>
        </w:rPr>
        <w:t>f</w:t>
      </w:r>
      <w:r>
        <w:t xml:space="preserve">(.) is replaced by probability notation </w:t>
      </w:r>
      <w:r w:rsidRPr="00D555F9">
        <w:rPr>
          <w:i/>
        </w:rPr>
        <w:t>P</w:t>
      </w:r>
      <w:r>
        <w:t>(.).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D555F9" w:rsidTr="0095133D">
        <w:tc>
          <w:tcPr>
            <w:tcW w:w="8513" w:type="dxa"/>
            <w:vAlign w:val="center"/>
          </w:tcPr>
          <w:p w:rsidR="00D555F9" w:rsidRDefault="00D555F9" w:rsidP="0095133D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D555F9" w:rsidRDefault="00D555F9" w:rsidP="0095133D">
            <w:pPr>
              <w:jc w:val="right"/>
            </w:pPr>
            <w:r>
              <w:t>(2.9)</w:t>
            </w:r>
          </w:p>
        </w:tc>
      </w:tr>
    </w:tbl>
    <w:p w:rsidR="003F6D4F" w:rsidRDefault="00D555F9" w:rsidP="00456C81">
      <w:r>
        <w:t xml:space="preserve">If </w:t>
      </w:r>
      <w:r w:rsidRPr="00D555F9">
        <w:rPr>
          <w:i/>
        </w:rPr>
        <w:t>X</w:t>
      </w:r>
      <w:r>
        <w:t xml:space="preserve"> is discrete and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put in the context of EM iterative process shown in table 2.2, the equation 2.9 is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555F9" w:rsidTr="0095133D">
        <w:tc>
          <w:tcPr>
            <w:tcW w:w="8513" w:type="dxa"/>
            <w:vAlign w:val="center"/>
          </w:tcPr>
          <w:p w:rsidR="00D555F9" w:rsidRDefault="00D555F9" w:rsidP="0095133D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D555F9" w:rsidRDefault="00D555F9" w:rsidP="0095133D">
            <w:pPr>
              <w:jc w:val="right"/>
            </w:pPr>
            <w:r>
              <w:t>(2.10)</w:t>
            </w:r>
          </w:p>
        </w:tc>
      </w:tr>
    </w:tbl>
    <w:p w:rsidR="00D555F9" w:rsidRDefault="00D555F9" w:rsidP="00456C81">
      <w:r>
        <w:t xml:space="preserve">Where </w:t>
      </w:r>
      <w:r>
        <w:rPr>
          <w:rFonts w:cs="Times New Roman"/>
        </w:rPr>
        <w:t>Θ</w:t>
      </w:r>
      <w:r w:rsidRPr="00D555F9">
        <w:rPr>
          <w:vertAlign w:val="superscript"/>
        </w:rPr>
        <w:t>(</w:t>
      </w:r>
      <w:r w:rsidRPr="00D555F9">
        <w:rPr>
          <w:i/>
          <w:vertAlign w:val="superscript"/>
        </w:rPr>
        <w:t>t</w:t>
      </w:r>
      <w:r w:rsidRPr="00D555F9">
        <w:rPr>
          <w:vertAlign w:val="superscript"/>
        </w:rPr>
        <w:t>)</w:t>
      </w:r>
      <w:r>
        <w:t xml:space="preserve"> is the current known parameter at the current </w:t>
      </w:r>
      <w:proofErr w:type="spellStart"/>
      <w:r w:rsidRPr="00D555F9">
        <w:rPr>
          <w:i/>
        </w:rPr>
        <w:t>t</w:t>
      </w:r>
      <w:r w:rsidRPr="00D555F9">
        <w:rPr>
          <w:vertAlign w:val="superscript"/>
        </w:rPr>
        <w:t>th</w:t>
      </w:r>
      <w:proofErr w:type="spellEnd"/>
      <w:r>
        <w:t xml:space="preserve"> iteration. Equation 2.10 is very popular in practice.</w:t>
      </w:r>
    </w:p>
    <w:p w:rsidR="00D555F9" w:rsidRDefault="00D555F9" w:rsidP="00456C81"/>
    <w:p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</w:p>
    <w:p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351FC3">
        <w:rPr>
          <w:vertAlign w:val="superscript"/>
        </w:rPr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:rsidR="00F93CE9" w:rsidRDefault="00CC3FB1" w:rsidP="0067588F">
      <w:r>
        <w:t>From equation 2.</w:t>
      </w:r>
      <w:r w:rsidR="00C518FC">
        <w:t>6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:rsidR="00CC3FB1" w:rsidRPr="00C252FB" w:rsidRDefault="00C252FB" w:rsidP="0067588F">
      <w:r>
        <w:t>Following is a proof of equation 3.2.</w:t>
      </w:r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0C3792" w:rsidRDefault="002D06BC" w:rsidP="0067588F">
      <w:r w:rsidRPr="003B5E6F">
        <w:rPr>
          <w:b/>
        </w:rPr>
        <w:lastRenderedPageBreak/>
        <w:t>Lemma</w:t>
      </w:r>
      <w:r w:rsidRPr="00E97309">
        <w:rPr>
          <w:i/>
        </w:rPr>
        <w:t xml:space="preserve"> 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986C8B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6463D6" w:rsidRDefault="006E672E" w:rsidP="00B17C39">
      <w:pPr>
        <w:ind w:firstLine="360"/>
      </w:pPr>
      <w:r>
        <w:t>Following is a proof of lemma 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351FC3">
        <w:rPr>
          <w:rFonts w:cs="Times New Roman"/>
          <w:vertAlign w:val="superscript"/>
        </w:rPr>
        <w:t>’</w:t>
      </w:r>
      <w:r w:rsidR="006463D6">
        <w:t>) is re-written as follows:</w:t>
      </w:r>
    </w:p>
    <w:p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6C214E" w:rsidRDefault="006C214E" w:rsidP="006C214E">
      <w:r>
        <w:t>Due to</w:t>
      </w:r>
    </w:p>
    <w:p w:rsidR="006C214E" w:rsidRDefault="004B2B1E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0C3792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 xml:space="preserve">, </w:t>
      </w:r>
      <w:r w:rsidR="00373871">
        <w:t xml:space="preserve">Sean </w:t>
      </w:r>
      <w:sdt>
        <w:sdtPr>
          <w:id w:val="-98953913"/>
          <w:citation/>
        </w:sdtPr>
        <w:sdtEndPr/>
        <w:sdtContent>
          <w:r w:rsidR="00373871">
            <w:fldChar w:fldCharType="begin"/>
          </w:r>
          <w:r w:rsidR="00373871">
            <w:instrText xml:space="preserve">CITATION Sean2009 \p 6 \l 1033 </w:instrText>
          </w:r>
          <w:r w:rsidR="00373871">
            <w:fldChar w:fldCharType="separate"/>
          </w:r>
          <w:r w:rsidR="00373871">
            <w:rPr>
              <w:noProof/>
            </w:rPr>
            <w:t>(Sean, 2009, p. 6)</w:t>
          </w:r>
          <w:r w:rsidR="00373871">
            <w:fldChar w:fldCharType="end"/>
          </w:r>
        </w:sdtContent>
      </w:sdt>
      <w:r w:rsidR="00373871">
        <w:t xml:space="preserve"> proved that</w:t>
      </w:r>
      <w:r>
        <w:t>:</w:t>
      </w:r>
    </w:p>
    <w:p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D2C93" w:rsidRDefault="00373871" w:rsidP="0067588F">
      <w:r>
        <w:t>It implies</w:t>
      </w:r>
      <w:r w:rsidR="008D2C93">
        <w:t>:</w:t>
      </w:r>
    </w:p>
    <w:p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) is constant. In other words, 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constant.</w:t>
      </w:r>
    </w:p>
    <w:p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4B2B1E" w:rsidP="00911A3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>
        <w:t xml:space="preserve"> 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:rsidR="000D7168" w:rsidRDefault="000D7168" w:rsidP="0067588F">
      <w:r>
        <w:t xml:space="preserve">Of course, specification of GEM shown in table 2.2 satisfies the definition 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7A4B8D" w:rsidRPr="003B5E6F" w:rsidRDefault="00D003AD" w:rsidP="0067588F">
      <w:r w:rsidRPr="003B5E6F">
        <w:rPr>
          <w:b/>
        </w:rPr>
        <w:t>Theorem 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:rsidTr="00A149BF">
        <w:tc>
          <w:tcPr>
            <w:tcW w:w="8513" w:type="dxa"/>
            <w:vAlign w:val="center"/>
          </w:tcPr>
          <w:p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:rsidR="00602132" w:rsidRDefault="00F821E6" w:rsidP="0067588F">
      <w:r>
        <w:lastRenderedPageBreak/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A322DA" w:rsidRDefault="00A322DA" w:rsidP="00A322DA">
      <w:pPr>
        <w:ind w:firstLine="360"/>
      </w:pPr>
      <w:r>
        <w:t>Foll</w:t>
      </w:r>
      <w:r w:rsidR="00BC55A6">
        <w:t>owing is the proof of theorem 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:rsidR="00F76478" w:rsidRDefault="00330F2C" w:rsidP="0067588F">
      <w:r>
        <w:t xml:space="preserve">Because the equality of lemma 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1 and corollary 2 from definition 1 and theorem 1.</w:t>
      </w:r>
    </w:p>
    <w:p w:rsidR="004C5DA6" w:rsidRDefault="004C5DA6" w:rsidP="0067588F">
      <w:pPr>
        <w:rPr>
          <w:rFonts w:cs="Times New Roman"/>
        </w:rPr>
      </w:pPr>
      <w:r w:rsidRPr="003B5E6F">
        <w:rPr>
          <w:b/>
        </w:rPr>
        <w:t>Corollary 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Default="004C5DA6" w:rsidP="004C5DA6">
      <w:pPr>
        <w:pStyle w:val="ListParagraph"/>
        <w:numPr>
          <w:ilvl w:val="0"/>
          <w:numId w:val="5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 w:rsidRPr="004C5DA6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:rsidR="004C5DA6" w:rsidRPr="002E5A05" w:rsidRDefault="00B9468A" w:rsidP="004C5DA6">
      <w:pPr>
        <w:pStyle w:val="ListParagraph"/>
        <w:numPr>
          <w:ilvl w:val="0"/>
          <w:numId w:val="5"/>
        </w:numPr>
      </w:pP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theorem 1 and the assumption of corollary 1, we have:</w:t>
      </w:r>
    </w:p>
    <w:p w:rsidR="002E5A05" w:rsidRDefault="004B2B1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:rsidR="002E5A05" w:rsidRDefault="002E5A05" w:rsidP="002E5A05">
      <w:r>
        <w:t>This implies:</w:t>
      </w:r>
    </w:p>
    <w:p w:rsidR="002E5A05" w:rsidRDefault="004B2B1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2E5A05" w:rsidRDefault="002E5A05" w:rsidP="002E5A05">
      <w:r>
        <w:t>As a result,</w:t>
      </w:r>
    </w:p>
    <w:p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2E5A05" w:rsidRDefault="002E5A05" w:rsidP="002E5A05">
      <w:r>
        <w:t>From theorem 1, we also have:</w:t>
      </w:r>
    </w:p>
    <w:p w:rsidR="002E5A05" w:rsidRDefault="004B2B1E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:rsidR="0039676B" w:rsidRDefault="004C7967" w:rsidP="0067588F">
      <w:pPr>
        <w:rPr>
          <w:rFonts w:cs="Times New Roman"/>
        </w:rPr>
      </w:pPr>
      <w:r w:rsidRPr="003B5E6F">
        <w:rPr>
          <w:b/>
        </w:rPr>
        <w:t>Corollary 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2E5A05" w:rsidRDefault="002E5A05" w:rsidP="002E5A05">
      <w:r w:rsidRPr="002E5A05">
        <w:rPr>
          <w:i/>
        </w:rPr>
        <w:t>Proof</w:t>
      </w:r>
      <w:r>
        <w:t>. From corollary 1 and the assumption of corollary 2, we have:</w:t>
      </w:r>
    </w:p>
    <w:p w:rsidR="002E5A05" w:rsidRDefault="004B2B1E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:rsidR="004C7967" w:rsidRDefault="00DC1D9C" w:rsidP="0067588F">
      <w:r w:rsidRPr="003B5E6F">
        <w:rPr>
          <w:b/>
        </w:rPr>
        <w:t>Theorem 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:rsidR="00C62CE8" w:rsidRPr="006A6FA6" w:rsidRDefault="00F5431E" w:rsidP="0067588F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:rsidR="002F25ED" w:rsidRDefault="00A34F88" w:rsidP="00152B7C">
      <w:r>
        <w:t xml:space="preserve">By applying equations 3.2 and 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:rsidR="006A6FA6" w:rsidRDefault="00226D79" w:rsidP="00152B7C">
      <w:r>
        <w:t>It implies</w:t>
      </w:r>
    </w:p>
    <w:p w:rsidR="00341EAF" w:rsidRDefault="004B2B1E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times </w:t>
      </w:r>
      <w:r>
        <w:rPr>
          <w:rFonts w:cs="Times New Roman"/>
        </w:rPr>
        <w:t>the assumption 2 of theorem 2, we obtain:</w:t>
      </w:r>
    </w:p>
    <w:p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13FAF" w:rsidRDefault="00A13FAF" w:rsidP="00152B7C">
      <w:r>
        <w:t>It means that</w:t>
      </w:r>
    </w:p>
    <w:p w:rsidR="00A13FAF" w:rsidRDefault="004B2B1E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A13FAF" w:rsidRDefault="00A13FAF" w:rsidP="00A13FAF">
      <w:r>
        <w:t>Where,</w:t>
      </w:r>
    </w:p>
    <w:p w:rsidR="00A13FAF" w:rsidRDefault="004B2B1E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:rsidR="00A13FAF" w:rsidRDefault="004B2B1E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:rsidR="00152B7C" w:rsidRDefault="004B1013" w:rsidP="00D40333">
      <w:pPr>
        <w:ind w:firstLine="360"/>
      </w:pPr>
      <w:r>
        <w:t xml:space="preserve">Theorem 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>. The corollaries 1 and 2 indicate that the optimal estimate is a fixed point of GEM algorithm. Theorem 2 points out convergence condition of GEM algorithm. However, there is still no assertion of convergence yet</w:t>
      </w:r>
      <w:r w:rsidR="000C6B58">
        <w:t xml:space="preserve"> and so we need mathematical tools of derivative and differential to prove convergence of GEM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0423FE" w:rsidRPr="00772396">
        <w:rPr>
          <w:rFonts w:cs="Times New Roman"/>
          <w:vertAlign w:val="superscript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with regard to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)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D50F2" w:rsidRPr="00351FC3">
        <w:rPr>
          <w:rFonts w:cs="Times New Roman"/>
          <w:vertAlign w:val="superscript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C349A7" w:rsidTr="00C349A7">
        <w:trPr>
          <w:jc w:val="center"/>
        </w:trPr>
        <w:tc>
          <w:tcPr>
            <w:tcW w:w="0" w:type="auto"/>
          </w:tcPr>
          <w:p w:rsidR="00C349A7" w:rsidRDefault="004B2B1E" w:rsidP="00E0620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</w:tbl>
    <w:p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72205D" w:rsidRPr="00351FC3">
        <w:rPr>
          <w:rFonts w:cs="Times New Roman"/>
          <w:vertAlign w:val="superscript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:rsidR="00152B7C" w:rsidRDefault="003B5E6F" w:rsidP="00152B7C">
      <w:r w:rsidRPr="0056041D">
        <w:rPr>
          <w:b/>
        </w:rPr>
        <w:t>Lemma 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:rsidTr="003D20DF">
        <w:tc>
          <w:tcPr>
            <w:tcW w:w="4625" w:type="pct"/>
            <w:vAlign w:val="center"/>
          </w:tcPr>
          <w:p w:rsidR="00750D65" w:rsidRDefault="004B2B1E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:rsidTr="003D20DF">
        <w:tc>
          <w:tcPr>
            <w:tcW w:w="4625" w:type="pct"/>
          </w:tcPr>
          <w:p w:rsidR="00141CCF" w:rsidRDefault="004B2B1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:rsidTr="003D20DF">
        <w:tc>
          <w:tcPr>
            <w:tcW w:w="4625" w:type="pct"/>
          </w:tcPr>
          <w:p w:rsidR="00DE3756" w:rsidRDefault="004B2B1E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:rsidTr="003D20DF">
        <w:tc>
          <w:tcPr>
            <w:tcW w:w="4625" w:type="pct"/>
          </w:tcPr>
          <w:p w:rsidR="00141CCF" w:rsidRDefault="004B2B1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4B2B1E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:rsidTr="003D20DF">
        <w:tc>
          <w:tcPr>
            <w:tcW w:w="4544" w:type="pct"/>
          </w:tcPr>
          <w:p w:rsidR="00DE3756" w:rsidRDefault="004B2B1E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>
        <w:rPr>
          <w:rFonts w:cs="Times New Roman"/>
        </w:rPr>
        <w:t xml:space="preserve">. Followings are proofs of equations </w:t>
      </w:r>
      <w:r w:rsidR="00C349A7">
        <w:rPr>
          <w:rFonts w:cs="Times New Roman"/>
        </w:rPr>
        <w:t xml:space="preserve">3.7,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5E3A5D">
        <w:rPr>
          <w:rFonts w:cs="Times New Roman"/>
        </w:rPr>
        <w:t xml:space="preserve">3.9, </w:t>
      </w:r>
      <w:r w:rsidR="00DE3756">
        <w:rPr>
          <w:rFonts w:cs="Times New Roman"/>
        </w:rPr>
        <w:t xml:space="preserve">3.10, 3.11, </w:t>
      </w:r>
      <w:r>
        <w:rPr>
          <w:rFonts w:cs="Times New Roman"/>
        </w:rPr>
        <w:t>and 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:rsidR="006A4D1E" w:rsidRPr="006A4D1E" w:rsidRDefault="004B2B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:rsidR="006713D1" w:rsidRPr="00C91579" w:rsidRDefault="004B2B1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91579" w:rsidRDefault="00A12959" w:rsidP="00C91579">
      <w:pPr>
        <w:tabs>
          <w:tab w:val="left" w:pos="1866"/>
        </w:tabs>
      </w:pPr>
      <w:r>
        <w:t>We also have:</w:t>
      </w:r>
    </w:p>
    <w:p w:rsidR="00A12959" w:rsidRPr="002D5BA3" w:rsidRDefault="004B2B1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Default="002D5BA3" w:rsidP="00C91579">
      <w:pPr>
        <w:tabs>
          <w:tab w:val="left" w:pos="1866"/>
        </w:tabs>
      </w:pPr>
      <w:r>
        <w:t>It implies:</w:t>
      </w:r>
    </w:p>
    <w:p w:rsidR="002D5BA3" w:rsidRPr="002D5BA3" w:rsidRDefault="004B2B1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12959" w:rsidRDefault="00D00F9E" w:rsidP="00C91579">
      <w:pPr>
        <w:tabs>
          <w:tab w:val="left" w:pos="1866"/>
        </w:tabs>
      </w:pPr>
      <w:r>
        <w:t>We also have:</w:t>
      </w:r>
    </w:p>
    <w:p w:rsidR="00FD57C8" w:rsidRPr="00FD57C8" w:rsidRDefault="004B2B1E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00F9E" w:rsidRDefault="00897CE1" w:rsidP="00C91579">
      <w:pPr>
        <w:tabs>
          <w:tab w:val="left" w:pos="1866"/>
        </w:tabs>
      </w:pPr>
      <w:r>
        <w:t>It implies:</w:t>
      </w:r>
    </w:p>
    <w:p w:rsidR="00897CE1" w:rsidRPr="00FE5828" w:rsidRDefault="004B2B1E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E3756" w:rsidRDefault="00DE3756" w:rsidP="00897CE1">
      <w:pPr>
        <w:tabs>
          <w:tab w:val="left" w:pos="1866"/>
        </w:tabs>
      </w:pPr>
      <w:r>
        <w:t>From equation 3.2, we have:</w:t>
      </w:r>
    </w:p>
    <w:p w:rsidR="00DE3756" w:rsidRDefault="004B2B1E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:rsidR="00FE5828" w:rsidRPr="00FE5828" w:rsidRDefault="004B2B1E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66436F" w:rsidRDefault="00FE5828" w:rsidP="00FE5828">
      <w:pPr>
        <w:tabs>
          <w:tab w:val="left" w:pos="1129"/>
        </w:tabs>
      </w:pPr>
      <w:r>
        <w:t>It implies:</w:t>
      </w:r>
    </w:p>
    <w:p w:rsidR="00D53577" w:rsidRPr="00D53577" w:rsidRDefault="004B2B1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E5828" w:rsidRDefault="009F2F8C" w:rsidP="00FE5828">
      <w:pPr>
        <w:tabs>
          <w:tab w:val="left" w:pos="1129"/>
        </w:tabs>
      </w:pPr>
      <w:r>
        <w:t>We have:</w:t>
      </w:r>
    </w:p>
    <w:p w:rsidR="009F2F8C" w:rsidRPr="009F2F8C" w:rsidRDefault="004B2B1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F2F8C" w:rsidRDefault="009463FB" w:rsidP="00FE5828">
      <w:pPr>
        <w:tabs>
          <w:tab w:val="left" w:pos="1129"/>
        </w:tabs>
      </w:pPr>
      <w:r>
        <w:t>It implies:</w:t>
      </w:r>
    </w:p>
    <w:p w:rsidR="00075CE5" w:rsidRPr="00075CE5" w:rsidRDefault="004B2B1E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9463FB" w:rsidRDefault="004631B7" w:rsidP="00FE5828">
      <w:pPr>
        <w:tabs>
          <w:tab w:val="left" w:pos="1129"/>
        </w:tabs>
      </w:pPr>
      <w:r>
        <w:t>Due to:</w:t>
      </w:r>
    </w:p>
    <w:p w:rsidR="004631B7" w:rsidRPr="004631B7" w:rsidRDefault="004B2B1E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631B7" w:rsidRDefault="004631B7" w:rsidP="00FE5828">
      <w:pPr>
        <w:tabs>
          <w:tab w:val="left" w:pos="1129"/>
        </w:tabs>
      </w:pPr>
      <w:r>
        <w:t>We have:</w:t>
      </w:r>
    </w:p>
    <w:p w:rsidR="004631B7" w:rsidRPr="004631B7" w:rsidRDefault="004B2B1E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D34D4C" w:rsidRDefault="00D34D4C" w:rsidP="00D34D4C">
      <w:r w:rsidRPr="0056041D">
        <w:rPr>
          <w:b/>
        </w:rPr>
        <w:t xml:space="preserve">Lemma 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r w:rsidRPr="00D34D4C">
        <w:rPr>
          <w:i/>
        </w:rPr>
        <w:t>f</w:t>
      </w:r>
      <w:r>
        <w:t>(</w:t>
      </w:r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:rsidTr="003D20DF">
        <w:tc>
          <w:tcPr>
            <w:tcW w:w="4625" w:type="pct"/>
            <w:vAlign w:val="center"/>
          </w:tcPr>
          <w:p w:rsidR="00D34D4C" w:rsidRDefault="004B2B1E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559" w:type="pct"/>
            <w:vAlign w:val="center"/>
          </w:tcPr>
          <w:p w:rsidR="00160D0B" w:rsidRDefault="004B2B1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4B2B1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:rsidTr="003D20DF">
        <w:tc>
          <w:tcPr>
            <w:tcW w:w="4625" w:type="pct"/>
            <w:vAlign w:val="center"/>
          </w:tcPr>
          <w:p w:rsidR="00160D0B" w:rsidRDefault="004B2B1E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E445C6" w:rsidRPr="00E445C6">
        <w:rPr>
          <w:rFonts w:cs="Times New Roman"/>
          <w:vertAlign w:val="superscript"/>
        </w:rPr>
        <w:t>’</w:t>
      </w:r>
      <w:r>
        <w:t xml:space="preserve">) belong to exponential family, </w:t>
      </w:r>
      <w:r w:rsidR="00160D0B">
        <w:t xml:space="preserve">from table 1.1 </w:t>
      </w:r>
      <w:r>
        <w:t>we have:</w:t>
      </w:r>
    </w:p>
    <w:p w:rsidR="00B91D73" w:rsidRPr="00B91D73" w:rsidRDefault="004B2B1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4B2B1E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:rsidR="00B91D73" w:rsidRPr="00B91D73" w:rsidRDefault="004B2B1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:rsidR="00B91D73" w:rsidRPr="00B91D73" w:rsidRDefault="004B2B1E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Pr="00B91D73" w:rsidRDefault="00B91D73" w:rsidP="00C91579">
      <w:pPr>
        <w:tabs>
          <w:tab w:val="left" w:pos="1866"/>
        </w:tabs>
      </w:pPr>
      <w:r>
        <w:t>Hence,</w:t>
      </w:r>
    </w:p>
    <w:p w:rsidR="00B91D73" w:rsidRPr="006A4D1E" w:rsidRDefault="004B2B1E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B91D73" w:rsidP="00B91D73">
      <w:pPr>
        <w:tabs>
          <w:tab w:val="left" w:pos="1866"/>
        </w:tabs>
      </w:pPr>
      <w:r>
        <w:t>We have:</w:t>
      </w:r>
    </w:p>
    <w:p w:rsidR="00B91D73" w:rsidRPr="00B91D73" w:rsidRDefault="004B2B1E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B91D73" w:rsidRDefault="00160D0B" w:rsidP="00B91D73">
      <w:pPr>
        <w:tabs>
          <w:tab w:val="left" w:pos="1866"/>
        </w:tabs>
      </w:pPr>
      <w:r>
        <w:t>We have:</w:t>
      </w:r>
    </w:p>
    <w:p w:rsidR="00160D0B" w:rsidRPr="00FE5828" w:rsidRDefault="004B2B1E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160D0B" w:rsidRDefault="00160D0B" w:rsidP="00160D0B">
      <w:pPr>
        <w:tabs>
          <w:tab w:val="left" w:pos="1866"/>
        </w:tabs>
      </w:pPr>
      <w:r>
        <w:t>We have:</w:t>
      </w:r>
    </w:p>
    <w:p w:rsidR="00160D0B" w:rsidRPr="00B91D73" w:rsidRDefault="004B2B1E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897CE1" w:rsidRDefault="00E354BC" w:rsidP="00C91579">
      <w:pPr>
        <w:tabs>
          <w:tab w:val="left" w:pos="1866"/>
        </w:tabs>
      </w:pPr>
      <w:r w:rsidRPr="00E354BC">
        <w:rPr>
          <w:b/>
        </w:rPr>
        <w:t>Theorem 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E354BC" w:rsidRDefault="004B2B1E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>Following is a proof of theorem 3</w:t>
      </w:r>
      <w:r w:rsidR="00F7572A">
        <w:t>.</w:t>
      </w:r>
    </w:p>
    <w:p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F7572A" w:rsidRDefault="004B2B1E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E161BC" w:rsidRDefault="002315AD" w:rsidP="00E161BC">
      <w:r>
        <w:t>Whereas</w:t>
      </w:r>
      <w:r w:rsidR="00E161BC">
        <w:t>,</w:t>
      </w:r>
    </w:p>
    <w:p w:rsidR="00E161BC" w:rsidRPr="00E161BC" w:rsidRDefault="004B2B1E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6212E" w:rsidRDefault="00795C11" w:rsidP="0067588F">
      <w:r>
        <w:lastRenderedPageBreak/>
        <w:t xml:space="preserve">In other words, the assumption </w:t>
      </w:r>
      <w:r w:rsidR="00530B10">
        <w:t xml:space="preserve">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:rsidR="0076212E" w:rsidRDefault="009E41D9" w:rsidP="0067588F">
      <w:r w:rsidRPr="009E41D9">
        <w:rPr>
          <w:b/>
        </w:rPr>
        <w:t>Theorem 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of GEM algorithm.</w:t>
      </w:r>
      <w:r w:rsidR="00044AE1">
        <w:t xml:space="preserve"> </w:t>
      </w:r>
      <w:r w:rsidR="00CB5A6B">
        <w:t>Followings are proofs of theorem 4.</w:t>
      </w:r>
    </w:p>
    <w:p w:rsidR="009E41D9" w:rsidRDefault="005D3E15" w:rsidP="00044AE1">
      <w:pPr>
        <w:ind w:firstLine="360"/>
      </w:pPr>
      <w:r>
        <w:t>From equation 3.2, we have:</w:t>
      </w:r>
    </w:p>
    <w:p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5D3E15" w:rsidRDefault="004B2B1E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:rsidR="00B7165E" w:rsidRPr="00604A30" w:rsidRDefault="004B2B1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604A30" w:rsidRPr="00391E31" w:rsidRDefault="004B2B1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DE69D9" w:rsidP="0067588F">
      <w:r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604A30" w:rsidRDefault="00604A30" w:rsidP="0067588F">
      <w:r>
        <w:t>It implies:</w:t>
      </w:r>
    </w:p>
    <w:p w:rsidR="00604A30" w:rsidRPr="00604A30" w:rsidRDefault="004B2B1E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604A30">
        <w:tc>
          <w:tcPr>
            <w:tcW w:w="8233" w:type="dxa"/>
            <w:vAlign w:val="center"/>
          </w:tcPr>
          <w:p w:rsidR="00750D65" w:rsidRDefault="00750D65" w:rsidP="002D1B80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:rsidR="0094653E" w:rsidRDefault="004B2B1E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:rsidR="00A83118" w:rsidRPr="00BA321A" w:rsidRDefault="004B2B1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BA321A" w:rsidRDefault="00BA321A" w:rsidP="0067588F">
      <w:r>
        <w:t>It implies:</w:t>
      </w:r>
    </w:p>
    <w:p w:rsidR="00BA321A" w:rsidRPr="00BA321A" w:rsidRDefault="004B2B1E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BA321A" w:rsidRPr="00BA321A" w:rsidRDefault="00BA321A" w:rsidP="00BA321A">
      <w:pPr>
        <w:jc w:val="center"/>
      </w:pPr>
      <w:r>
        <w:t>(Due to theorem 4)</w:t>
      </w:r>
    </w:p>
    <w:p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:rsidR="00BA321A" w:rsidRPr="00267FCA" w:rsidRDefault="00267FCA" w:rsidP="00BA321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BF7A5D">
        <w:t>2</w:t>
      </w:r>
      <w:r w:rsidR="00875EBA">
        <w:t xml:space="preserve"> </w:t>
      </w:r>
      <w:r w:rsidR="003E5B43">
        <w:t>and 4, corollary 3</w:t>
      </w:r>
      <w:r w:rsidR="00FF69A9">
        <w:t xml:space="preserve"> is </w:t>
      </w:r>
      <w:r w:rsidR="00875EBA">
        <w:t xml:space="preserve">a </w:t>
      </w:r>
      <w:r w:rsidR="00FF69A9">
        <w:t>criterion of convergence of GEM</w:t>
      </w:r>
      <w:r w:rsidR="003E5B43">
        <w:t>.</w:t>
      </w:r>
    </w:p>
    <w:p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definite.</w:t>
      </w:r>
    </w:p>
    <w:p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:rsidR="00875EBA" w:rsidRDefault="00DD3B32" w:rsidP="002F16D7">
      <w:r>
        <w:t xml:space="preserve">The </w:t>
      </w:r>
      <w:r w:rsidR="0029238E">
        <w:t>assumption</w:t>
      </w:r>
      <w:r>
        <w:t xml:space="preserve"> 1 of corollary 3 implies that the given algorithm is a</w:t>
      </w:r>
      <w:r w:rsidR="00875EBA">
        <w:t xml:space="preserve"> GEM according to definition 1. From such assumption, we also have:</w:t>
      </w:r>
    </w:p>
    <w:p w:rsidR="00875EBA" w:rsidRDefault="004B2B1E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875EBA" w:rsidRDefault="00875EBA" w:rsidP="00875EBA">
      <w:r>
        <w:t xml:space="preserve">In other words, the assumption 2 of theorem 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>corollary 3</w:t>
      </w:r>
      <w:r>
        <w:t>.</w:t>
      </w:r>
      <w:r w:rsidRPr="00875EBA">
        <w:t xml:space="preserve"> </w:t>
      </w:r>
      <w:r>
        <w:t>From equation 3.2, we have:</w:t>
      </w:r>
    </w:p>
    <w:p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>corollary 3</w:t>
      </w:r>
      <w:r>
        <w:t>, we have:</w:t>
      </w:r>
    </w:p>
    <w:p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lastRenderedPageBreak/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:rsidR="00DF3570" w:rsidRPr="00266A40" w:rsidRDefault="002C2F15" w:rsidP="00DF3570">
      <w:pPr>
        <w:ind w:firstLine="360"/>
      </w:pPr>
      <w:r>
        <w:t xml:space="preserve">By default, suppose all GEM algorithms satisfy the assumptions 2 and 3 of corollary 3. Thus, we only check the assumption 1 to verify whether a given algorithm is a GEM which converges to local maximizer </w:t>
      </w:r>
      <w:r>
        <w:rPr>
          <w:rFonts w:cs="Times New Roman"/>
        </w:rPr>
        <w:t>Θ</w:t>
      </w:r>
      <w:r w:rsidRPr="008E7D7B">
        <w:rPr>
          <w:i/>
          <w:vertAlign w:val="superscript"/>
        </w:rPr>
        <w:t>*</w:t>
      </w:r>
      <w:r>
        <w:t>.</w:t>
      </w:r>
      <w:r w:rsidR="00F749C1">
        <w:t xml:space="preserve"> Note, if the assumption 1 of corollary 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:rsidR="00EB52F1" w:rsidRDefault="00CA4B48" w:rsidP="003D6324">
      <w:pPr>
        <w:ind w:firstLine="360"/>
      </w:pPr>
      <w:r>
        <w:t>Because</w:t>
      </w:r>
      <w:r w:rsidR="00EB52F1">
        <w:t xml:space="preserve"> 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2B5AF1" w:rsidRPr="00351FC3">
        <w:rPr>
          <w:rFonts w:cs="Times New Roman"/>
          <w:vertAlign w:val="superscript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proofErr w:type="gramStart"/>
      <w:r w:rsidR="00EB52F1">
        <w:rPr>
          <w:i/>
        </w:rPr>
        <w:t>H</w:t>
      </w:r>
      <w:r w:rsidR="00EB52F1">
        <w:t>(</w:t>
      </w:r>
      <w:proofErr w:type="gramEnd"/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:rsidR="00EB52F1" w:rsidRDefault="004B2B1E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equations 3.</w:t>
      </w:r>
      <w:r w:rsidR="003D6324">
        <w:t>1</w:t>
      </w:r>
      <w:r w:rsidR="00C14837">
        <w:t>9</w:t>
      </w:r>
      <w:r w:rsidR="008B7993">
        <w:t xml:space="preserve"> and 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233" w:type="dxa"/>
            <w:vAlign w:val="center"/>
          </w:tcPr>
          <w:p w:rsidR="00750D65" w:rsidRDefault="004B2B1E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:rsidTr="00A149BF">
        <w:tc>
          <w:tcPr>
            <w:tcW w:w="4544" w:type="pct"/>
          </w:tcPr>
          <w:p w:rsidR="00692818" w:rsidRDefault="004B2B1E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4B2B1E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w:lastRenderedPageBreak/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:rsidTr="00FB14AB">
        <w:tc>
          <w:tcPr>
            <w:tcW w:w="8377" w:type="dxa"/>
            <w:vAlign w:val="center"/>
          </w:tcPr>
          <w:p w:rsidR="007E68A5" w:rsidRDefault="007E68A5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:rsidR="007E68A5" w:rsidRDefault="004B2B1E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Or</w:t>
      </w:r>
    </w:p>
    <w:p w:rsidR="007E68A5" w:rsidRDefault="004B2B1E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7E68A5" w:rsidRDefault="007E68A5" w:rsidP="007E68A5">
      <w:r>
        <w:t>It implies</w:t>
      </w:r>
    </w:p>
    <w:p w:rsidR="007E68A5" w:rsidRPr="00F148B4" w:rsidRDefault="007E68A5" w:rsidP="007E68A5"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:rsidR="007E68A5" w:rsidRDefault="007E68A5" w:rsidP="007E68A5">
      <w:r>
        <w:t>So we have</w:t>
      </w:r>
    </w:p>
    <w:p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proofErr w:type="gramStart"/>
      <w:r w:rsidR="003E66D0" w:rsidRPr="005355D1">
        <w:rPr>
          <w:i/>
        </w:rPr>
        <w:t>Q</w:t>
      </w:r>
      <w:r w:rsidR="003E66D0">
        <w:t>(</w:t>
      </w:r>
      <w:proofErr w:type="gramEnd"/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:rsidTr="00C6366A">
        <w:tc>
          <w:tcPr>
            <w:tcW w:w="8233" w:type="dxa"/>
            <w:vAlign w:val="center"/>
          </w:tcPr>
          <w:p w:rsidR="00522DBD" w:rsidRDefault="004B2B1E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proofErr w:type="gramStart"/>
      <w:r w:rsidR="00CF1D6A"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4B2B1E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:rsidR="00031A65" w:rsidRDefault="00C57692" w:rsidP="00700972">
      <w:r>
        <w:t>From equations 3.2 and 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:rsidR="00C57692" w:rsidRPr="00C57692" w:rsidRDefault="004B2B1E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is identity matrix:</w:t>
      </w:r>
    </w:p>
    <w:p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692" w:rsidRDefault="00C57692" w:rsidP="00700972">
      <w:r>
        <w:lastRenderedPageBreak/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4B2B1E" w:rsidP="008301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4B2B1E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:rsidR="008B7993" w:rsidRDefault="00A95268" w:rsidP="00700972">
      <w:r>
        <w:t>From equations 3.</w:t>
      </w:r>
      <w:r w:rsidR="00C14837">
        <w:t>25</w:t>
      </w:r>
      <w:r>
        <w:t xml:space="preserve"> and 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4B2B1E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proofErr w:type="gramStart"/>
      <w:r w:rsidRPr="00CF1D6A">
        <w:rPr>
          <w:vertAlign w:val="superscript"/>
        </w:rPr>
        <w:t>)</w:t>
      </w:r>
      <w:r>
        <w:t>,…</w:t>
      </w:r>
      <w:proofErr w:type="gramEnd"/>
      <w:r>
        <w:t xml:space="preserve">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equations 3.2</w:t>
      </w:r>
      <w:r w:rsidR="00C14837">
        <w:t>6</w:t>
      </w:r>
      <w:r w:rsidR="00663970">
        <w:t xml:space="preserve"> and 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:rsidTr="00A149BF">
        <w:tc>
          <w:tcPr>
            <w:tcW w:w="8377" w:type="dxa"/>
            <w:vAlign w:val="center"/>
          </w:tcPr>
          <w:p w:rsidR="00750D65" w:rsidRDefault="004B2B1E" w:rsidP="008301B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:rsidR="00750D65" w:rsidRPr="00692CDC" w:rsidRDefault="00750D65" w:rsidP="008301B1">
            <w:r>
              <w:t>Where,</w:t>
            </w:r>
          </w:p>
          <w:p w:rsidR="00750D65" w:rsidRDefault="004B2B1E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 xml:space="preserve">fourth column of table 1.1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:rsidR="00126EBD" w:rsidRDefault="004B2B1E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 xml:space="preserve">For example, in table 1.1,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 xml:space="preserve">fourth column of table 1.1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:rsidR="00C6366A" w:rsidRDefault="00C6366A" w:rsidP="00C6366A">
      <w:pPr>
        <w:ind w:firstLine="360"/>
      </w:pPr>
      <w:r>
        <w:t xml:space="preserve">We will prove by contradiction that if definition 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:rsidR="00C6366A" w:rsidRDefault="004B2B1E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lastRenderedPageBreak/>
        <w:t>Or</w:t>
      </w:r>
    </w:p>
    <w:p w:rsidR="00C6366A" w:rsidRDefault="004B2B1E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C6366A" w:rsidRDefault="00C6366A" w:rsidP="00C6366A">
      <w:r>
        <w:t>It implies</w:t>
      </w:r>
    </w:p>
    <w:p w:rsidR="00C6366A" w:rsidRPr="00F148B4" w:rsidRDefault="004B2B1E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:rsidR="00C6366A" w:rsidRDefault="00C6366A" w:rsidP="00C6366A">
      <w:r>
        <w:t>So we have</w:t>
      </w:r>
    </w:p>
    <w:p w:rsidR="00C6366A" w:rsidRPr="00C6366A" w:rsidRDefault="004B2B1E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>corollary 3</w:t>
      </w:r>
      <w:r w:rsidR="008E7D7B">
        <w:rPr>
          <w:rFonts w:cs="Times New Roman"/>
        </w:rPr>
        <w:t xml:space="preserve">. In other words, </w:t>
      </w:r>
      <w:r w:rsidR="008E7D7B">
        <w:t>corollary 3 is proved.</w:t>
      </w:r>
    </w:p>
    <w:p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:rsidR="003D6324" w:rsidRDefault="003D6324" w:rsidP="007E68A5">
      <w:pPr>
        <w:tabs>
          <w:tab w:val="left" w:pos="1866"/>
        </w:tabs>
      </w:pPr>
      <w:r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proofErr w:type="gramStart"/>
      <w:r w:rsidRPr="00752881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Fisher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4B2B1E" w:rsidP="00FB14A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),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4B2B1E" w:rsidP="00FB14AB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:rsidR="003D6324" w:rsidRDefault="003D6324" w:rsidP="003D6324">
      <w:r>
        <w:t xml:space="preserve">If </w:t>
      </w:r>
      <w:r w:rsidRPr="009D4922">
        <w:rPr>
          <w:i/>
        </w:rPr>
        <w:t>f</w:t>
      </w:r>
      <w:r>
        <w:t>(</w:t>
      </w:r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equations 3.14 and 3.16, </w:t>
      </w:r>
      <w:r>
        <w:t>we have:</w:t>
      </w:r>
    </w:p>
    <w:p w:rsidR="00EB37FB" w:rsidRPr="00EB37FB" w:rsidRDefault="004B2B1E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:rsidTr="00FB14AB">
        <w:tc>
          <w:tcPr>
            <w:tcW w:w="8377" w:type="dxa"/>
            <w:vAlign w:val="center"/>
          </w:tcPr>
          <w:p w:rsidR="003D6324" w:rsidRDefault="003D6324" w:rsidP="00FB14AB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:rsidTr="00283DC7">
        <w:tc>
          <w:tcPr>
            <w:tcW w:w="8377" w:type="dxa"/>
            <w:vAlign w:val="center"/>
          </w:tcPr>
          <w:p w:rsidR="00EA05A6" w:rsidRDefault="004B2B1E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:rsidR="00EA05A6" w:rsidRDefault="00EA05A6" w:rsidP="00C428D1">
      <w:pPr>
        <w:rPr>
          <w:rFonts w:cs="Times New Roman"/>
        </w:rPr>
      </w:pPr>
    </w:p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</w:p>
    <w:p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lastRenderedPageBreak/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DD413A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:rsidR="00DD413A" w:rsidRDefault="00DD413A" w:rsidP="0067588F"/>
    <w:p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</w:p>
    <w:p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750D65" w:rsidP="001417A8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:rsidR="00C82CC6" w:rsidRDefault="00C82CC6" w:rsidP="00C82CC6">
      <w:r>
        <w:t>It implies from equation 3.2 that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4B2B1E" w:rsidP="001417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proofErr w:type="gramStart"/>
      <w:r w:rsidRPr="00817DD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750D65" w:rsidP="001417A8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:rsidTr="00A149BF">
        <w:tc>
          <w:tcPr>
            <w:tcW w:w="8379" w:type="dxa"/>
            <w:vAlign w:val="center"/>
          </w:tcPr>
          <w:p w:rsidR="00750D65" w:rsidRDefault="004B2B1E" w:rsidP="001417A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:rsidR="00C82CC6" w:rsidRDefault="00C82CC6" w:rsidP="00C82CC6">
      <w:r>
        <w:t>Where,</w:t>
      </w:r>
    </w:p>
    <w:p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:rsidR="00C82CC6" w:rsidRDefault="00CA4B48" w:rsidP="00C82CC6">
      <w:r>
        <w:t>Because</w:t>
      </w:r>
      <w:r w:rsidR="00C82CC6">
        <w:t xml:space="preserve"> 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351FC3">
        <w:rPr>
          <w:rFonts w:cs="Times New Roman"/>
          <w:vertAlign w:val="superscript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C82CC6" w:rsidRDefault="004B2B1E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:rsidR="00C82CC6" w:rsidRDefault="004B2B1E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:rsidR="00C82CC6" w:rsidRPr="009A6CBD" w:rsidRDefault="004B2B1E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:rsidR="00C82CC6" w:rsidRDefault="004B2B1E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:rsidR="00C82CC6" w:rsidRDefault="004B2B1E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:rsidR="00C82CC6" w:rsidRPr="009A6CBD" w:rsidRDefault="00C82CC6" w:rsidP="00C82CC6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:rsidTr="00A149BF">
        <w:tc>
          <w:tcPr>
            <w:tcW w:w="8384" w:type="dxa"/>
            <w:vAlign w:val="center"/>
          </w:tcPr>
          <w:p w:rsidR="00750D65" w:rsidRDefault="004B2B1E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4B2B1E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:rsidR="00C82CC6" w:rsidRPr="00274740" w:rsidRDefault="004B2B1E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351FC3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:rsidR="00C428D1" w:rsidRDefault="00C428D1" w:rsidP="0067588F"/>
    <w:p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</w:p>
    <w:p w:rsidR="00C82CC6" w:rsidRDefault="00A638FC" w:rsidP="0067588F"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and also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4B2B1E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:rsidR="00405D9E" w:rsidRPr="00405D9E" w:rsidRDefault="004B2B1E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Default="00D260FB" w:rsidP="0067588F">
      <w:r>
        <w:t>Because</w:t>
      </w:r>
      <w:r w:rsidR="007077E6">
        <w:t xml:space="preserve"> </w:t>
      </w:r>
      <w:proofErr w:type="gramStart"/>
      <w:r w:rsidR="007077E6">
        <w:rPr>
          <w:i/>
        </w:rPr>
        <w:t>Q</w:t>
      </w:r>
      <w:r w:rsidR="007077E6">
        <w:t>(</w:t>
      </w:r>
      <w:proofErr w:type="gramEnd"/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:rsidR="00405D9E" w:rsidRDefault="007077E6" w:rsidP="0067588F">
      <w:r>
        <w:t xml:space="preserve">So </w:t>
      </w:r>
      <w:r w:rsidRPr="007077E6">
        <w:t>we</w:t>
      </w:r>
      <w:r>
        <w:t xml:space="preserve"> have:</w:t>
      </w:r>
    </w:p>
    <w:p w:rsidR="007077E6" w:rsidRPr="007077E6" w:rsidRDefault="004B2B1E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:rsidR="007077E6" w:rsidRPr="007077E6" w:rsidRDefault="004B2B1E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7077E6" w:rsidRDefault="004B460D" w:rsidP="0067588F">
      <w:r>
        <w:t>It implies:</w:t>
      </w:r>
    </w:p>
    <w:p w:rsidR="004B460D" w:rsidRPr="004B460D" w:rsidRDefault="004B2B1E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B460D" w:rsidRDefault="004B460D" w:rsidP="0067588F">
      <w:r>
        <w:t>This means:</w:t>
      </w:r>
    </w:p>
    <w:p w:rsidR="004B460D" w:rsidRPr="004B460D" w:rsidRDefault="004B2B1E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:rsidTr="00BC50BC">
        <w:trPr>
          <w:jc w:val="center"/>
        </w:trPr>
        <w:tc>
          <w:tcPr>
            <w:tcW w:w="0" w:type="auto"/>
          </w:tcPr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6605E6" w:rsidRDefault="006605E6" w:rsidP="00EB3C9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6605E6" w:rsidRDefault="006605E6" w:rsidP="00EB3C90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:rsidTr="00A149BF">
              <w:tc>
                <w:tcPr>
                  <w:tcW w:w="4598" w:type="pct"/>
                </w:tcPr>
                <w:p w:rsidR="00750D65" w:rsidRDefault="004B2B1E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32546" w:rsidRPr="00C32546" w:rsidRDefault="004B2B1E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D3CDB" w:rsidRDefault="006D3CDB" w:rsidP="00A46335">
      <w:r>
        <w:t>Let,</w:t>
      </w:r>
    </w:p>
    <w:p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351FC3">
        <w:rPr>
          <w:rFonts w:cs="Times New Roman"/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:rsidR="004E0AD5" w:rsidRDefault="004B2B1E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:rsidR="006D3CDB" w:rsidRDefault="004B2B1E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:rsidR="006D3CDB" w:rsidRDefault="004B2B1E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C32546" w:rsidRPr="00C32546" w:rsidRDefault="006D3CDB" w:rsidP="00A46335">
      <w:r>
        <w:t>As a result,</w:t>
      </w:r>
      <w:r w:rsidR="00C32546">
        <w:t xml:space="preserve"> we have:</w:t>
      </w:r>
    </w:p>
    <w:p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A0671C">
        <w:t>.</w:t>
      </w:r>
    </w:p>
    <w:p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2.2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proofErr w:type="gramStart"/>
      <w:r w:rsidR="00964FFA" w:rsidRPr="00A638FC">
        <w:rPr>
          <w:i/>
        </w:rPr>
        <w:t>Q</w:t>
      </w:r>
      <w:r w:rsidR="00964FFA">
        <w:t>(</w:t>
      </w:r>
      <w:proofErr w:type="gramEnd"/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:rsidR="00B71007" w:rsidRDefault="00B71007" w:rsidP="00E4485F">
      <w:pPr>
        <w:ind w:firstLine="360"/>
      </w:pPr>
      <w:r>
        <w:lastRenderedPageBreak/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with regard to EM1, the convergence matrix of EM1 is not changed.</w:t>
      </w:r>
    </w:p>
    <w:p w:rsidR="003F0FF5" w:rsidRDefault="004B2B1E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4B2B1E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:rsidR="00544FDF" w:rsidRDefault="00640BDE" w:rsidP="00544FDF">
      <w:pPr>
        <w:ind w:firstLine="360"/>
      </w:pPr>
      <w:r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Pr="00394601" w:rsidRDefault="004B2B1E" w:rsidP="0066093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750D65" w:rsidRDefault="00750D65" w:rsidP="0066093A">
            <w:r>
              <w:t>Where,</w:t>
            </w:r>
          </w:p>
          <w:p w:rsidR="00750D65" w:rsidRDefault="004B2B1E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:rsidR="00E215FC" w:rsidRPr="00E215FC" w:rsidRDefault="004B2B1E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:rsidR="00C96516" w:rsidRPr="00C96516" w:rsidRDefault="004B2B1E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:rsidR="00890151" w:rsidRDefault="004B2B1E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:rsidR="006221D1" w:rsidRDefault="00F52E5A" w:rsidP="003F729B">
      <w:proofErr w:type="gramStart"/>
      <w:r>
        <w:t>In order to</w:t>
      </w:r>
      <w:proofErr w:type="gramEnd"/>
      <w:r>
        <w:t xml:space="preserve">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:rsidR="006221D1" w:rsidRDefault="004B2B1E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:rsidR="006221D1" w:rsidRDefault="006221D1" w:rsidP="003F729B">
      <w:r>
        <w:t>This means:</w:t>
      </w:r>
    </w:p>
    <w:p w:rsidR="003446E9" w:rsidRPr="00394601" w:rsidRDefault="004B2B1E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:rsidTr="00FB14AB">
        <w:trPr>
          <w:jc w:val="center"/>
        </w:trPr>
        <w:tc>
          <w:tcPr>
            <w:tcW w:w="0" w:type="auto"/>
          </w:tcPr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>.</w:t>
            </w:r>
          </w:p>
          <w:p w:rsidR="00836935" w:rsidRDefault="00836935" w:rsidP="00FB14AB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836935" w:rsidRDefault="00836935" w:rsidP="00FB14A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:rsidTr="00A61791">
              <w:tc>
                <w:tcPr>
                  <w:tcW w:w="4514" w:type="pct"/>
                </w:tcPr>
                <w:p w:rsidR="00836935" w:rsidRDefault="004B2B1E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836935" w:rsidRDefault="00836935" w:rsidP="00FB14AB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:rsidTr="006D5D81">
              <w:tc>
                <w:tcPr>
                  <w:tcW w:w="4597" w:type="pct"/>
                </w:tcPr>
                <w:p w:rsidR="000C040E" w:rsidRDefault="004B2B1E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:rsidR="000C040E" w:rsidRPr="00E44317" w:rsidRDefault="004B2B1E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F95447" w:rsidRDefault="00F95447" w:rsidP="00F95447">
      <w:r>
        <w:t>Due to:</w:t>
      </w:r>
    </w:p>
    <w:p w:rsidR="00F95447" w:rsidRDefault="004B2B1E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:rsidR="00F95447" w:rsidRDefault="000216D3" w:rsidP="00F95447">
      <w:r>
        <w:t>As a result, w</w:t>
      </w:r>
      <w:r w:rsidR="00F95447">
        <w:t>e have:</w:t>
      </w:r>
    </w:p>
    <w:p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definite.</w:t>
      </w:r>
    </w:p>
    <w:p w:rsidR="000C040E" w:rsidRPr="000C040E" w:rsidRDefault="000C040E" w:rsidP="000C040E">
      <w:pPr>
        <w:ind w:firstLine="360"/>
      </w:pPr>
      <w:r>
        <w:t xml:space="preserve">It is not easy to solve the maximization problem with regard to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:rsidTr="00613A5E">
        <w:tc>
          <w:tcPr>
            <w:tcW w:w="8380" w:type="dxa"/>
            <w:vAlign w:val="center"/>
          </w:tcPr>
          <w:p w:rsidR="000C040E" w:rsidRDefault="004B2B1E" w:rsidP="00613A5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:rsidR="005E0EEA" w:rsidRDefault="000C040E" w:rsidP="0067588F">
      <w:r>
        <w:t xml:space="preserve">Where |.| denotes length </w:t>
      </w:r>
      <w:r w:rsidR="006C3EA8">
        <w:t xml:space="preserve">or module </w:t>
      </w:r>
      <w:r>
        <w:t>of vector.</w:t>
      </w:r>
    </w:p>
    <w:p w:rsidR="000C040E" w:rsidRDefault="000C040E" w:rsidP="0067588F"/>
    <w:p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</w:p>
    <w:p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Default="004B2B1E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:rsidR="00E620C7" w:rsidRPr="00E620C7" w:rsidRDefault="004B2B1E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:rsidR="00E620C7" w:rsidRPr="00BA1AE3" w:rsidRDefault="004B2B1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4B2B1E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C86FD2" w:rsidRPr="00C86FD2" w:rsidRDefault="00EE64C6" w:rsidP="0067588F">
      <w:r>
        <w:t>A</w:t>
      </w:r>
      <w:r w:rsidR="00C86FD2">
        <w:t>nd</w:t>
      </w:r>
    </w:p>
    <w:p w:rsidR="00C86FD2" w:rsidRDefault="004B2B1E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proofErr w:type="gramStart"/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4B2B1E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:rsidR="00EE64C6" w:rsidRDefault="00EE64C6" w:rsidP="00EE64C6">
      <w:r>
        <w:t>Where,</w:t>
      </w:r>
    </w:p>
    <w:p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:rsidR="00816053" w:rsidRDefault="004B2B1E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:rsidTr="0066093A">
        <w:trPr>
          <w:jc w:val="center"/>
        </w:trPr>
        <w:tc>
          <w:tcPr>
            <w:tcW w:w="0" w:type="auto"/>
          </w:tcPr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A85B1F" w:rsidRPr="00A85B1F" w:rsidRDefault="00A85B1F" w:rsidP="0066093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C518FC">
              <w:t>6</w:t>
            </w:r>
            <w:r>
              <w:t xml:space="preserve">. Note that </w:t>
            </w:r>
            <w:r w:rsidRPr="00A85B1F">
              <w:rPr>
                <w:i/>
              </w:rPr>
              <w:t>t</w:t>
            </w:r>
            <w:r>
              <w:t xml:space="preserve"> = 1, 2, </w:t>
            </w:r>
            <w:proofErr w:type="gramStart"/>
            <w:r>
              <w:t>3,…</w:t>
            </w:r>
            <w:proofErr w:type="gramEnd"/>
            <w:r>
              <w:t xml:space="preserve">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:rsidR="00A85B1F" w:rsidRDefault="00A85B1F" w:rsidP="0066093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:rsidR="00252679" w:rsidRDefault="004B2B1E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</w:t>
            </w:r>
            <w:proofErr w:type="gramStart"/>
            <w:r>
              <w:t>stops</w:t>
            </w:r>
            <w:proofErr w:type="gramEnd"/>
            <w:r>
              <w:t xml:space="preserve">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</w:t>
      </w: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:rsidTr="00A149BF">
        <w:tc>
          <w:tcPr>
            <w:tcW w:w="8380" w:type="dxa"/>
            <w:vAlign w:val="center"/>
          </w:tcPr>
          <w:p w:rsidR="00750D65" w:rsidRDefault="004B2B1E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:rsidR="008002B8" w:rsidRDefault="008002B8" w:rsidP="0067588F"/>
    <w:p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</w:p>
    <w:p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:rsidTr="00A149BF">
        <w:tc>
          <w:tcPr>
            <w:tcW w:w="4644" w:type="pct"/>
          </w:tcPr>
          <w:p w:rsidR="00A662A7" w:rsidRDefault="00A662A7" w:rsidP="00FC45C7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sufficient enough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proofErr w:type="gramStart"/>
      <w:r w:rsidR="00A86377" w:rsidRPr="007977BE">
        <w:rPr>
          <w:i/>
        </w:rPr>
        <w:t>Q</w:t>
      </w:r>
      <w:r w:rsidR="00A86377">
        <w:t>(</w:t>
      </w:r>
      <w:proofErr w:type="gramEnd"/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:rsidTr="00FC45C7">
        <w:trPr>
          <w:jc w:val="center"/>
        </w:trPr>
        <w:tc>
          <w:tcPr>
            <w:tcW w:w="0" w:type="auto"/>
          </w:tcPr>
          <w:p w:rsidR="009563CE" w:rsidRDefault="009563CE" w:rsidP="00FC45C7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9563CE" w:rsidRPr="00A85B1F" w:rsidRDefault="009563CE" w:rsidP="00FC45C7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9563CE" w:rsidRDefault="009563CE" w:rsidP="00FC45C7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:rsidR="009563CE" w:rsidRDefault="009563CE" w:rsidP="00FC45C7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2,…,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:rsidTr="00A149BF">
              <w:tc>
                <w:tcPr>
                  <w:tcW w:w="4604" w:type="pct"/>
                </w:tcPr>
                <w:p w:rsidR="00A8724F" w:rsidRDefault="004B2B1E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:rsidR="009563CE" w:rsidRDefault="009563CE" w:rsidP="00FC45C7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:rsidTr="00A149BF">
              <w:tc>
                <w:tcPr>
                  <w:tcW w:w="4606" w:type="pct"/>
                </w:tcPr>
                <w:p w:rsidR="009348BE" w:rsidRDefault="004B2B1E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equations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</w:p>
    <w:p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equations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:rsidR="0080362B" w:rsidRDefault="0080362B" w:rsidP="00F97A1B"/>
    <w:p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</w:p>
    <w:p w:rsidR="00774C59" w:rsidRDefault="00774C59" w:rsidP="0067588F"/>
    <w:p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</w:p>
    <w:p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{1, </w:t>
      </w:r>
      <w:proofErr w:type="gramStart"/>
      <w:r>
        <w:rPr>
          <w:szCs w:val="24"/>
        </w:rPr>
        <w:t>2,..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mixture model</w:t>
      </w:r>
      <w:r>
        <w:rPr>
          <w:szCs w:val="24"/>
        </w:rPr>
        <w:t xml:space="preserve"> is represented by the </w:t>
      </w:r>
      <w:r w:rsidR="003C1C4F">
        <w:rPr>
          <w:szCs w:val="24"/>
        </w:rPr>
        <w:t>probability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5.1.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254B9C">
        <w:tc>
          <w:tcPr>
            <w:tcW w:w="4625" w:type="pct"/>
          </w:tcPr>
          <w:p w:rsidR="00254B9C" w:rsidRDefault="003C1C4F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(5.1)</w:t>
            </w:r>
          </w:p>
        </w:tc>
      </w:tr>
    </w:tbl>
    <w:p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:rsidR="003E71B1" w:rsidRDefault="004B2B1E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Ψ=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the </w:t>
      </w:r>
      <w:r w:rsidR="003C1C4F">
        <w:rPr>
          <w:szCs w:val="24"/>
        </w:rPr>
        <w:t>probability</w:t>
      </w:r>
      <w:r w:rsidR="001514F5">
        <w:rPr>
          <w:szCs w:val="24"/>
        </w:rPr>
        <w:t xml:space="preserve"> </w:t>
      </w:r>
      <w:r w:rsidR="001514F5" w:rsidRPr="001514F5">
        <w:rPr>
          <w:i/>
          <w:szCs w:val="24"/>
        </w:rPr>
        <w:t>P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1514F5">
        <w:rPr>
          <w:rFonts w:cs="Times New Roman"/>
          <w:szCs w:val="24"/>
        </w:rPr>
        <w:t>Ψ</w:t>
      </w:r>
      <w:r w:rsidR="001514F5">
        <w:rPr>
          <w:szCs w:val="24"/>
        </w:rPr>
        <w:t xml:space="preserve">). </w:t>
      </w:r>
      <w:r w:rsidR="00254B9C">
        <w:rPr>
          <w:szCs w:val="24"/>
        </w:rPr>
        <w:t xml:space="preserve">Each </w:t>
      </w:r>
      <w:r w:rsidR="003C1C4F">
        <w:rPr>
          <w:i/>
          <w:szCs w:val="24"/>
        </w:rPr>
        <w:t>P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(</w:t>
      </w:r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254B9C">
        <w:rPr>
          <w:rFonts w:cs="Times New Roman"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probability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r w:rsidR="00254B9C">
        <w:rPr>
          <w:rFonts w:cs="Times New Roman"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r w:rsidR="00254B9C">
        <w:rPr>
          <w:szCs w:val="24"/>
        </w:rPr>
        <w:t>. 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probability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5.2.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254B9C">
        <w:tc>
          <w:tcPr>
            <w:tcW w:w="4625" w:type="pct"/>
          </w:tcPr>
          <w:p w:rsidR="00254B9C" w:rsidRDefault="004B2B1E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:rsidR="00254B9C" w:rsidRDefault="00254B9C" w:rsidP="00313763">
            <w:pPr>
              <w:jc w:val="right"/>
            </w:pPr>
            <w:r>
              <w:t>(5.2)</w:t>
            </w:r>
          </w:p>
        </w:tc>
      </w:tr>
    </w:tbl>
    <w:p w:rsidR="003E71B1" w:rsidRDefault="00254B9C" w:rsidP="00254B9C">
      <w:pPr>
        <w:rPr>
          <w:szCs w:val="24"/>
        </w:rPr>
      </w:pPr>
      <w:r>
        <w:rPr>
          <w:szCs w:val="24"/>
        </w:rPr>
        <w:t xml:space="preserve">From equation 5.1,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>
        <w:rPr>
          <w:i/>
          <w:szCs w:val="24"/>
        </w:rPr>
        <w:t>P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Ψ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probabilities.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probability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3E71B1">
        <w:rPr>
          <w:rFonts w:cs="Times New Roman"/>
          <w:szCs w:val="24"/>
        </w:rPr>
        <w:t>Ψ.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44" w:type="pct"/>
          </w:tcPr>
          <w:p w:rsidR="003E71B1" w:rsidRDefault="004B2B1E" w:rsidP="003137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(5.3)</w:t>
            </w:r>
          </w:p>
        </w:tc>
      </w:tr>
    </w:tbl>
    <w:p w:rsidR="00254B9C" w:rsidRPr="003E71B1" w:rsidRDefault="003E71B1" w:rsidP="0067588F">
      <w:r>
        <w:t xml:space="preserve">The joint probability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partial probability of </w:t>
      </w:r>
      <w:r>
        <w:rPr>
          <w:i/>
          <w:szCs w:val="24"/>
        </w:rPr>
        <w:t>Y</w:t>
      </w:r>
      <w:r>
        <w:rPr>
          <w:szCs w:val="24"/>
        </w:rPr>
        <w:t>, as seen in equation 5.4.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44" w:type="pct"/>
          </w:tcPr>
          <w:p w:rsidR="003E71B1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:rsidR="003E71B1" w:rsidRDefault="003E71B1" w:rsidP="00313763">
            <w:pPr>
              <w:jc w:val="right"/>
            </w:pPr>
            <w:r>
              <w:t>(5.4)</w:t>
            </w:r>
          </w:p>
        </w:tc>
      </w:tr>
    </w:tbl>
    <w:p w:rsidR="00254B9C" w:rsidRDefault="003E71B1" w:rsidP="0067588F">
      <w:r>
        <w:t>This implies: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3E71B1" w:rsidTr="00313763">
        <w:tc>
          <w:tcPr>
            <w:tcW w:w="4625" w:type="pct"/>
          </w:tcPr>
          <w:p w:rsidR="003E71B1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:rsidR="003E71B1" w:rsidRDefault="003E71B1" w:rsidP="00313763">
            <w:pPr>
              <w:jc w:val="right"/>
            </w:pPr>
            <w:r>
              <w:t>(5.5)</w:t>
            </w:r>
          </w:p>
        </w:tc>
      </w:tr>
    </w:tbl>
    <w:p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30"/>
        <w:gridCol w:w="676"/>
      </w:tblGrid>
      <w:tr w:rsidR="00254B9C" w:rsidTr="00313763">
        <w:tc>
          <w:tcPr>
            <w:tcW w:w="4644" w:type="pct"/>
          </w:tcPr>
          <w:p w:rsidR="00254B9C" w:rsidRDefault="003E71B1" w:rsidP="00313763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Ψ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:rsidR="00254B9C" w:rsidRDefault="00254B9C" w:rsidP="00313763">
            <w:pPr>
              <w:jc w:val="right"/>
            </w:pPr>
            <w:r>
              <w:t>(5.</w:t>
            </w:r>
            <w:r w:rsidR="003E71B1">
              <w:t>6</w:t>
            </w:r>
            <w:r>
              <w:t>)</w:t>
            </w:r>
          </w:p>
        </w:tc>
      </w:tr>
    </w:tbl>
    <w:p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Ψ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80362B" w:rsidRDefault="00716416" w:rsidP="0067588F">
      <w:r>
        <w:t>Applying equations 5.3 and 5.4, we have:</w:t>
      </w:r>
    </w:p>
    <w:p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Ψ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716416" w:rsidRDefault="006510C4" w:rsidP="0067588F">
      <w:r>
        <w:t>In other words, equation 5.6 is established</w:t>
      </w:r>
      <w:r>
        <w:rPr>
          <w:rFonts w:cs="Times New Roman"/>
        </w:rPr>
        <w:t>■</w:t>
      </w:r>
    </w:p>
    <w:p w:rsidR="006C2B96" w:rsidRDefault="006C2B96" w:rsidP="00FD422B">
      <w:pPr>
        <w:ind w:firstLine="360"/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510C4" w:rsidRDefault="00E61CF0" w:rsidP="00FD422B">
      <w:pPr>
        <w:ind w:firstLine="360"/>
      </w:pPr>
      <w:r>
        <w:t xml:space="preserve">Suppose </w:t>
      </w:r>
      <w:r w:rsidRPr="00E61CF0">
        <w:rPr>
          <w:b/>
          <w:i/>
        </w:rPr>
        <w:t>X</w:t>
      </w:r>
      <w:r>
        <w:t xml:space="preserve"> and </w:t>
      </w:r>
      <w:r w:rsidRPr="00E61CF0">
        <w:rPr>
          <w:b/>
          <w:i/>
        </w:rPr>
        <w:t>Y</w:t>
      </w:r>
      <w:r>
        <w:t xml:space="preserve"> are discretized as statistical samples of size </w:t>
      </w:r>
      <w:r w:rsidRPr="00E61CF0">
        <w:rPr>
          <w:i/>
        </w:rPr>
        <w:t>N</w:t>
      </w:r>
      <w:r>
        <w:t xml:space="preserve"> such that </w:t>
      </w:r>
      <w:r w:rsidRPr="00E61CF0">
        <w:rPr>
          <w:i/>
        </w:rPr>
        <w:t>X</w:t>
      </w:r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and </w:t>
      </w:r>
      <w:r w:rsidRPr="00E61CF0">
        <w:rPr>
          <w:i/>
        </w:rPr>
        <w:t>Y</w:t>
      </w:r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}. Note,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iid</w:t>
      </w:r>
      <w:proofErr w:type="spellEnd"/>
      <w:r>
        <w:t xml:space="preserve">) with </w:t>
      </w:r>
      <w:r w:rsidRPr="00E61CF0">
        <w:rPr>
          <w:i/>
        </w:rPr>
        <w:t>X</w:t>
      </w:r>
      <w:r>
        <w:t xml:space="preserve"> and all </w:t>
      </w:r>
      <w:r>
        <w:rPr>
          <w:i/>
        </w:rPr>
        <w:t>Y</w:t>
      </w:r>
      <w:r w:rsidRPr="00E61CF0">
        <w:rPr>
          <w:i/>
          <w:vertAlign w:val="subscript"/>
        </w:rPr>
        <w:t>i</w:t>
      </w:r>
      <w:r>
        <w:t xml:space="preserve"> (s) are i</w:t>
      </w:r>
      <w:r w:rsidRPr="00E61CF0">
        <w:t>ndependent and identically distributed</w:t>
      </w:r>
      <w:r>
        <w:t xml:space="preserve"> (</w:t>
      </w:r>
      <w:proofErr w:type="spellStart"/>
      <w:r>
        <w:t>i.i.d</w:t>
      </w:r>
      <w:proofErr w:type="spellEnd"/>
      <w:r>
        <w:t xml:space="preserve">.) with </w:t>
      </w:r>
      <w:r>
        <w:rPr>
          <w:i/>
        </w:rPr>
        <w:t>Y</w:t>
      </w:r>
      <w:r>
        <w:t>.</w:t>
      </w:r>
      <w:r w:rsidR="00FD422B">
        <w:t xml:space="preserve"> Moreover, all pairs (</w:t>
      </w:r>
      <w:r w:rsidR="00FD422B" w:rsidRPr="00FD422B">
        <w:rPr>
          <w:i/>
        </w:rPr>
        <w:t>X</w:t>
      </w:r>
      <w:r w:rsidR="00FD422B" w:rsidRPr="00FD422B">
        <w:rPr>
          <w:i/>
          <w:vertAlign w:val="subscript"/>
        </w:rPr>
        <w:t>i</w:t>
      </w:r>
      <w:r w:rsidR="00FD422B">
        <w:t xml:space="preserve">, </w:t>
      </w:r>
      <w:r w:rsidR="00FD422B" w:rsidRPr="00FD422B">
        <w:rPr>
          <w:i/>
        </w:rPr>
        <w:t>Y</w:t>
      </w:r>
      <w:r w:rsidR="00FD422B" w:rsidRPr="00FD422B">
        <w:rPr>
          <w:i/>
          <w:vertAlign w:val="subscript"/>
        </w:rPr>
        <w:t>i</w:t>
      </w:r>
      <w:r w:rsidR="00FD422B">
        <w:t>) are mutually independent.</w:t>
      </w:r>
    </w:p>
    <w:p w:rsidR="00E61CF0" w:rsidRDefault="00E61CF0" w:rsidP="0067588F"/>
    <w:p w:rsidR="001514F5" w:rsidRDefault="001514F5" w:rsidP="0067588F">
      <w:pPr>
        <w:rPr>
          <w:szCs w:val="24"/>
        </w:rPr>
      </w:pPr>
      <w:r>
        <w:rPr>
          <w:szCs w:val="24"/>
        </w:rPr>
        <w:t xml:space="preserve">Now EM algorithm is applied into mixture model for estimating the parameter </w:t>
      </w:r>
      <w:r>
        <w:rPr>
          <w:rFonts w:cs="Times New Roman"/>
          <w:szCs w:val="24"/>
        </w:rPr>
        <w:t>Ψ</w:t>
      </w:r>
      <w:r>
        <w:rPr>
          <w:szCs w:val="24"/>
        </w:rPr>
        <w:t xml:space="preserve">. In E-step, it is necessary to calculate </w:t>
      </w:r>
      <w:r w:rsidRPr="001514F5">
        <w:rPr>
          <w:i/>
          <w:szCs w:val="24"/>
        </w:rPr>
        <w:t>Q</w:t>
      </w:r>
      <w:r>
        <w:rPr>
          <w:szCs w:val="24"/>
        </w:rPr>
        <w:t>(</w:t>
      </w:r>
      <w:r>
        <w:rPr>
          <w:rFonts w:cs="Times New Roman"/>
          <w:szCs w:val="24"/>
        </w:rPr>
        <w:t>Ψ</w:t>
      </w:r>
      <w:r>
        <w:rPr>
          <w:szCs w:val="24"/>
        </w:rPr>
        <w:t>|</w:t>
      </w:r>
      <w:r>
        <w:rPr>
          <w:rFonts w:cs="Times New Roman"/>
          <w:szCs w:val="24"/>
        </w:rPr>
        <w:t>Ψ</w:t>
      </w:r>
      <w:r w:rsidRPr="001514F5">
        <w:rPr>
          <w:szCs w:val="24"/>
          <w:vertAlign w:val="superscript"/>
        </w:rPr>
        <w:t>(</w:t>
      </w:r>
      <w:r w:rsidRPr="001514F5">
        <w:rPr>
          <w:i/>
          <w:szCs w:val="24"/>
          <w:vertAlign w:val="superscript"/>
        </w:rPr>
        <w:t>t</w:t>
      </w:r>
      <w:r w:rsidRPr="001514F5">
        <w:rPr>
          <w:szCs w:val="24"/>
          <w:vertAlign w:val="superscript"/>
        </w:rPr>
        <w:t>)</w:t>
      </w:r>
      <w:r>
        <w:rPr>
          <w:szCs w:val="24"/>
        </w:rPr>
        <w:t>)</w:t>
      </w:r>
      <w:r w:rsidR="00D61691">
        <w:rPr>
          <w:szCs w:val="24"/>
        </w:rPr>
        <w:t xml:space="preserve"> according to equation 2.</w:t>
      </w:r>
      <w:r w:rsidR="00595DA4">
        <w:rPr>
          <w:szCs w:val="24"/>
        </w:rPr>
        <w:t>9</w:t>
      </w:r>
      <w:r w:rsidR="00D61691">
        <w:rPr>
          <w:szCs w:val="24"/>
        </w:rPr>
        <w:t xml:space="preserve"> when there is no explicit mapping </w:t>
      </w:r>
      <w:r w:rsidR="00595DA4">
        <w:rPr>
          <w:szCs w:val="24"/>
        </w:rPr>
        <w:t>from</w:t>
      </w:r>
      <w:r w:rsidR="00D61691">
        <w:rPr>
          <w:szCs w:val="24"/>
        </w:rPr>
        <w:t xml:space="preserve"> </w:t>
      </w:r>
      <w:r w:rsidR="00D61691" w:rsidRPr="00595DA4">
        <w:rPr>
          <w:b/>
          <w:i/>
          <w:szCs w:val="24"/>
        </w:rPr>
        <w:t>X</w:t>
      </w:r>
      <w:r w:rsidR="00D61691">
        <w:rPr>
          <w:szCs w:val="24"/>
        </w:rPr>
        <w:t xml:space="preserve"> </w:t>
      </w:r>
      <w:r w:rsidR="00595DA4">
        <w:rPr>
          <w:szCs w:val="24"/>
        </w:rPr>
        <w:t>to</w:t>
      </w:r>
      <w:r w:rsidR="00D61691">
        <w:rPr>
          <w:szCs w:val="24"/>
        </w:rPr>
        <w:t xml:space="preserve"> </w:t>
      </w:r>
      <w:r w:rsidR="00D61691" w:rsidRPr="00595DA4">
        <w:rPr>
          <w:b/>
          <w:i/>
          <w:szCs w:val="24"/>
        </w:rPr>
        <w:t>Y</w:t>
      </w:r>
      <w:r w:rsidR="00D61691">
        <w:rPr>
          <w:szCs w:val="24"/>
        </w:rPr>
        <w:t xml:space="preserve"> but there exists the joint </w:t>
      </w:r>
      <w:r w:rsidR="00595DA4">
        <w:rPr>
          <w:szCs w:val="24"/>
        </w:rPr>
        <w:t>probability</w:t>
      </w:r>
      <w:r w:rsidR="00D61691">
        <w:rPr>
          <w:szCs w:val="24"/>
        </w:rPr>
        <w:t xml:space="preserve"> </w:t>
      </w:r>
      <w:proofErr w:type="gramStart"/>
      <w:r w:rsidR="00595DA4" w:rsidRPr="00595DA4">
        <w:rPr>
          <w:i/>
          <w:szCs w:val="24"/>
        </w:rPr>
        <w:t>P</w:t>
      </w:r>
      <w:r w:rsidR="00D61691">
        <w:rPr>
          <w:szCs w:val="24"/>
        </w:rPr>
        <w:t>(</w:t>
      </w:r>
      <w:proofErr w:type="gramEnd"/>
      <w:r w:rsidR="00595DA4" w:rsidRPr="00595DA4">
        <w:rPr>
          <w:i/>
          <w:szCs w:val="24"/>
        </w:rPr>
        <w:t>X</w:t>
      </w:r>
      <w:r w:rsidR="00595DA4">
        <w:rPr>
          <w:szCs w:val="24"/>
        </w:rPr>
        <w:t xml:space="preserve">, </w:t>
      </w:r>
      <w:r w:rsidR="00595DA4" w:rsidRPr="00595DA4">
        <w:rPr>
          <w:i/>
          <w:szCs w:val="24"/>
        </w:rPr>
        <w:t>Y</w:t>
      </w:r>
      <w:r w:rsidR="00595DA4">
        <w:rPr>
          <w:szCs w:val="24"/>
        </w:rPr>
        <w:t>|</w:t>
      </w:r>
      <w:r w:rsidR="00595DA4">
        <w:rPr>
          <w:rFonts w:cs="Times New Roman"/>
          <w:szCs w:val="24"/>
        </w:rPr>
        <w:t>Ψ</w:t>
      </w:r>
      <w:r w:rsidR="00D61691">
        <w:rPr>
          <w:szCs w:val="24"/>
        </w:rPr>
        <w:t>)</w:t>
      </w:r>
      <w:r>
        <w:rPr>
          <w:szCs w:val="24"/>
        </w:rPr>
        <w:t>.</w:t>
      </w:r>
    </w:p>
    <w:p w:rsidR="001514F5" w:rsidRDefault="001514F5" w:rsidP="0067588F"/>
    <w:p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</w:p>
    <w:p w:rsidR="00707AE8" w:rsidRDefault="00707AE8" w:rsidP="0067588F">
      <w:pPr>
        <w:rPr>
          <w:rFonts w:cs="Times New Roman"/>
        </w:rPr>
      </w:pPr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>. However, it is too difficult to maximize</w:t>
      </w:r>
      <w:r w:rsidRPr="00707AE8">
        <w:t xml:space="preserve"> </w:t>
      </w:r>
      <w:proofErr w:type="gramStart"/>
      <w:r>
        <w:t>log(</w:t>
      </w:r>
      <w:proofErr w:type="gramEnd"/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because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not well-defined when 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integral of </w:t>
      </w:r>
      <w:r w:rsidRPr="00707AE8">
        <w:rPr>
          <w:i/>
        </w:rPr>
        <w:t>f</w:t>
      </w:r>
      <w:r>
        <w:t>(</w:t>
      </w:r>
      <w:r w:rsidRPr="00707AE8">
        <w:rPr>
          <w:i/>
        </w:rPr>
        <w:t>X</w:t>
      </w:r>
      <w:r>
        <w:t xml:space="preserve"> | </w:t>
      </w:r>
      <w:r>
        <w:rPr>
          <w:rFonts w:cs="Times New Roman"/>
        </w:rPr>
        <w:t xml:space="preserve">Θ) given a general mapping function. DLR solved this problem by an iterative process which 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4A1BF8">
            <w:rPr>
              <w:rFonts w:cs="Times New Roman"/>
            </w:rPr>
            <w:fldChar w:fldCharType="begin"/>
          </w:r>
          <w:r w:rsidR="004A1BF8">
            <w:rPr>
              <w:rFonts w:cs="Times New Roman"/>
            </w:rPr>
            <w:instrText xml:space="preserve">CITATION Sean2009 \p 7-8 \l 1033 </w:instrText>
          </w:r>
          <w:r w:rsidR="004A1BF8">
            <w:rPr>
              <w:rFonts w:cs="Times New Roman"/>
            </w:rPr>
            <w:fldChar w:fldCharType="separate"/>
          </w:r>
          <w:r w:rsidR="004A1BF8" w:rsidRPr="004A1BF8">
            <w:rPr>
              <w:rFonts w:cs="Times New Roman"/>
              <w:noProof/>
            </w:rPr>
            <w:t>(Sean, 2009, pp. 7-8)</w:t>
          </w:r>
          <w:r w:rsidR="004A1BF8">
            <w:rPr>
              <w:rFonts w:cs="Times New Roman"/>
            </w:rPr>
            <w:fldChar w:fldCharType="end"/>
          </w:r>
        </w:sdtContent>
      </w:sdt>
      <w:r w:rsidR="004A1BF8">
        <w:rPr>
          <w:rFonts w:cs="Times New Roman"/>
        </w:rPr>
        <w:t xml:space="preserve"> </w:t>
      </w:r>
      <w:r>
        <w:rPr>
          <w:rFonts w:cs="Times New Roman"/>
        </w:rPr>
        <w:t xml:space="preserve">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over many iterations of the iterative process so that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maximized finally. Such lower-bound is determined indirectly by the condition expectation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so that maximizing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>)</w:t>
      </w:r>
      <w:r w:rsidRPr="00DD413A">
        <w:rPr>
          <w:i/>
        </w:rPr>
        <w:t xml:space="preserve"> </w:t>
      </w:r>
      <w:r>
        <w:t>is the same to maximizing</w:t>
      </w:r>
      <w:r w:rsidRPr="00707AE8">
        <w:t xml:space="preserve"> the</w:t>
      </w:r>
      <w:r>
        <w:t xml:space="preserve"> lower bound. Suppose </w:t>
      </w:r>
      <w:r>
        <w:rPr>
          <w:rFonts w:cs="Times New Roman"/>
        </w:rPr>
        <w:t>Θ</w:t>
      </w:r>
      <w:r w:rsidRPr="00707AE8">
        <w:rPr>
          <w:vertAlign w:val="superscript"/>
        </w:rPr>
        <w:t>(</w:t>
      </w:r>
      <w:r w:rsidRPr="00707AE8">
        <w:rPr>
          <w:i/>
          <w:vertAlign w:val="superscript"/>
        </w:rPr>
        <w:t>t</w:t>
      </w:r>
      <w:r w:rsidRPr="00707AE8">
        <w:rPr>
          <w:vertAlign w:val="superscript"/>
        </w:rPr>
        <w:t>+1)</w:t>
      </w:r>
      <w:r>
        <w:t xml:space="preserve"> is a maximizer of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 xml:space="preserve">Θ | </w:t>
      </w:r>
      <w:r w:rsidR="000F1CEC">
        <w:rPr>
          <w:rFonts w:cs="Times New Roman"/>
        </w:rPr>
        <w:t>Θ</w:t>
      </w:r>
      <w:r w:rsidR="000F1CEC" w:rsidRPr="000F1CEC">
        <w:rPr>
          <w:rFonts w:cs="Times New Roman"/>
          <w:vertAlign w:val="superscript"/>
        </w:rPr>
        <w:t>(</w:t>
      </w:r>
      <w:r w:rsidR="000F1CEC" w:rsidRPr="000F1CEC">
        <w:rPr>
          <w:rFonts w:cs="Times New Roman"/>
          <w:i/>
          <w:vertAlign w:val="superscript"/>
        </w:rPr>
        <w:t>t</w:t>
      </w:r>
      <w:r w:rsidR="000F1CEC" w:rsidRPr="000F1CEC">
        <w:rPr>
          <w:rFonts w:cs="Times New Roman"/>
          <w:vertAlign w:val="superscript"/>
        </w:rPr>
        <w:t>)</w:t>
      </w:r>
      <w:r>
        <w:t xml:space="preserve">)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iteration, which is also a maximizer of the lower bound at </w:t>
      </w:r>
      <w:proofErr w:type="spellStart"/>
      <w:r w:rsidRPr="00707AE8">
        <w:rPr>
          <w:i/>
        </w:rPr>
        <w:t>t</w:t>
      </w:r>
      <w:r w:rsidRPr="00707AE8">
        <w:rPr>
          <w:vertAlign w:val="superscript"/>
        </w:rPr>
        <w:t>th</w:t>
      </w:r>
      <w:proofErr w:type="spellEnd"/>
      <w:r>
        <w:t xml:space="preserve"> iteration. </w:t>
      </w:r>
      <w:r w:rsidR="00E13858">
        <w:t xml:space="preserve">The lower bound is increased after every iteration. </w:t>
      </w:r>
      <w:r w:rsidR="005574DC">
        <w:t>As a result, t</w:t>
      </w:r>
      <w:r>
        <w:t xml:space="preserve">he maximizer </w:t>
      </w:r>
      <w:r>
        <w:rPr>
          <w:rFonts w:cs="Times New Roman"/>
        </w:rPr>
        <w:t>Θ</w:t>
      </w:r>
      <w:r w:rsidRPr="00707AE8">
        <w:rPr>
          <w:i/>
          <w:vertAlign w:val="superscript"/>
        </w:rPr>
        <w:t>*</w:t>
      </w:r>
      <w:r>
        <w:t xml:space="preserve"> of the </w:t>
      </w:r>
      <w:r w:rsidR="00E13858">
        <w:t xml:space="preserve">final </w:t>
      </w:r>
      <w:r>
        <w:t xml:space="preserve">lower-bound after many iterations will be </w:t>
      </w:r>
      <w:r w:rsidR="00AA1FD2">
        <w:t>expected as a</w:t>
      </w:r>
      <w:r>
        <w:t xml:space="preserve"> maximizer of </w:t>
      </w:r>
      <w:r w:rsidRPr="00707AE8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  <w:r w:rsidR="00502A63">
        <w:t xml:space="preserve"> in final</w:t>
      </w:r>
      <w:r>
        <w:t>.</w:t>
      </w:r>
    </w:p>
    <w:p w:rsidR="00707AE8" w:rsidRDefault="000F1CEC" w:rsidP="000F1CEC">
      <w:pPr>
        <w:ind w:firstLine="360"/>
      </w:pPr>
      <w:r>
        <w:t xml:space="preserve">For more explanations, let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 w:rsidR="006449CD">
        <w:t xml:space="preserve"> iteration</w:t>
      </w:r>
      <w:r w:rsidR="004A1BF8">
        <w:t xml:space="preserve"> </w:t>
      </w:r>
      <w:sdt>
        <w:sdtPr>
          <w:id w:val="393853110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6449CD">
        <w:t>. From equation 3.2, we have:</w:t>
      </w:r>
    </w:p>
    <w:p w:rsidR="000F1CEC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Due to equations 3.2 and 3.3</w:t>
      </w:r>
    </w:p>
    <w:p w:rsidR="006449CD" w:rsidRDefault="006449CD" w:rsidP="006449CD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449CD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6449CD" w:rsidRDefault="006449CD" w:rsidP="0067588F">
      <w:r>
        <w:t>We have:</w:t>
      </w:r>
    </w:p>
    <w:p w:rsidR="006449CD" w:rsidRDefault="006449CD" w:rsidP="006449CD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:rsidR="00546B2E" w:rsidRDefault="00546B2E" w:rsidP="009669A5">
      <w:r>
        <w:t>The</w:t>
      </w:r>
      <w:r w:rsidR="009669A5">
        <w:t xml:space="preserve"> lower bound </w:t>
      </w:r>
      <w:proofErr w:type="spellStart"/>
      <w:proofErr w:type="gramStart"/>
      <w:r w:rsidR="009669A5" w:rsidRPr="000F1CEC">
        <w:rPr>
          <w:i/>
        </w:rPr>
        <w:t>lb</w:t>
      </w:r>
      <w:proofErr w:type="spellEnd"/>
      <w:r w:rsidR="009669A5">
        <w:t>(</w:t>
      </w:r>
      <w:proofErr w:type="gramEnd"/>
      <w:r w:rsidR="009669A5">
        <w:rPr>
          <w:rFonts w:cs="Times New Roman"/>
        </w:rPr>
        <w:t>Θ</w:t>
      </w:r>
      <w:r w:rsidR="009669A5">
        <w:t xml:space="preserve"> | </w:t>
      </w:r>
      <w:r w:rsidR="009669A5">
        <w:rPr>
          <w:rFonts w:cs="Times New Roman"/>
        </w:rPr>
        <w:t>Θ</w:t>
      </w:r>
      <w:r w:rsidR="009669A5" w:rsidRPr="000F1CEC">
        <w:rPr>
          <w:rFonts w:cs="Times New Roman"/>
          <w:vertAlign w:val="superscript"/>
        </w:rPr>
        <w:t>(</w:t>
      </w:r>
      <w:r w:rsidR="009669A5" w:rsidRPr="000F1CEC">
        <w:rPr>
          <w:rFonts w:cs="Times New Roman"/>
          <w:i/>
          <w:vertAlign w:val="superscript"/>
        </w:rPr>
        <w:t>t</w:t>
      </w:r>
      <w:r w:rsidR="009669A5" w:rsidRPr="000F1CEC">
        <w:rPr>
          <w:rFonts w:cs="Times New Roman"/>
          <w:vertAlign w:val="superscript"/>
        </w:rPr>
        <w:t>)</w:t>
      </w:r>
      <w:r w:rsidR="009669A5">
        <w:t>) has following property</w:t>
      </w:r>
      <w:r w:rsidR="004A1BF8">
        <w:t xml:space="preserve"> </w:t>
      </w:r>
      <w:sdt>
        <w:sdtPr>
          <w:id w:val="-908687776"/>
          <w:citation/>
        </w:sdtPr>
        <w:sdtEndPr/>
        <w:sdtContent>
          <w:r w:rsidR="004A1BF8">
            <w:fldChar w:fldCharType="begin"/>
          </w:r>
          <w:r w:rsidR="004A1BF8">
            <w:instrText xml:space="preserve">CITATION Sean2009 \p 7 \l 1033 </w:instrText>
          </w:r>
          <w:r w:rsidR="004A1BF8">
            <w:fldChar w:fldCharType="separate"/>
          </w:r>
          <w:r w:rsidR="004A1BF8">
            <w:rPr>
              <w:noProof/>
            </w:rPr>
            <w:t>(Sean, 2009, p. 7)</w:t>
          </w:r>
          <w:r w:rsidR="004A1BF8">
            <w:fldChar w:fldCharType="end"/>
          </w:r>
        </w:sdtContent>
      </w:sdt>
      <w:r w:rsidR="009669A5">
        <w:t>:</w:t>
      </w:r>
    </w:p>
    <w:p w:rsidR="009669A5" w:rsidRDefault="009669A5" w:rsidP="009669A5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:rsidR="009669A5" w:rsidRDefault="009669A5" w:rsidP="009669A5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as </w:t>
      </w:r>
      <w:r w:rsidR="001B71B1">
        <w:t xml:space="preserve">seen in table </w:t>
      </w:r>
      <w:r w:rsidR="0080362B">
        <w:t>6</w:t>
      </w:r>
      <w:r w:rsidR="001B71B1">
        <w:t>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Default="001B71B1" w:rsidP="001B71B1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:rsidR="001B71B1" w:rsidRDefault="001B71B1" w:rsidP="00772846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An interpretation of GEM with lower bound</w:t>
      </w:r>
    </w:p>
    <w:p w:rsidR="00BC50BC" w:rsidRDefault="000F1CEC" w:rsidP="0067588F">
      <w:r>
        <w:t xml:space="preserve">Because </w:t>
      </w:r>
      <w:proofErr w:type="gramStart"/>
      <w:r w:rsidR="00707AE8" w:rsidRPr="00DD413A">
        <w:rPr>
          <w:i/>
        </w:rPr>
        <w:t>Q</w:t>
      </w:r>
      <w:r w:rsidR="00707AE8">
        <w:t>(</w:t>
      </w:r>
      <w:proofErr w:type="gramEnd"/>
      <w:r w:rsidR="00707AE8">
        <w:rPr>
          <w:rFonts w:cs="Times New Roman"/>
        </w:rPr>
        <w:t>Θ</w:t>
      </w:r>
      <w:r w:rsidR="00707AE8"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 w:rsidR="00707AE8">
        <w:t>)</w:t>
      </w:r>
      <w:r>
        <w:t xml:space="preserve"> is defined fixedly in E-step, </w:t>
      </w:r>
      <w:r w:rsidR="00707AE8">
        <w:t xml:space="preserve">most variants of EM algorithm focus on how to maximize </w:t>
      </w:r>
      <w:r w:rsidR="00707AE8" w:rsidRPr="00DD413A">
        <w:rPr>
          <w:i/>
        </w:rPr>
        <w:t>Q</w:t>
      </w:r>
      <w:r w:rsidR="00707AE8">
        <w:t>(</w:t>
      </w:r>
      <w:r w:rsidR="00707AE8">
        <w:rPr>
          <w:rFonts w:cs="Times New Roman"/>
        </w:rPr>
        <w:t>Θ</w:t>
      </w:r>
      <w:r w:rsidR="00707AE8" w:rsidRPr="00DD413A">
        <w:rPr>
          <w:vertAlign w:val="superscript"/>
        </w:rPr>
        <w:t>’</w:t>
      </w:r>
      <w:r w:rsidR="00707AE8">
        <w:t xml:space="preserve"> | </w:t>
      </w:r>
      <w:r w:rsidR="00707AE8">
        <w:rPr>
          <w:rFonts w:cs="Times New Roman"/>
        </w:rPr>
        <w:t>Θ</w:t>
      </w:r>
      <w:r w:rsidR="00707AE8">
        <w:t>) in M-step more effectively so that EM is faster or more accurate.</w:t>
      </w:r>
    </w:p>
    <w:p w:rsidR="008C523E" w:rsidRDefault="00C25579" w:rsidP="00C25579">
      <w:pPr>
        <w:ind w:firstLine="360"/>
      </w:pPr>
      <w:r>
        <w:t xml:space="preserve">The convergence of GEM is based on the assumption that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r w:rsidR="008C523E" w:rsidRPr="00C25579">
        <w:rPr>
          <w:i/>
        </w:rPr>
        <w:t>f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C518FC">
        <w:t>6</w:t>
      </w:r>
      <w:r w:rsidR="008C523E">
        <w:t xml:space="preserve"> becomes</w:t>
      </w:r>
    </w:p>
    <w:p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:rsidR="00006AD6" w:rsidRDefault="00073618" w:rsidP="009068A7">
      <w:r>
        <w:lastRenderedPageBreak/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C25579">
        <w:rPr>
          <w:vertAlign w:val="superscript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r w:rsidR="00684AA0">
        <w:t xml:space="preserve">new </w:t>
      </w:r>
      <w:r w:rsidR="00006AD6">
        <w:t>best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:rsidTr="001B71B1">
        <w:trPr>
          <w:jc w:val="center"/>
        </w:trPr>
        <w:tc>
          <w:tcPr>
            <w:tcW w:w="0" w:type="auto"/>
          </w:tcPr>
          <w:p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C518FC">
              <w:t>6</w:t>
            </w:r>
            <w:r>
              <w:t>.</w:t>
            </w:r>
          </w:p>
          <w:p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4B2B1E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751" w:type="pct"/>
                </w:tcPr>
                <w:p w:rsidR="001B71B1" w:rsidRDefault="004B2B1E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 xml:space="preserve">best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:rsidTr="007E72FA">
              <w:tc>
                <w:tcPr>
                  <w:tcW w:w="4699" w:type="pct"/>
                </w:tcPr>
                <w:p w:rsidR="001B71B1" w:rsidRDefault="004B2B1E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:rsidR="001B71B1" w:rsidRDefault="001B71B1" w:rsidP="001B71B1">
      <w:pPr>
        <w:jc w:val="center"/>
      </w:pPr>
      <w:r w:rsidRPr="001B71B1">
        <w:rPr>
          <w:b/>
        </w:rPr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proofErr w:type="gramStart"/>
      <w:r w:rsidR="00915810" w:rsidRPr="00BC67A1">
        <w:rPr>
          <w:i/>
        </w:rPr>
        <w:t>Q</w:t>
      </w:r>
      <w:r w:rsidR="00915810">
        <w:t>(</w:t>
      </w:r>
      <w:proofErr w:type="gramEnd"/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in order to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lastRenderedPageBreak/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:rsidR="00707AE8" w:rsidRDefault="00707AE8" w:rsidP="0067588F"/>
    <w:p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:rsidR="00E25B91" w:rsidRDefault="00C77546" w:rsidP="00E25B91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25B91">
        <w:rPr>
          <w:noProof/>
        </w:rPr>
        <w:t xml:space="preserve">Ari, C., &amp; Aksoy, S. (2010). Maximum Likelihood Estimation of Gaussian Mixture Models Using Particle Swarm Optimization. </w:t>
      </w:r>
      <w:r w:rsidR="00E25B91">
        <w:rPr>
          <w:i/>
          <w:iCs/>
          <w:noProof/>
        </w:rPr>
        <w:t>The 20th International Conference on Pattern Recognition (ICPR 2010)</w:t>
      </w:r>
      <w:r w:rsidR="00E25B91">
        <w:rPr>
          <w:noProof/>
        </w:rPr>
        <w:t xml:space="preserve"> (pp. 746-749). Istanbul: IEEE. Retrieved February 21, 2018, from www.cs.bilkent.edu.tr/~saksoy/papers/icpr10_clustering.pdf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:rsidR="00E25B91" w:rsidRDefault="00E25B91" w:rsidP="00E25B91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:rsidR="007A37EB" w:rsidRDefault="00C77546" w:rsidP="00E25B91">
      <w:r>
        <w:fldChar w:fldCharType="end"/>
      </w:r>
    </w:p>
    <w:sectPr w:rsidR="007A37EB" w:rsidSect="0037547D">
      <w:footerReference w:type="default" r:id="rId8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B1E" w:rsidRDefault="004B2B1E" w:rsidP="00AB2049">
      <w:r>
        <w:separator/>
      </w:r>
    </w:p>
  </w:endnote>
  <w:endnote w:type="continuationSeparator" w:id="0">
    <w:p w:rsidR="004B2B1E" w:rsidRDefault="004B2B1E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3508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2049" w:rsidRDefault="00AB2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03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B2049" w:rsidRDefault="00AB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B1E" w:rsidRDefault="004B2B1E" w:rsidP="00AB2049">
      <w:r>
        <w:separator/>
      </w:r>
    </w:p>
  </w:footnote>
  <w:footnote w:type="continuationSeparator" w:id="0">
    <w:p w:rsidR="004B2B1E" w:rsidRDefault="004B2B1E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3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1038"/>
    <w:rsid w:val="00002B11"/>
    <w:rsid w:val="0000478E"/>
    <w:rsid w:val="00004BCB"/>
    <w:rsid w:val="000054C8"/>
    <w:rsid w:val="00005595"/>
    <w:rsid w:val="00006918"/>
    <w:rsid w:val="00006AD6"/>
    <w:rsid w:val="0001031E"/>
    <w:rsid w:val="000107D9"/>
    <w:rsid w:val="00011C74"/>
    <w:rsid w:val="00011DC2"/>
    <w:rsid w:val="00012C99"/>
    <w:rsid w:val="00012EDF"/>
    <w:rsid w:val="000138FB"/>
    <w:rsid w:val="00014CA6"/>
    <w:rsid w:val="000216D3"/>
    <w:rsid w:val="0002642C"/>
    <w:rsid w:val="000264F1"/>
    <w:rsid w:val="00026512"/>
    <w:rsid w:val="00027DC8"/>
    <w:rsid w:val="00030E38"/>
    <w:rsid w:val="00031A65"/>
    <w:rsid w:val="00031E6C"/>
    <w:rsid w:val="00036936"/>
    <w:rsid w:val="000423FE"/>
    <w:rsid w:val="0004274F"/>
    <w:rsid w:val="00044329"/>
    <w:rsid w:val="00044AE1"/>
    <w:rsid w:val="00044C10"/>
    <w:rsid w:val="00045DA7"/>
    <w:rsid w:val="00046029"/>
    <w:rsid w:val="000469D4"/>
    <w:rsid w:val="0005004F"/>
    <w:rsid w:val="0005094B"/>
    <w:rsid w:val="000527E7"/>
    <w:rsid w:val="000532E5"/>
    <w:rsid w:val="00060C58"/>
    <w:rsid w:val="0006414F"/>
    <w:rsid w:val="000642AE"/>
    <w:rsid w:val="000642CD"/>
    <w:rsid w:val="000656F9"/>
    <w:rsid w:val="00070613"/>
    <w:rsid w:val="00071EA6"/>
    <w:rsid w:val="00073495"/>
    <w:rsid w:val="00073618"/>
    <w:rsid w:val="0007457F"/>
    <w:rsid w:val="0007547F"/>
    <w:rsid w:val="00075CE5"/>
    <w:rsid w:val="00081A56"/>
    <w:rsid w:val="00084407"/>
    <w:rsid w:val="00087EF9"/>
    <w:rsid w:val="00087F65"/>
    <w:rsid w:val="00092D16"/>
    <w:rsid w:val="000977A0"/>
    <w:rsid w:val="000979B4"/>
    <w:rsid w:val="00097D69"/>
    <w:rsid w:val="000A31EB"/>
    <w:rsid w:val="000A4B3A"/>
    <w:rsid w:val="000B0BAA"/>
    <w:rsid w:val="000B2D38"/>
    <w:rsid w:val="000B3242"/>
    <w:rsid w:val="000B4AF0"/>
    <w:rsid w:val="000B6B08"/>
    <w:rsid w:val="000B7C75"/>
    <w:rsid w:val="000C040E"/>
    <w:rsid w:val="000C1E6F"/>
    <w:rsid w:val="000C2353"/>
    <w:rsid w:val="000C3792"/>
    <w:rsid w:val="000C4BC6"/>
    <w:rsid w:val="000C6591"/>
    <w:rsid w:val="000C6B58"/>
    <w:rsid w:val="000D021A"/>
    <w:rsid w:val="000D1F8E"/>
    <w:rsid w:val="000D2C81"/>
    <w:rsid w:val="000D35A3"/>
    <w:rsid w:val="000D500C"/>
    <w:rsid w:val="000D68F2"/>
    <w:rsid w:val="000D7168"/>
    <w:rsid w:val="000E3448"/>
    <w:rsid w:val="000E3E4E"/>
    <w:rsid w:val="000E6255"/>
    <w:rsid w:val="000E7776"/>
    <w:rsid w:val="000F1CEC"/>
    <w:rsid w:val="000F43EA"/>
    <w:rsid w:val="000F5897"/>
    <w:rsid w:val="000F6300"/>
    <w:rsid w:val="001049D2"/>
    <w:rsid w:val="00107892"/>
    <w:rsid w:val="00111985"/>
    <w:rsid w:val="00114293"/>
    <w:rsid w:val="001143C0"/>
    <w:rsid w:val="0011495E"/>
    <w:rsid w:val="001149EC"/>
    <w:rsid w:val="00116A35"/>
    <w:rsid w:val="00120922"/>
    <w:rsid w:val="001209BB"/>
    <w:rsid w:val="0012167F"/>
    <w:rsid w:val="00125492"/>
    <w:rsid w:val="00125F66"/>
    <w:rsid w:val="00126109"/>
    <w:rsid w:val="00126A11"/>
    <w:rsid w:val="00126EBD"/>
    <w:rsid w:val="001272DC"/>
    <w:rsid w:val="001273E3"/>
    <w:rsid w:val="001274F0"/>
    <w:rsid w:val="00131DDE"/>
    <w:rsid w:val="0013340E"/>
    <w:rsid w:val="00133816"/>
    <w:rsid w:val="00134117"/>
    <w:rsid w:val="0013570C"/>
    <w:rsid w:val="00140772"/>
    <w:rsid w:val="00141CCF"/>
    <w:rsid w:val="001421B6"/>
    <w:rsid w:val="0014251E"/>
    <w:rsid w:val="00145070"/>
    <w:rsid w:val="00150010"/>
    <w:rsid w:val="001514F5"/>
    <w:rsid w:val="00152B7C"/>
    <w:rsid w:val="00155181"/>
    <w:rsid w:val="001572E1"/>
    <w:rsid w:val="0016027D"/>
    <w:rsid w:val="00160527"/>
    <w:rsid w:val="00160D0B"/>
    <w:rsid w:val="001615B0"/>
    <w:rsid w:val="00161D0C"/>
    <w:rsid w:val="001632DC"/>
    <w:rsid w:val="0016462D"/>
    <w:rsid w:val="00174B14"/>
    <w:rsid w:val="0017734F"/>
    <w:rsid w:val="00180C9A"/>
    <w:rsid w:val="001871EE"/>
    <w:rsid w:val="00187833"/>
    <w:rsid w:val="001927D8"/>
    <w:rsid w:val="00193E77"/>
    <w:rsid w:val="00194042"/>
    <w:rsid w:val="001942AD"/>
    <w:rsid w:val="00197C0E"/>
    <w:rsid w:val="001A3A1E"/>
    <w:rsid w:val="001A704E"/>
    <w:rsid w:val="001A72CC"/>
    <w:rsid w:val="001B0801"/>
    <w:rsid w:val="001B232C"/>
    <w:rsid w:val="001B2697"/>
    <w:rsid w:val="001B3343"/>
    <w:rsid w:val="001B5D70"/>
    <w:rsid w:val="001B6815"/>
    <w:rsid w:val="001B6F12"/>
    <w:rsid w:val="001B71B1"/>
    <w:rsid w:val="001C2DF2"/>
    <w:rsid w:val="001C44E0"/>
    <w:rsid w:val="001C586C"/>
    <w:rsid w:val="001C7C05"/>
    <w:rsid w:val="001D1681"/>
    <w:rsid w:val="001D2147"/>
    <w:rsid w:val="001D31D4"/>
    <w:rsid w:val="001D48BD"/>
    <w:rsid w:val="001D50F2"/>
    <w:rsid w:val="001D5DF4"/>
    <w:rsid w:val="001E09B7"/>
    <w:rsid w:val="001E151B"/>
    <w:rsid w:val="001E3491"/>
    <w:rsid w:val="001F232E"/>
    <w:rsid w:val="001F239D"/>
    <w:rsid w:val="001F255D"/>
    <w:rsid w:val="001F4BA8"/>
    <w:rsid w:val="002019C8"/>
    <w:rsid w:val="00202A99"/>
    <w:rsid w:val="00203883"/>
    <w:rsid w:val="002045B7"/>
    <w:rsid w:val="0020553B"/>
    <w:rsid w:val="002103CB"/>
    <w:rsid w:val="00211103"/>
    <w:rsid w:val="002112BD"/>
    <w:rsid w:val="002114D8"/>
    <w:rsid w:val="002119CD"/>
    <w:rsid w:val="00214553"/>
    <w:rsid w:val="00216689"/>
    <w:rsid w:val="002176B6"/>
    <w:rsid w:val="00217B78"/>
    <w:rsid w:val="00217B7E"/>
    <w:rsid w:val="002205A5"/>
    <w:rsid w:val="002209BE"/>
    <w:rsid w:val="00222DBC"/>
    <w:rsid w:val="002253DC"/>
    <w:rsid w:val="00226D49"/>
    <w:rsid w:val="00226D79"/>
    <w:rsid w:val="00227543"/>
    <w:rsid w:val="002279FF"/>
    <w:rsid w:val="00227D21"/>
    <w:rsid w:val="00227DFA"/>
    <w:rsid w:val="002315AD"/>
    <w:rsid w:val="0023481D"/>
    <w:rsid w:val="00235863"/>
    <w:rsid w:val="002376A7"/>
    <w:rsid w:val="002376C2"/>
    <w:rsid w:val="002402F2"/>
    <w:rsid w:val="00240336"/>
    <w:rsid w:val="002445FA"/>
    <w:rsid w:val="0024534E"/>
    <w:rsid w:val="00246308"/>
    <w:rsid w:val="00251995"/>
    <w:rsid w:val="00251D91"/>
    <w:rsid w:val="00252679"/>
    <w:rsid w:val="00254226"/>
    <w:rsid w:val="00254B9C"/>
    <w:rsid w:val="002567CC"/>
    <w:rsid w:val="0025761A"/>
    <w:rsid w:val="00262CDC"/>
    <w:rsid w:val="00263062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6E38"/>
    <w:rsid w:val="00280565"/>
    <w:rsid w:val="00281707"/>
    <w:rsid w:val="0028177F"/>
    <w:rsid w:val="00282765"/>
    <w:rsid w:val="00282B88"/>
    <w:rsid w:val="002836FE"/>
    <w:rsid w:val="00284A4D"/>
    <w:rsid w:val="0029089B"/>
    <w:rsid w:val="0029238E"/>
    <w:rsid w:val="00293A8C"/>
    <w:rsid w:val="002A1C34"/>
    <w:rsid w:val="002A3BEF"/>
    <w:rsid w:val="002A6597"/>
    <w:rsid w:val="002A6845"/>
    <w:rsid w:val="002A78AA"/>
    <w:rsid w:val="002B104F"/>
    <w:rsid w:val="002B2643"/>
    <w:rsid w:val="002B5AF1"/>
    <w:rsid w:val="002C2F15"/>
    <w:rsid w:val="002C331B"/>
    <w:rsid w:val="002C57A0"/>
    <w:rsid w:val="002C79CD"/>
    <w:rsid w:val="002D06BC"/>
    <w:rsid w:val="002D107C"/>
    <w:rsid w:val="002D1668"/>
    <w:rsid w:val="002D5BA3"/>
    <w:rsid w:val="002D6B36"/>
    <w:rsid w:val="002D6DD8"/>
    <w:rsid w:val="002D6FAF"/>
    <w:rsid w:val="002D7234"/>
    <w:rsid w:val="002E2B68"/>
    <w:rsid w:val="002E4486"/>
    <w:rsid w:val="002E5133"/>
    <w:rsid w:val="002E5A05"/>
    <w:rsid w:val="002F0345"/>
    <w:rsid w:val="002F0E01"/>
    <w:rsid w:val="002F16D7"/>
    <w:rsid w:val="002F2234"/>
    <w:rsid w:val="002F25ED"/>
    <w:rsid w:val="002F2CF7"/>
    <w:rsid w:val="002F5D72"/>
    <w:rsid w:val="00300121"/>
    <w:rsid w:val="00300AD3"/>
    <w:rsid w:val="00302A5C"/>
    <w:rsid w:val="00303115"/>
    <w:rsid w:val="0030797C"/>
    <w:rsid w:val="003106F4"/>
    <w:rsid w:val="00311D3A"/>
    <w:rsid w:val="00316975"/>
    <w:rsid w:val="00317C53"/>
    <w:rsid w:val="00320759"/>
    <w:rsid w:val="00320B13"/>
    <w:rsid w:val="00321D8E"/>
    <w:rsid w:val="00322BFC"/>
    <w:rsid w:val="00325383"/>
    <w:rsid w:val="003306EB"/>
    <w:rsid w:val="00330AC1"/>
    <w:rsid w:val="00330F2C"/>
    <w:rsid w:val="003310F7"/>
    <w:rsid w:val="003335E0"/>
    <w:rsid w:val="00337A94"/>
    <w:rsid w:val="00341EAF"/>
    <w:rsid w:val="0034238E"/>
    <w:rsid w:val="003446E9"/>
    <w:rsid w:val="00346676"/>
    <w:rsid w:val="00346F9F"/>
    <w:rsid w:val="00351FC3"/>
    <w:rsid w:val="00353FFA"/>
    <w:rsid w:val="00356207"/>
    <w:rsid w:val="00357405"/>
    <w:rsid w:val="003611A0"/>
    <w:rsid w:val="00362AE2"/>
    <w:rsid w:val="00363696"/>
    <w:rsid w:val="0036438B"/>
    <w:rsid w:val="00367768"/>
    <w:rsid w:val="003700FE"/>
    <w:rsid w:val="003702C9"/>
    <w:rsid w:val="00371BF1"/>
    <w:rsid w:val="00372B86"/>
    <w:rsid w:val="00373871"/>
    <w:rsid w:val="0037547D"/>
    <w:rsid w:val="0037692A"/>
    <w:rsid w:val="00380123"/>
    <w:rsid w:val="0038202C"/>
    <w:rsid w:val="003844FA"/>
    <w:rsid w:val="0038543E"/>
    <w:rsid w:val="00387808"/>
    <w:rsid w:val="00391E31"/>
    <w:rsid w:val="00394601"/>
    <w:rsid w:val="0039676B"/>
    <w:rsid w:val="0039768C"/>
    <w:rsid w:val="003977D9"/>
    <w:rsid w:val="003A00EB"/>
    <w:rsid w:val="003A0155"/>
    <w:rsid w:val="003A0BE5"/>
    <w:rsid w:val="003A0D80"/>
    <w:rsid w:val="003A4AA0"/>
    <w:rsid w:val="003B0578"/>
    <w:rsid w:val="003B09FD"/>
    <w:rsid w:val="003B2533"/>
    <w:rsid w:val="003B2966"/>
    <w:rsid w:val="003B3A90"/>
    <w:rsid w:val="003B3F34"/>
    <w:rsid w:val="003B5E6F"/>
    <w:rsid w:val="003B6393"/>
    <w:rsid w:val="003B6BB0"/>
    <w:rsid w:val="003B70AD"/>
    <w:rsid w:val="003B7ECE"/>
    <w:rsid w:val="003C1C4F"/>
    <w:rsid w:val="003C2D99"/>
    <w:rsid w:val="003C681A"/>
    <w:rsid w:val="003C77ED"/>
    <w:rsid w:val="003D00B8"/>
    <w:rsid w:val="003D1D55"/>
    <w:rsid w:val="003D20DF"/>
    <w:rsid w:val="003D2B93"/>
    <w:rsid w:val="003D2F8B"/>
    <w:rsid w:val="003D42BA"/>
    <w:rsid w:val="003D6268"/>
    <w:rsid w:val="003D6324"/>
    <w:rsid w:val="003E06E1"/>
    <w:rsid w:val="003E1728"/>
    <w:rsid w:val="003E2207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6D4F"/>
    <w:rsid w:val="003F729B"/>
    <w:rsid w:val="003F7849"/>
    <w:rsid w:val="004002DC"/>
    <w:rsid w:val="004042B2"/>
    <w:rsid w:val="004044BB"/>
    <w:rsid w:val="00404BA7"/>
    <w:rsid w:val="00405AF1"/>
    <w:rsid w:val="00405D9E"/>
    <w:rsid w:val="00406897"/>
    <w:rsid w:val="00407DBD"/>
    <w:rsid w:val="004118E1"/>
    <w:rsid w:val="00415D00"/>
    <w:rsid w:val="00416DAC"/>
    <w:rsid w:val="00417A6C"/>
    <w:rsid w:val="00420944"/>
    <w:rsid w:val="00420B45"/>
    <w:rsid w:val="0042333A"/>
    <w:rsid w:val="00426E64"/>
    <w:rsid w:val="004332C6"/>
    <w:rsid w:val="00433B47"/>
    <w:rsid w:val="00434DFA"/>
    <w:rsid w:val="004370BC"/>
    <w:rsid w:val="0043727F"/>
    <w:rsid w:val="00440C7B"/>
    <w:rsid w:val="00442438"/>
    <w:rsid w:val="004444B5"/>
    <w:rsid w:val="004449E5"/>
    <w:rsid w:val="00446519"/>
    <w:rsid w:val="00446C77"/>
    <w:rsid w:val="00450EAD"/>
    <w:rsid w:val="0045131A"/>
    <w:rsid w:val="00451741"/>
    <w:rsid w:val="00451DD5"/>
    <w:rsid w:val="00452BA6"/>
    <w:rsid w:val="00453ACA"/>
    <w:rsid w:val="004543AB"/>
    <w:rsid w:val="00454E98"/>
    <w:rsid w:val="00456C81"/>
    <w:rsid w:val="004631B7"/>
    <w:rsid w:val="004642A3"/>
    <w:rsid w:val="00464713"/>
    <w:rsid w:val="00470828"/>
    <w:rsid w:val="00470A6E"/>
    <w:rsid w:val="0047397D"/>
    <w:rsid w:val="00477A5F"/>
    <w:rsid w:val="00481A78"/>
    <w:rsid w:val="00481BE1"/>
    <w:rsid w:val="00481F9E"/>
    <w:rsid w:val="00483C76"/>
    <w:rsid w:val="00487B18"/>
    <w:rsid w:val="00490BD2"/>
    <w:rsid w:val="00491372"/>
    <w:rsid w:val="004919EA"/>
    <w:rsid w:val="00493A0B"/>
    <w:rsid w:val="00494176"/>
    <w:rsid w:val="00495A55"/>
    <w:rsid w:val="00496424"/>
    <w:rsid w:val="004A1BF8"/>
    <w:rsid w:val="004B1013"/>
    <w:rsid w:val="004B154B"/>
    <w:rsid w:val="004B175F"/>
    <w:rsid w:val="004B1C05"/>
    <w:rsid w:val="004B2B1E"/>
    <w:rsid w:val="004B3F07"/>
    <w:rsid w:val="004B460D"/>
    <w:rsid w:val="004B54A7"/>
    <w:rsid w:val="004C0247"/>
    <w:rsid w:val="004C27A4"/>
    <w:rsid w:val="004C3684"/>
    <w:rsid w:val="004C3ACA"/>
    <w:rsid w:val="004C5865"/>
    <w:rsid w:val="004C5C0B"/>
    <w:rsid w:val="004C5CB8"/>
    <w:rsid w:val="004C5DA6"/>
    <w:rsid w:val="004C751A"/>
    <w:rsid w:val="004C7967"/>
    <w:rsid w:val="004C7F67"/>
    <w:rsid w:val="004D16FB"/>
    <w:rsid w:val="004D1AEE"/>
    <w:rsid w:val="004D1BC7"/>
    <w:rsid w:val="004D24C7"/>
    <w:rsid w:val="004D76E1"/>
    <w:rsid w:val="004E0AD5"/>
    <w:rsid w:val="004E321F"/>
    <w:rsid w:val="004E52E4"/>
    <w:rsid w:val="004E62FA"/>
    <w:rsid w:val="004E79E0"/>
    <w:rsid w:val="004E7F3C"/>
    <w:rsid w:val="004F3D8E"/>
    <w:rsid w:val="004F4D2D"/>
    <w:rsid w:val="004F50BF"/>
    <w:rsid w:val="0050232D"/>
    <w:rsid w:val="00502A63"/>
    <w:rsid w:val="0050352B"/>
    <w:rsid w:val="00504B47"/>
    <w:rsid w:val="00504B5C"/>
    <w:rsid w:val="00507478"/>
    <w:rsid w:val="005127B1"/>
    <w:rsid w:val="0051304F"/>
    <w:rsid w:val="00515730"/>
    <w:rsid w:val="00515F60"/>
    <w:rsid w:val="00517EA9"/>
    <w:rsid w:val="00520592"/>
    <w:rsid w:val="00520B55"/>
    <w:rsid w:val="0052184B"/>
    <w:rsid w:val="00522DBD"/>
    <w:rsid w:val="00523052"/>
    <w:rsid w:val="00530B10"/>
    <w:rsid w:val="005329EF"/>
    <w:rsid w:val="00534CC7"/>
    <w:rsid w:val="005355D1"/>
    <w:rsid w:val="00536395"/>
    <w:rsid w:val="005367D6"/>
    <w:rsid w:val="00536D1B"/>
    <w:rsid w:val="005377D1"/>
    <w:rsid w:val="0054352E"/>
    <w:rsid w:val="0054409B"/>
    <w:rsid w:val="00544772"/>
    <w:rsid w:val="00544FDF"/>
    <w:rsid w:val="00546B2E"/>
    <w:rsid w:val="00550F37"/>
    <w:rsid w:val="00552A4F"/>
    <w:rsid w:val="0055307F"/>
    <w:rsid w:val="005540D3"/>
    <w:rsid w:val="00554E23"/>
    <w:rsid w:val="0055614F"/>
    <w:rsid w:val="00556B78"/>
    <w:rsid w:val="005574DC"/>
    <w:rsid w:val="0056041D"/>
    <w:rsid w:val="00560FC3"/>
    <w:rsid w:val="0056311D"/>
    <w:rsid w:val="00563BD6"/>
    <w:rsid w:val="005660F1"/>
    <w:rsid w:val="0057113B"/>
    <w:rsid w:val="00572229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34D2"/>
    <w:rsid w:val="00583A5F"/>
    <w:rsid w:val="00584A95"/>
    <w:rsid w:val="00585381"/>
    <w:rsid w:val="00586957"/>
    <w:rsid w:val="005900D2"/>
    <w:rsid w:val="0059286D"/>
    <w:rsid w:val="00595DA4"/>
    <w:rsid w:val="005A0B1B"/>
    <w:rsid w:val="005A0FD3"/>
    <w:rsid w:val="005A103D"/>
    <w:rsid w:val="005A2190"/>
    <w:rsid w:val="005A2585"/>
    <w:rsid w:val="005A5749"/>
    <w:rsid w:val="005A7049"/>
    <w:rsid w:val="005A7682"/>
    <w:rsid w:val="005A7C9F"/>
    <w:rsid w:val="005B225F"/>
    <w:rsid w:val="005B3781"/>
    <w:rsid w:val="005B5669"/>
    <w:rsid w:val="005B6289"/>
    <w:rsid w:val="005B64D5"/>
    <w:rsid w:val="005B6E26"/>
    <w:rsid w:val="005C4B4E"/>
    <w:rsid w:val="005C5F58"/>
    <w:rsid w:val="005C5FC4"/>
    <w:rsid w:val="005D02AA"/>
    <w:rsid w:val="005D1E01"/>
    <w:rsid w:val="005D2999"/>
    <w:rsid w:val="005D29E2"/>
    <w:rsid w:val="005D2CC2"/>
    <w:rsid w:val="005D3E15"/>
    <w:rsid w:val="005D5F48"/>
    <w:rsid w:val="005E0B90"/>
    <w:rsid w:val="005E0EEA"/>
    <w:rsid w:val="005E366C"/>
    <w:rsid w:val="005E3A5D"/>
    <w:rsid w:val="005E4E92"/>
    <w:rsid w:val="005E508D"/>
    <w:rsid w:val="005E68E7"/>
    <w:rsid w:val="005F009E"/>
    <w:rsid w:val="005F2D51"/>
    <w:rsid w:val="005F3783"/>
    <w:rsid w:val="005F3EB7"/>
    <w:rsid w:val="005F514C"/>
    <w:rsid w:val="005F524D"/>
    <w:rsid w:val="005F582B"/>
    <w:rsid w:val="005F6B7E"/>
    <w:rsid w:val="005F7A0D"/>
    <w:rsid w:val="00600BF8"/>
    <w:rsid w:val="00602132"/>
    <w:rsid w:val="00602454"/>
    <w:rsid w:val="00603757"/>
    <w:rsid w:val="00603CB6"/>
    <w:rsid w:val="00604A30"/>
    <w:rsid w:val="0060563B"/>
    <w:rsid w:val="0061044B"/>
    <w:rsid w:val="0061078C"/>
    <w:rsid w:val="00611642"/>
    <w:rsid w:val="00612FAD"/>
    <w:rsid w:val="006152DA"/>
    <w:rsid w:val="00615459"/>
    <w:rsid w:val="0061782E"/>
    <w:rsid w:val="006221D1"/>
    <w:rsid w:val="00623413"/>
    <w:rsid w:val="0062486C"/>
    <w:rsid w:val="00624C3D"/>
    <w:rsid w:val="0062509B"/>
    <w:rsid w:val="00626F5A"/>
    <w:rsid w:val="00630580"/>
    <w:rsid w:val="00630A12"/>
    <w:rsid w:val="00631455"/>
    <w:rsid w:val="006350B1"/>
    <w:rsid w:val="00635F47"/>
    <w:rsid w:val="00637B26"/>
    <w:rsid w:val="00640395"/>
    <w:rsid w:val="00640BDE"/>
    <w:rsid w:val="0064181B"/>
    <w:rsid w:val="006449CD"/>
    <w:rsid w:val="006463D6"/>
    <w:rsid w:val="0064744C"/>
    <w:rsid w:val="00650D49"/>
    <w:rsid w:val="006510C4"/>
    <w:rsid w:val="00656A8B"/>
    <w:rsid w:val="00656CEE"/>
    <w:rsid w:val="006605E6"/>
    <w:rsid w:val="00660C4A"/>
    <w:rsid w:val="00660C88"/>
    <w:rsid w:val="00662E33"/>
    <w:rsid w:val="0066393F"/>
    <w:rsid w:val="00663970"/>
    <w:rsid w:val="00663AC1"/>
    <w:rsid w:val="00663E29"/>
    <w:rsid w:val="0066436F"/>
    <w:rsid w:val="006705CF"/>
    <w:rsid w:val="006713D1"/>
    <w:rsid w:val="00672ED6"/>
    <w:rsid w:val="00672F60"/>
    <w:rsid w:val="006739B6"/>
    <w:rsid w:val="00673F24"/>
    <w:rsid w:val="0067468E"/>
    <w:rsid w:val="0067588F"/>
    <w:rsid w:val="006764DF"/>
    <w:rsid w:val="00682904"/>
    <w:rsid w:val="00683EAA"/>
    <w:rsid w:val="00684AA0"/>
    <w:rsid w:val="00685EF5"/>
    <w:rsid w:val="00687178"/>
    <w:rsid w:val="00692818"/>
    <w:rsid w:val="00692B24"/>
    <w:rsid w:val="00692CDC"/>
    <w:rsid w:val="00692E2A"/>
    <w:rsid w:val="00694C21"/>
    <w:rsid w:val="006A08D4"/>
    <w:rsid w:val="006A1274"/>
    <w:rsid w:val="006A2058"/>
    <w:rsid w:val="006A2734"/>
    <w:rsid w:val="006A3A35"/>
    <w:rsid w:val="006A4D1E"/>
    <w:rsid w:val="006A5C7F"/>
    <w:rsid w:val="006A6FA6"/>
    <w:rsid w:val="006B488F"/>
    <w:rsid w:val="006B6468"/>
    <w:rsid w:val="006C0CA6"/>
    <w:rsid w:val="006C1C45"/>
    <w:rsid w:val="006C214E"/>
    <w:rsid w:val="006C2B96"/>
    <w:rsid w:val="006C341F"/>
    <w:rsid w:val="006C3EA8"/>
    <w:rsid w:val="006C4EEF"/>
    <w:rsid w:val="006C610D"/>
    <w:rsid w:val="006C6170"/>
    <w:rsid w:val="006C71B7"/>
    <w:rsid w:val="006C751B"/>
    <w:rsid w:val="006D3CDB"/>
    <w:rsid w:val="006D5866"/>
    <w:rsid w:val="006D5D81"/>
    <w:rsid w:val="006D7DD3"/>
    <w:rsid w:val="006D7FF9"/>
    <w:rsid w:val="006E0EC4"/>
    <w:rsid w:val="006E1663"/>
    <w:rsid w:val="006E2A6E"/>
    <w:rsid w:val="006E672E"/>
    <w:rsid w:val="006E7941"/>
    <w:rsid w:val="006E7C65"/>
    <w:rsid w:val="006F1E7A"/>
    <w:rsid w:val="006F1F9D"/>
    <w:rsid w:val="006F3BA9"/>
    <w:rsid w:val="006F6414"/>
    <w:rsid w:val="006F6651"/>
    <w:rsid w:val="006F7616"/>
    <w:rsid w:val="006F7873"/>
    <w:rsid w:val="006F79A4"/>
    <w:rsid w:val="0070021D"/>
    <w:rsid w:val="00700972"/>
    <w:rsid w:val="007029D5"/>
    <w:rsid w:val="007073B0"/>
    <w:rsid w:val="007077E6"/>
    <w:rsid w:val="00707AE8"/>
    <w:rsid w:val="00710FE0"/>
    <w:rsid w:val="00711CA0"/>
    <w:rsid w:val="00712926"/>
    <w:rsid w:val="0071456F"/>
    <w:rsid w:val="00715F2C"/>
    <w:rsid w:val="00716416"/>
    <w:rsid w:val="00716ADE"/>
    <w:rsid w:val="00721019"/>
    <w:rsid w:val="0072205D"/>
    <w:rsid w:val="0072280D"/>
    <w:rsid w:val="00724C87"/>
    <w:rsid w:val="00724D9F"/>
    <w:rsid w:val="007259FF"/>
    <w:rsid w:val="00725A24"/>
    <w:rsid w:val="0072629A"/>
    <w:rsid w:val="00726750"/>
    <w:rsid w:val="0072695A"/>
    <w:rsid w:val="00730D61"/>
    <w:rsid w:val="00731BF3"/>
    <w:rsid w:val="00731CA9"/>
    <w:rsid w:val="00732B6A"/>
    <w:rsid w:val="00732D43"/>
    <w:rsid w:val="00732F58"/>
    <w:rsid w:val="00735301"/>
    <w:rsid w:val="00735B80"/>
    <w:rsid w:val="007365B7"/>
    <w:rsid w:val="00737C0C"/>
    <w:rsid w:val="007412C9"/>
    <w:rsid w:val="00741890"/>
    <w:rsid w:val="0074405C"/>
    <w:rsid w:val="007475BB"/>
    <w:rsid w:val="007509BC"/>
    <w:rsid w:val="00750D65"/>
    <w:rsid w:val="007524F6"/>
    <w:rsid w:val="00752881"/>
    <w:rsid w:val="00760CE5"/>
    <w:rsid w:val="0076212E"/>
    <w:rsid w:val="007650BC"/>
    <w:rsid w:val="007661AA"/>
    <w:rsid w:val="00770DFE"/>
    <w:rsid w:val="007712D3"/>
    <w:rsid w:val="00772162"/>
    <w:rsid w:val="00772396"/>
    <w:rsid w:val="00772846"/>
    <w:rsid w:val="00774C59"/>
    <w:rsid w:val="00775F8A"/>
    <w:rsid w:val="00782758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86"/>
    <w:rsid w:val="00792D97"/>
    <w:rsid w:val="00795C11"/>
    <w:rsid w:val="007977BE"/>
    <w:rsid w:val="007A2AE7"/>
    <w:rsid w:val="007A37EB"/>
    <w:rsid w:val="007A4B8D"/>
    <w:rsid w:val="007A580E"/>
    <w:rsid w:val="007A7E20"/>
    <w:rsid w:val="007B4363"/>
    <w:rsid w:val="007B6701"/>
    <w:rsid w:val="007C47BB"/>
    <w:rsid w:val="007D303A"/>
    <w:rsid w:val="007D375D"/>
    <w:rsid w:val="007D4381"/>
    <w:rsid w:val="007D467E"/>
    <w:rsid w:val="007D4727"/>
    <w:rsid w:val="007D5329"/>
    <w:rsid w:val="007D5DDB"/>
    <w:rsid w:val="007D7688"/>
    <w:rsid w:val="007E1E60"/>
    <w:rsid w:val="007E2903"/>
    <w:rsid w:val="007E2EA3"/>
    <w:rsid w:val="007E46B7"/>
    <w:rsid w:val="007E56C0"/>
    <w:rsid w:val="007E6475"/>
    <w:rsid w:val="007E68A5"/>
    <w:rsid w:val="007E72FA"/>
    <w:rsid w:val="007E7965"/>
    <w:rsid w:val="007F2107"/>
    <w:rsid w:val="008002B8"/>
    <w:rsid w:val="00802C67"/>
    <w:rsid w:val="0080362B"/>
    <w:rsid w:val="00806DF9"/>
    <w:rsid w:val="008073AB"/>
    <w:rsid w:val="00816053"/>
    <w:rsid w:val="00817DD5"/>
    <w:rsid w:val="00823BBD"/>
    <w:rsid w:val="008259B8"/>
    <w:rsid w:val="008261CC"/>
    <w:rsid w:val="00826B00"/>
    <w:rsid w:val="00834DD0"/>
    <w:rsid w:val="0083532C"/>
    <w:rsid w:val="00835F96"/>
    <w:rsid w:val="00836689"/>
    <w:rsid w:val="00836935"/>
    <w:rsid w:val="0084036E"/>
    <w:rsid w:val="00841483"/>
    <w:rsid w:val="00846002"/>
    <w:rsid w:val="008468E5"/>
    <w:rsid w:val="00847365"/>
    <w:rsid w:val="00850F7C"/>
    <w:rsid w:val="00851BCA"/>
    <w:rsid w:val="00852E7D"/>
    <w:rsid w:val="008532A0"/>
    <w:rsid w:val="00866225"/>
    <w:rsid w:val="00870609"/>
    <w:rsid w:val="00872CEB"/>
    <w:rsid w:val="00874307"/>
    <w:rsid w:val="008752CE"/>
    <w:rsid w:val="00875EBA"/>
    <w:rsid w:val="0087602B"/>
    <w:rsid w:val="00876253"/>
    <w:rsid w:val="008779B2"/>
    <w:rsid w:val="00881626"/>
    <w:rsid w:val="0088164D"/>
    <w:rsid w:val="00881845"/>
    <w:rsid w:val="00881B37"/>
    <w:rsid w:val="008827C9"/>
    <w:rsid w:val="00884211"/>
    <w:rsid w:val="00884730"/>
    <w:rsid w:val="008849BA"/>
    <w:rsid w:val="008856C3"/>
    <w:rsid w:val="00886922"/>
    <w:rsid w:val="00890151"/>
    <w:rsid w:val="00890320"/>
    <w:rsid w:val="00891DC5"/>
    <w:rsid w:val="008937C7"/>
    <w:rsid w:val="00897CE1"/>
    <w:rsid w:val="008A152B"/>
    <w:rsid w:val="008A3356"/>
    <w:rsid w:val="008A548A"/>
    <w:rsid w:val="008A5C25"/>
    <w:rsid w:val="008A63C2"/>
    <w:rsid w:val="008A75A2"/>
    <w:rsid w:val="008A7F4C"/>
    <w:rsid w:val="008B11C1"/>
    <w:rsid w:val="008B4BC6"/>
    <w:rsid w:val="008B69E5"/>
    <w:rsid w:val="008B6FA2"/>
    <w:rsid w:val="008B76D8"/>
    <w:rsid w:val="008B7993"/>
    <w:rsid w:val="008B7B90"/>
    <w:rsid w:val="008C03FF"/>
    <w:rsid w:val="008C20D6"/>
    <w:rsid w:val="008C2116"/>
    <w:rsid w:val="008C523E"/>
    <w:rsid w:val="008C5AB1"/>
    <w:rsid w:val="008D038E"/>
    <w:rsid w:val="008D10E2"/>
    <w:rsid w:val="008D2C93"/>
    <w:rsid w:val="008D44DB"/>
    <w:rsid w:val="008D47B6"/>
    <w:rsid w:val="008D6AF5"/>
    <w:rsid w:val="008D7F84"/>
    <w:rsid w:val="008E2DE5"/>
    <w:rsid w:val="008E38A1"/>
    <w:rsid w:val="008E43E4"/>
    <w:rsid w:val="008E453F"/>
    <w:rsid w:val="008E4891"/>
    <w:rsid w:val="008E5F67"/>
    <w:rsid w:val="008E7266"/>
    <w:rsid w:val="008E7D7B"/>
    <w:rsid w:val="008F0FA6"/>
    <w:rsid w:val="008F41B0"/>
    <w:rsid w:val="008F5333"/>
    <w:rsid w:val="008F6984"/>
    <w:rsid w:val="008F73F3"/>
    <w:rsid w:val="0090194C"/>
    <w:rsid w:val="00902EDF"/>
    <w:rsid w:val="0090329A"/>
    <w:rsid w:val="00903E55"/>
    <w:rsid w:val="00906036"/>
    <w:rsid w:val="009068A7"/>
    <w:rsid w:val="00907BC4"/>
    <w:rsid w:val="00910D28"/>
    <w:rsid w:val="009113C5"/>
    <w:rsid w:val="00913D4E"/>
    <w:rsid w:val="00913F49"/>
    <w:rsid w:val="00915810"/>
    <w:rsid w:val="0091674E"/>
    <w:rsid w:val="009206B9"/>
    <w:rsid w:val="00922D99"/>
    <w:rsid w:val="00923EF6"/>
    <w:rsid w:val="0092673C"/>
    <w:rsid w:val="00926EB2"/>
    <w:rsid w:val="00931780"/>
    <w:rsid w:val="0093238E"/>
    <w:rsid w:val="009348BE"/>
    <w:rsid w:val="0093556B"/>
    <w:rsid w:val="00942931"/>
    <w:rsid w:val="009437AB"/>
    <w:rsid w:val="009463FB"/>
    <w:rsid w:val="0094653E"/>
    <w:rsid w:val="009473B2"/>
    <w:rsid w:val="00947ECF"/>
    <w:rsid w:val="009531FE"/>
    <w:rsid w:val="009541EC"/>
    <w:rsid w:val="00955451"/>
    <w:rsid w:val="009563CE"/>
    <w:rsid w:val="00961352"/>
    <w:rsid w:val="00961828"/>
    <w:rsid w:val="00961A9D"/>
    <w:rsid w:val="00963416"/>
    <w:rsid w:val="00963C23"/>
    <w:rsid w:val="0096477F"/>
    <w:rsid w:val="00964FFA"/>
    <w:rsid w:val="009656F2"/>
    <w:rsid w:val="009669A5"/>
    <w:rsid w:val="00967149"/>
    <w:rsid w:val="009725F6"/>
    <w:rsid w:val="0097264C"/>
    <w:rsid w:val="009729A9"/>
    <w:rsid w:val="00975547"/>
    <w:rsid w:val="00980CB9"/>
    <w:rsid w:val="00983C5D"/>
    <w:rsid w:val="00984727"/>
    <w:rsid w:val="00985898"/>
    <w:rsid w:val="009901C3"/>
    <w:rsid w:val="00991B78"/>
    <w:rsid w:val="009970A7"/>
    <w:rsid w:val="0099768E"/>
    <w:rsid w:val="009A0AE2"/>
    <w:rsid w:val="009A0D27"/>
    <w:rsid w:val="009A2908"/>
    <w:rsid w:val="009A5530"/>
    <w:rsid w:val="009A6CBD"/>
    <w:rsid w:val="009B0B8D"/>
    <w:rsid w:val="009B1CAE"/>
    <w:rsid w:val="009B3259"/>
    <w:rsid w:val="009B7CC5"/>
    <w:rsid w:val="009C0AA6"/>
    <w:rsid w:val="009C1547"/>
    <w:rsid w:val="009C1B29"/>
    <w:rsid w:val="009C2066"/>
    <w:rsid w:val="009C6225"/>
    <w:rsid w:val="009D306E"/>
    <w:rsid w:val="009D4922"/>
    <w:rsid w:val="009D521C"/>
    <w:rsid w:val="009E02B2"/>
    <w:rsid w:val="009E15B5"/>
    <w:rsid w:val="009E1DB3"/>
    <w:rsid w:val="009E240D"/>
    <w:rsid w:val="009E37D7"/>
    <w:rsid w:val="009E3C39"/>
    <w:rsid w:val="009E41D9"/>
    <w:rsid w:val="009F15FB"/>
    <w:rsid w:val="009F171A"/>
    <w:rsid w:val="009F2F8C"/>
    <w:rsid w:val="009F3779"/>
    <w:rsid w:val="009F45C3"/>
    <w:rsid w:val="009F5D57"/>
    <w:rsid w:val="009F5D8C"/>
    <w:rsid w:val="009F7634"/>
    <w:rsid w:val="009F7C06"/>
    <w:rsid w:val="00A009D0"/>
    <w:rsid w:val="00A009D6"/>
    <w:rsid w:val="00A02DF5"/>
    <w:rsid w:val="00A0429D"/>
    <w:rsid w:val="00A0437D"/>
    <w:rsid w:val="00A05C1E"/>
    <w:rsid w:val="00A0671C"/>
    <w:rsid w:val="00A06B8A"/>
    <w:rsid w:val="00A10E9C"/>
    <w:rsid w:val="00A11057"/>
    <w:rsid w:val="00A11484"/>
    <w:rsid w:val="00A12959"/>
    <w:rsid w:val="00A13B17"/>
    <w:rsid w:val="00A13FAF"/>
    <w:rsid w:val="00A149BF"/>
    <w:rsid w:val="00A17A62"/>
    <w:rsid w:val="00A20D13"/>
    <w:rsid w:val="00A23CDB"/>
    <w:rsid w:val="00A25FA7"/>
    <w:rsid w:val="00A2673A"/>
    <w:rsid w:val="00A27156"/>
    <w:rsid w:val="00A27399"/>
    <w:rsid w:val="00A301F4"/>
    <w:rsid w:val="00A30D20"/>
    <w:rsid w:val="00A31D22"/>
    <w:rsid w:val="00A322DA"/>
    <w:rsid w:val="00A3312F"/>
    <w:rsid w:val="00A34CD1"/>
    <w:rsid w:val="00A34F88"/>
    <w:rsid w:val="00A35A7D"/>
    <w:rsid w:val="00A36394"/>
    <w:rsid w:val="00A3653A"/>
    <w:rsid w:val="00A41ECD"/>
    <w:rsid w:val="00A41FA9"/>
    <w:rsid w:val="00A4243D"/>
    <w:rsid w:val="00A42A37"/>
    <w:rsid w:val="00A46335"/>
    <w:rsid w:val="00A46DD0"/>
    <w:rsid w:val="00A500B4"/>
    <w:rsid w:val="00A54DEA"/>
    <w:rsid w:val="00A5736A"/>
    <w:rsid w:val="00A61791"/>
    <w:rsid w:val="00A638FC"/>
    <w:rsid w:val="00A63E1F"/>
    <w:rsid w:val="00A662A7"/>
    <w:rsid w:val="00A6690D"/>
    <w:rsid w:val="00A70FC1"/>
    <w:rsid w:val="00A71F4A"/>
    <w:rsid w:val="00A729B7"/>
    <w:rsid w:val="00A7409C"/>
    <w:rsid w:val="00A7541C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75"/>
    <w:rsid w:val="00A918EC"/>
    <w:rsid w:val="00A91FBB"/>
    <w:rsid w:val="00A9395A"/>
    <w:rsid w:val="00A948F0"/>
    <w:rsid w:val="00A95268"/>
    <w:rsid w:val="00A953E4"/>
    <w:rsid w:val="00A9640D"/>
    <w:rsid w:val="00A975DB"/>
    <w:rsid w:val="00AA0DE6"/>
    <w:rsid w:val="00AA1FD2"/>
    <w:rsid w:val="00AA54EE"/>
    <w:rsid w:val="00AA5B8B"/>
    <w:rsid w:val="00AA5CB1"/>
    <w:rsid w:val="00AA5DF2"/>
    <w:rsid w:val="00AA77FC"/>
    <w:rsid w:val="00AA791B"/>
    <w:rsid w:val="00AB2049"/>
    <w:rsid w:val="00AB2135"/>
    <w:rsid w:val="00AB2D1B"/>
    <w:rsid w:val="00AB39DD"/>
    <w:rsid w:val="00AB4F1E"/>
    <w:rsid w:val="00AB6C4A"/>
    <w:rsid w:val="00AB7DCE"/>
    <w:rsid w:val="00AC1374"/>
    <w:rsid w:val="00AC1F71"/>
    <w:rsid w:val="00AC54DC"/>
    <w:rsid w:val="00AC5E12"/>
    <w:rsid w:val="00AD2765"/>
    <w:rsid w:val="00AD408D"/>
    <w:rsid w:val="00AD41C4"/>
    <w:rsid w:val="00AD7F4A"/>
    <w:rsid w:val="00AE1142"/>
    <w:rsid w:val="00AE5C18"/>
    <w:rsid w:val="00AF0336"/>
    <w:rsid w:val="00AF0B8A"/>
    <w:rsid w:val="00AF283E"/>
    <w:rsid w:val="00AF2F8A"/>
    <w:rsid w:val="00AF4DE8"/>
    <w:rsid w:val="00B00B3F"/>
    <w:rsid w:val="00B00F6B"/>
    <w:rsid w:val="00B01279"/>
    <w:rsid w:val="00B0159F"/>
    <w:rsid w:val="00B05A25"/>
    <w:rsid w:val="00B062CE"/>
    <w:rsid w:val="00B06F64"/>
    <w:rsid w:val="00B10C0A"/>
    <w:rsid w:val="00B11BC2"/>
    <w:rsid w:val="00B1222B"/>
    <w:rsid w:val="00B122A4"/>
    <w:rsid w:val="00B13DCE"/>
    <w:rsid w:val="00B1479C"/>
    <w:rsid w:val="00B155E9"/>
    <w:rsid w:val="00B16433"/>
    <w:rsid w:val="00B17C39"/>
    <w:rsid w:val="00B20606"/>
    <w:rsid w:val="00B21DA0"/>
    <w:rsid w:val="00B25A5B"/>
    <w:rsid w:val="00B30C52"/>
    <w:rsid w:val="00B331FD"/>
    <w:rsid w:val="00B342E8"/>
    <w:rsid w:val="00B3779F"/>
    <w:rsid w:val="00B37E26"/>
    <w:rsid w:val="00B4115F"/>
    <w:rsid w:val="00B422E5"/>
    <w:rsid w:val="00B44015"/>
    <w:rsid w:val="00B45D24"/>
    <w:rsid w:val="00B47475"/>
    <w:rsid w:val="00B5032E"/>
    <w:rsid w:val="00B517DD"/>
    <w:rsid w:val="00B539D2"/>
    <w:rsid w:val="00B55D86"/>
    <w:rsid w:val="00B6033E"/>
    <w:rsid w:val="00B6103B"/>
    <w:rsid w:val="00B62182"/>
    <w:rsid w:val="00B62186"/>
    <w:rsid w:val="00B624CF"/>
    <w:rsid w:val="00B64A09"/>
    <w:rsid w:val="00B6512A"/>
    <w:rsid w:val="00B657BE"/>
    <w:rsid w:val="00B6633E"/>
    <w:rsid w:val="00B6667E"/>
    <w:rsid w:val="00B66DFD"/>
    <w:rsid w:val="00B71007"/>
    <w:rsid w:val="00B7165E"/>
    <w:rsid w:val="00B72030"/>
    <w:rsid w:val="00B7252D"/>
    <w:rsid w:val="00B730C8"/>
    <w:rsid w:val="00B74ED2"/>
    <w:rsid w:val="00B76975"/>
    <w:rsid w:val="00B80D20"/>
    <w:rsid w:val="00B80FF8"/>
    <w:rsid w:val="00B8115F"/>
    <w:rsid w:val="00B81846"/>
    <w:rsid w:val="00B83D9A"/>
    <w:rsid w:val="00B84462"/>
    <w:rsid w:val="00B86161"/>
    <w:rsid w:val="00B913D0"/>
    <w:rsid w:val="00B91D73"/>
    <w:rsid w:val="00B9468A"/>
    <w:rsid w:val="00B94BCA"/>
    <w:rsid w:val="00BA0BFA"/>
    <w:rsid w:val="00BA14F1"/>
    <w:rsid w:val="00BA1AE3"/>
    <w:rsid w:val="00BA20BE"/>
    <w:rsid w:val="00BA25D4"/>
    <w:rsid w:val="00BA321A"/>
    <w:rsid w:val="00BA4BA5"/>
    <w:rsid w:val="00BA7F11"/>
    <w:rsid w:val="00BB1999"/>
    <w:rsid w:val="00BB2EE8"/>
    <w:rsid w:val="00BB4C45"/>
    <w:rsid w:val="00BB6A72"/>
    <w:rsid w:val="00BB716F"/>
    <w:rsid w:val="00BC1977"/>
    <w:rsid w:val="00BC4CF3"/>
    <w:rsid w:val="00BC50BC"/>
    <w:rsid w:val="00BC55A6"/>
    <w:rsid w:val="00BC67A1"/>
    <w:rsid w:val="00BC6ACC"/>
    <w:rsid w:val="00BC6CF2"/>
    <w:rsid w:val="00BC7357"/>
    <w:rsid w:val="00BD1D35"/>
    <w:rsid w:val="00BD4ABE"/>
    <w:rsid w:val="00BD558D"/>
    <w:rsid w:val="00BD5D45"/>
    <w:rsid w:val="00BD6EEA"/>
    <w:rsid w:val="00BD716A"/>
    <w:rsid w:val="00BE1A39"/>
    <w:rsid w:val="00BE1A82"/>
    <w:rsid w:val="00BE3102"/>
    <w:rsid w:val="00BE36C1"/>
    <w:rsid w:val="00BE43EE"/>
    <w:rsid w:val="00BE61DF"/>
    <w:rsid w:val="00BE6D52"/>
    <w:rsid w:val="00BE6F49"/>
    <w:rsid w:val="00BE7033"/>
    <w:rsid w:val="00BE7B13"/>
    <w:rsid w:val="00BF0D64"/>
    <w:rsid w:val="00BF491F"/>
    <w:rsid w:val="00BF76D7"/>
    <w:rsid w:val="00BF7A5D"/>
    <w:rsid w:val="00C000DF"/>
    <w:rsid w:val="00C006CE"/>
    <w:rsid w:val="00C0176F"/>
    <w:rsid w:val="00C054B4"/>
    <w:rsid w:val="00C058C5"/>
    <w:rsid w:val="00C05ACE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52FB"/>
    <w:rsid w:val="00C25579"/>
    <w:rsid w:val="00C2652D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B29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767A"/>
    <w:rsid w:val="00C57692"/>
    <w:rsid w:val="00C62CE8"/>
    <w:rsid w:val="00C630F9"/>
    <w:rsid w:val="00C6366A"/>
    <w:rsid w:val="00C642A5"/>
    <w:rsid w:val="00C659BA"/>
    <w:rsid w:val="00C67314"/>
    <w:rsid w:val="00C70809"/>
    <w:rsid w:val="00C70A4C"/>
    <w:rsid w:val="00C71325"/>
    <w:rsid w:val="00C71EBD"/>
    <w:rsid w:val="00C72E3A"/>
    <w:rsid w:val="00C732E9"/>
    <w:rsid w:val="00C75E93"/>
    <w:rsid w:val="00C76285"/>
    <w:rsid w:val="00C77546"/>
    <w:rsid w:val="00C82659"/>
    <w:rsid w:val="00C82CC6"/>
    <w:rsid w:val="00C8348E"/>
    <w:rsid w:val="00C84051"/>
    <w:rsid w:val="00C86FD2"/>
    <w:rsid w:val="00C90DB2"/>
    <w:rsid w:val="00C91579"/>
    <w:rsid w:val="00C91894"/>
    <w:rsid w:val="00C9399A"/>
    <w:rsid w:val="00C93CD1"/>
    <w:rsid w:val="00C96516"/>
    <w:rsid w:val="00CA0F86"/>
    <w:rsid w:val="00CA4A38"/>
    <w:rsid w:val="00CA4B48"/>
    <w:rsid w:val="00CB17F1"/>
    <w:rsid w:val="00CB255D"/>
    <w:rsid w:val="00CB2C5E"/>
    <w:rsid w:val="00CB40A9"/>
    <w:rsid w:val="00CB5A6B"/>
    <w:rsid w:val="00CB7F0A"/>
    <w:rsid w:val="00CC05B4"/>
    <w:rsid w:val="00CC175B"/>
    <w:rsid w:val="00CC291E"/>
    <w:rsid w:val="00CC3FB1"/>
    <w:rsid w:val="00CC7EE4"/>
    <w:rsid w:val="00CD4D95"/>
    <w:rsid w:val="00CD50A9"/>
    <w:rsid w:val="00CD646E"/>
    <w:rsid w:val="00CD6773"/>
    <w:rsid w:val="00CE055A"/>
    <w:rsid w:val="00CE0B04"/>
    <w:rsid w:val="00CE0DA4"/>
    <w:rsid w:val="00CE30CA"/>
    <w:rsid w:val="00CE3B98"/>
    <w:rsid w:val="00CE78CC"/>
    <w:rsid w:val="00CF09FC"/>
    <w:rsid w:val="00CF1D6A"/>
    <w:rsid w:val="00CF37CC"/>
    <w:rsid w:val="00CF3EAB"/>
    <w:rsid w:val="00CF460F"/>
    <w:rsid w:val="00CF70A3"/>
    <w:rsid w:val="00CF72EC"/>
    <w:rsid w:val="00CF76F0"/>
    <w:rsid w:val="00D00347"/>
    <w:rsid w:val="00D003AD"/>
    <w:rsid w:val="00D00BAF"/>
    <w:rsid w:val="00D00F62"/>
    <w:rsid w:val="00D00F9E"/>
    <w:rsid w:val="00D034A1"/>
    <w:rsid w:val="00D0359C"/>
    <w:rsid w:val="00D0416A"/>
    <w:rsid w:val="00D043DF"/>
    <w:rsid w:val="00D062CF"/>
    <w:rsid w:val="00D06EAA"/>
    <w:rsid w:val="00D119F8"/>
    <w:rsid w:val="00D11A3D"/>
    <w:rsid w:val="00D12A28"/>
    <w:rsid w:val="00D12DBC"/>
    <w:rsid w:val="00D15197"/>
    <w:rsid w:val="00D156C4"/>
    <w:rsid w:val="00D16385"/>
    <w:rsid w:val="00D23D46"/>
    <w:rsid w:val="00D260FB"/>
    <w:rsid w:val="00D27672"/>
    <w:rsid w:val="00D315FA"/>
    <w:rsid w:val="00D34C5C"/>
    <w:rsid w:val="00D34D4C"/>
    <w:rsid w:val="00D40333"/>
    <w:rsid w:val="00D43A3F"/>
    <w:rsid w:val="00D45707"/>
    <w:rsid w:val="00D50D02"/>
    <w:rsid w:val="00D51C65"/>
    <w:rsid w:val="00D526E9"/>
    <w:rsid w:val="00D53577"/>
    <w:rsid w:val="00D555F9"/>
    <w:rsid w:val="00D55C84"/>
    <w:rsid w:val="00D5733F"/>
    <w:rsid w:val="00D57A70"/>
    <w:rsid w:val="00D61691"/>
    <w:rsid w:val="00D649B0"/>
    <w:rsid w:val="00D722F3"/>
    <w:rsid w:val="00D739FF"/>
    <w:rsid w:val="00D73AFF"/>
    <w:rsid w:val="00D73E9D"/>
    <w:rsid w:val="00D7611D"/>
    <w:rsid w:val="00D820A7"/>
    <w:rsid w:val="00D8364B"/>
    <w:rsid w:val="00D85D02"/>
    <w:rsid w:val="00D85F14"/>
    <w:rsid w:val="00D92A9D"/>
    <w:rsid w:val="00D94CBB"/>
    <w:rsid w:val="00D94F90"/>
    <w:rsid w:val="00D96126"/>
    <w:rsid w:val="00D9737D"/>
    <w:rsid w:val="00D97BC8"/>
    <w:rsid w:val="00DA20D8"/>
    <w:rsid w:val="00DA35AB"/>
    <w:rsid w:val="00DA3BEF"/>
    <w:rsid w:val="00DA52B3"/>
    <w:rsid w:val="00DA6458"/>
    <w:rsid w:val="00DB2B87"/>
    <w:rsid w:val="00DB6042"/>
    <w:rsid w:val="00DB6542"/>
    <w:rsid w:val="00DB6A46"/>
    <w:rsid w:val="00DC1D9C"/>
    <w:rsid w:val="00DC4A54"/>
    <w:rsid w:val="00DC68C4"/>
    <w:rsid w:val="00DD0EEE"/>
    <w:rsid w:val="00DD1643"/>
    <w:rsid w:val="00DD2883"/>
    <w:rsid w:val="00DD36EA"/>
    <w:rsid w:val="00DD3B32"/>
    <w:rsid w:val="00DD413A"/>
    <w:rsid w:val="00DD4F01"/>
    <w:rsid w:val="00DD565C"/>
    <w:rsid w:val="00DD5C8F"/>
    <w:rsid w:val="00DD73C0"/>
    <w:rsid w:val="00DD752F"/>
    <w:rsid w:val="00DD77F6"/>
    <w:rsid w:val="00DE003C"/>
    <w:rsid w:val="00DE17A8"/>
    <w:rsid w:val="00DE248E"/>
    <w:rsid w:val="00DE3248"/>
    <w:rsid w:val="00DE3756"/>
    <w:rsid w:val="00DE44D7"/>
    <w:rsid w:val="00DE4B2A"/>
    <w:rsid w:val="00DE69D9"/>
    <w:rsid w:val="00DE780F"/>
    <w:rsid w:val="00DF03A2"/>
    <w:rsid w:val="00DF3570"/>
    <w:rsid w:val="00DF7318"/>
    <w:rsid w:val="00E00D12"/>
    <w:rsid w:val="00E051E3"/>
    <w:rsid w:val="00E0538A"/>
    <w:rsid w:val="00E0620A"/>
    <w:rsid w:val="00E06D85"/>
    <w:rsid w:val="00E075D2"/>
    <w:rsid w:val="00E0764C"/>
    <w:rsid w:val="00E13154"/>
    <w:rsid w:val="00E1334D"/>
    <w:rsid w:val="00E13858"/>
    <w:rsid w:val="00E14212"/>
    <w:rsid w:val="00E15823"/>
    <w:rsid w:val="00E161BC"/>
    <w:rsid w:val="00E2080B"/>
    <w:rsid w:val="00E215FC"/>
    <w:rsid w:val="00E22550"/>
    <w:rsid w:val="00E2349E"/>
    <w:rsid w:val="00E2440F"/>
    <w:rsid w:val="00E25B91"/>
    <w:rsid w:val="00E30EE5"/>
    <w:rsid w:val="00E32B88"/>
    <w:rsid w:val="00E32CF0"/>
    <w:rsid w:val="00E33E21"/>
    <w:rsid w:val="00E354BC"/>
    <w:rsid w:val="00E363B5"/>
    <w:rsid w:val="00E3686E"/>
    <w:rsid w:val="00E43C6B"/>
    <w:rsid w:val="00E44317"/>
    <w:rsid w:val="00E445C6"/>
    <w:rsid w:val="00E4485F"/>
    <w:rsid w:val="00E504F5"/>
    <w:rsid w:val="00E529F8"/>
    <w:rsid w:val="00E557D9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EF2"/>
    <w:rsid w:val="00E733A3"/>
    <w:rsid w:val="00E747B5"/>
    <w:rsid w:val="00E773A1"/>
    <w:rsid w:val="00E800EA"/>
    <w:rsid w:val="00E80E6A"/>
    <w:rsid w:val="00E82959"/>
    <w:rsid w:val="00E86EF8"/>
    <w:rsid w:val="00E901B2"/>
    <w:rsid w:val="00E94957"/>
    <w:rsid w:val="00E97309"/>
    <w:rsid w:val="00EA05A6"/>
    <w:rsid w:val="00EA05C2"/>
    <w:rsid w:val="00EA100C"/>
    <w:rsid w:val="00EA6DF0"/>
    <w:rsid w:val="00EB0F5F"/>
    <w:rsid w:val="00EB278B"/>
    <w:rsid w:val="00EB2E5A"/>
    <w:rsid w:val="00EB37FB"/>
    <w:rsid w:val="00EB52F1"/>
    <w:rsid w:val="00EB66B3"/>
    <w:rsid w:val="00EB672A"/>
    <w:rsid w:val="00EB7836"/>
    <w:rsid w:val="00EB7EC5"/>
    <w:rsid w:val="00EC0049"/>
    <w:rsid w:val="00EC07AE"/>
    <w:rsid w:val="00EC2251"/>
    <w:rsid w:val="00EC47BA"/>
    <w:rsid w:val="00EC7025"/>
    <w:rsid w:val="00ED0EA2"/>
    <w:rsid w:val="00ED266B"/>
    <w:rsid w:val="00EE022C"/>
    <w:rsid w:val="00EE0A97"/>
    <w:rsid w:val="00EE26AA"/>
    <w:rsid w:val="00EE2921"/>
    <w:rsid w:val="00EE2B72"/>
    <w:rsid w:val="00EE31E5"/>
    <w:rsid w:val="00EE49DE"/>
    <w:rsid w:val="00EE64C6"/>
    <w:rsid w:val="00EE731F"/>
    <w:rsid w:val="00EF08EF"/>
    <w:rsid w:val="00EF1277"/>
    <w:rsid w:val="00EF1F8F"/>
    <w:rsid w:val="00EF2386"/>
    <w:rsid w:val="00EF3306"/>
    <w:rsid w:val="00EF33EA"/>
    <w:rsid w:val="00EF5B88"/>
    <w:rsid w:val="00EF5BF7"/>
    <w:rsid w:val="00F015E9"/>
    <w:rsid w:val="00F02DAC"/>
    <w:rsid w:val="00F03522"/>
    <w:rsid w:val="00F072E1"/>
    <w:rsid w:val="00F0755E"/>
    <w:rsid w:val="00F11C69"/>
    <w:rsid w:val="00F148B4"/>
    <w:rsid w:val="00F1554B"/>
    <w:rsid w:val="00F1665B"/>
    <w:rsid w:val="00F16960"/>
    <w:rsid w:val="00F16FDA"/>
    <w:rsid w:val="00F21D79"/>
    <w:rsid w:val="00F2399E"/>
    <w:rsid w:val="00F32878"/>
    <w:rsid w:val="00F34B28"/>
    <w:rsid w:val="00F34E53"/>
    <w:rsid w:val="00F3510E"/>
    <w:rsid w:val="00F35F57"/>
    <w:rsid w:val="00F4116C"/>
    <w:rsid w:val="00F41C10"/>
    <w:rsid w:val="00F43C88"/>
    <w:rsid w:val="00F46447"/>
    <w:rsid w:val="00F47741"/>
    <w:rsid w:val="00F5299D"/>
    <w:rsid w:val="00F52E5A"/>
    <w:rsid w:val="00F53630"/>
    <w:rsid w:val="00F5431E"/>
    <w:rsid w:val="00F5669D"/>
    <w:rsid w:val="00F60979"/>
    <w:rsid w:val="00F616B3"/>
    <w:rsid w:val="00F6269A"/>
    <w:rsid w:val="00F63D98"/>
    <w:rsid w:val="00F65924"/>
    <w:rsid w:val="00F669C3"/>
    <w:rsid w:val="00F675EA"/>
    <w:rsid w:val="00F67B6D"/>
    <w:rsid w:val="00F73E9D"/>
    <w:rsid w:val="00F749C1"/>
    <w:rsid w:val="00F7551D"/>
    <w:rsid w:val="00F7572A"/>
    <w:rsid w:val="00F76478"/>
    <w:rsid w:val="00F80096"/>
    <w:rsid w:val="00F8062A"/>
    <w:rsid w:val="00F821E6"/>
    <w:rsid w:val="00F90189"/>
    <w:rsid w:val="00F90740"/>
    <w:rsid w:val="00F92424"/>
    <w:rsid w:val="00F938CB"/>
    <w:rsid w:val="00F93CE9"/>
    <w:rsid w:val="00F95447"/>
    <w:rsid w:val="00F97A1B"/>
    <w:rsid w:val="00FA4AB3"/>
    <w:rsid w:val="00FA5FAC"/>
    <w:rsid w:val="00FA627A"/>
    <w:rsid w:val="00FB09DE"/>
    <w:rsid w:val="00FB1656"/>
    <w:rsid w:val="00FB16F9"/>
    <w:rsid w:val="00FB2D93"/>
    <w:rsid w:val="00FB4D8B"/>
    <w:rsid w:val="00FB5210"/>
    <w:rsid w:val="00FB5B14"/>
    <w:rsid w:val="00FB647D"/>
    <w:rsid w:val="00FB7573"/>
    <w:rsid w:val="00FC5CC0"/>
    <w:rsid w:val="00FD1839"/>
    <w:rsid w:val="00FD2640"/>
    <w:rsid w:val="00FD3E67"/>
    <w:rsid w:val="00FD422B"/>
    <w:rsid w:val="00FD57C8"/>
    <w:rsid w:val="00FE1AE5"/>
    <w:rsid w:val="00FE1DBE"/>
    <w:rsid w:val="00FE27BD"/>
    <w:rsid w:val="00FE2C26"/>
    <w:rsid w:val="00FE5828"/>
    <w:rsid w:val="00FE799F"/>
    <w:rsid w:val="00FF0916"/>
    <w:rsid w:val="00FF27E0"/>
    <w:rsid w:val="00FF3F68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B38A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3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6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11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10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19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18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14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15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16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12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7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20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4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5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17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21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9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25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27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26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28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29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13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22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23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24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31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32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33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34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35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37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36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38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8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30</b:RefOrder>
  </b:Source>
</b:Sources>
</file>

<file path=customXml/itemProps1.xml><?xml version="1.0" encoding="utf-8"?>
<ds:datastoreItem xmlns:ds="http://schemas.openxmlformats.org/officeDocument/2006/customXml" ds:itemID="{504A6A87-6588-4AA7-98D3-628DB715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10505</TotalTime>
  <Pages>42</Pages>
  <Words>16091</Words>
  <Characters>91719</Characters>
  <Application>Microsoft Office Word</Application>
  <DocSecurity>0</DocSecurity>
  <Lines>764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1579</cp:revision>
  <dcterms:created xsi:type="dcterms:W3CDTF">2015-11-27T02:53:00Z</dcterms:created>
  <dcterms:modified xsi:type="dcterms:W3CDTF">2018-09-08T16:50:00Z</dcterms:modified>
</cp:coreProperties>
</file>