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C55" w:rsidRPr="003B15FF" w:rsidRDefault="00877555" w:rsidP="00657B0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Proposal of </w:t>
      </w:r>
      <w:r w:rsidR="004E7C55" w:rsidRPr="003B15FF">
        <w:rPr>
          <w:b/>
          <w:sz w:val="32"/>
          <w:szCs w:val="32"/>
        </w:rPr>
        <w:t xml:space="preserve">Evaluating </w:t>
      </w:r>
      <w:r>
        <w:rPr>
          <w:b/>
          <w:sz w:val="32"/>
          <w:szCs w:val="32"/>
        </w:rPr>
        <w:t>P</w:t>
      </w:r>
      <w:r w:rsidR="004055F2" w:rsidRPr="003B15FF">
        <w:rPr>
          <w:b/>
          <w:sz w:val="32"/>
          <w:szCs w:val="32"/>
        </w:rPr>
        <w:t xml:space="preserve">atients’ </w:t>
      </w:r>
      <w:r>
        <w:rPr>
          <w:b/>
          <w:sz w:val="32"/>
          <w:szCs w:val="32"/>
        </w:rPr>
        <w:t>S</w:t>
      </w:r>
      <w:r w:rsidR="004E7C55" w:rsidRPr="003B15FF">
        <w:rPr>
          <w:b/>
          <w:sz w:val="32"/>
          <w:szCs w:val="32"/>
        </w:rPr>
        <w:t xml:space="preserve">atisfaction </w:t>
      </w:r>
      <w:r w:rsidR="00EE71E0" w:rsidRPr="003B15FF">
        <w:rPr>
          <w:b/>
          <w:sz w:val="32"/>
          <w:szCs w:val="32"/>
        </w:rPr>
        <w:t xml:space="preserve">about </w:t>
      </w:r>
      <w:r>
        <w:rPr>
          <w:b/>
          <w:sz w:val="32"/>
          <w:szCs w:val="32"/>
        </w:rPr>
        <w:t>Q</w:t>
      </w:r>
      <w:r w:rsidR="0079474E" w:rsidRPr="003B15FF">
        <w:rPr>
          <w:b/>
          <w:sz w:val="32"/>
          <w:szCs w:val="32"/>
        </w:rPr>
        <w:t xml:space="preserve">uality of </w:t>
      </w:r>
      <w:r>
        <w:rPr>
          <w:b/>
          <w:sz w:val="32"/>
          <w:szCs w:val="32"/>
        </w:rPr>
        <w:t>H</w:t>
      </w:r>
      <w:r w:rsidR="00EE71E0" w:rsidRPr="003B15FF">
        <w:rPr>
          <w:b/>
          <w:sz w:val="32"/>
          <w:szCs w:val="32"/>
        </w:rPr>
        <w:t xml:space="preserve">ealthcare </w:t>
      </w:r>
      <w:r>
        <w:rPr>
          <w:b/>
          <w:sz w:val="32"/>
          <w:szCs w:val="32"/>
        </w:rPr>
        <w:t>S</w:t>
      </w:r>
      <w:r w:rsidR="004055F2" w:rsidRPr="003B15FF">
        <w:rPr>
          <w:b/>
          <w:sz w:val="32"/>
          <w:szCs w:val="32"/>
        </w:rPr>
        <w:t xml:space="preserve">ystem </w:t>
      </w:r>
      <w:r w:rsidR="004E7C55" w:rsidRPr="003B15FF">
        <w:rPr>
          <w:b/>
          <w:sz w:val="32"/>
          <w:szCs w:val="32"/>
        </w:rPr>
        <w:t xml:space="preserve">by </w:t>
      </w:r>
      <w:r>
        <w:rPr>
          <w:b/>
          <w:sz w:val="32"/>
          <w:szCs w:val="32"/>
        </w:rPr>
        <w:t>N</w:t>
      </w:r>
      <w:r w:rsidR="004E7C55" w:rsidRPr="003B15FF">
        <w:rPr>
          <w:b/>
          <w:sz w:val="32"/>
          <w:szCs w:val="32"/>
        </w:rPr>
        <w:t xml:space="preserve">on-parametric </w:t>
      </w:r>
      <w:r>
        <w:rPr>
          <w:b/>
          <w:sz w:val="32"/>
          <w:szCs w:val="32"/>
        </w:rPr>
        <w:t>Q</w:t>
      </w:r>
      <w:r w:rsidR="004E7C55" w:rsidRPr="003B15FF">
        <w:rPr>
          <w:b/>
          <w:sz w:val="32"/>
          <w:szCs w:val="32"/>
        </w:rPr>
        <w:t xml:space="preserve">uality </w:t>
      </w:r>
      <w:r>
        <w:rPr>
          <w:b/>
          <w:sz w:val="32"/>
          <w:szCs w:val="32"/>
        </w:rPr>
        <w:t>C</w:t>
      </w:r>
      <w:r w:rsidR="004E7C55" w:rsidRPr="003B15FF">
        <w:rPr>
          <w:b/>
          <w:sz w:val="32"/>
          <w:szCs w:val="32"/>
        </w:rPr>
        <w:t>ontrol</w:t>
      </w:r>
    </w:p>
    <w:p w:rsidR="00077A48" w:rsidRDefault="00077A48"/>
    <w:p w:rsidR="00077A48" w:rsidRDefault="00077A48" w:rsidP="00077A48">
      <w:pPr>
        <w:jc w:val="center"/>
      </w:pPr>
      <w:r>
        <w:t>Loc Nguyen</w:t>
      </w:r>
    </w:p>
    <w:p w:rsidR="00077A48" w:rsidRDefault="00077A48" w:rsidP="00077A48">
      <w:pPr>
        <w:jc w:val="center"/>
      </w:pPr>
      <w:r>
        <w:t>Sunflower Soft Company, Vietnam</w:t>
      </w:r>
    </w:p>
    <w:p w:rsidR="009C6D19" w:rsidRDefault="009C6D19" w:rsidP="00077A48">
      <w:pPr>
        <w:jc w:val="center"/>
      </w:pPr>
      <w:r>
        <w:t>Email: ngphloc@sunflowersoft.net</w:t>
      </w:r>
    </w:p>
    <w:p w:rsidR="00077A48" w:rsidRDefault="00077A48">
      <w:bookmarkStart w:id="0" w:name="_GoBack"/>
      <w:bookmarkEnd w:id="0"/>
    </w:p>
    <w:p w:rsidR="00F265F8" w:rsidRPr="00F265F8" w:rsidRDefault="00F265F8">
      <w:pPr>
        <w:rPr>
          <w:b/>
          <w:sz w:val="28"/>
          <w:szCs w:val="28"/>
        </w:rPr>
      </w:pPr>
      <w:r w:rsidRPr="00F265F8">
        <w:rPr>
          <w:b/>
          <w:sz w:val="28"/>
          <w:szCs w:val="28"/>
        </w:rPr>
        <w:t>Abstract</w:t>
      </w:r>
    </w:p>
    <w:p w:rsidR="00F265F8" w:rsidRDefault="00CA1843">
      <w:r>
        <w:t xml:space="preserve">Hospital quality assessment is key subject in hospital management. Patient satisfaction </w:t>
      </w:r>
      <w:r w:rsidR="00544022">
        <w:t xml:space="preserve">called criterion </w:t>
      </w:r>
      <w:r w:rsidR="00544022" w:rsidRPr="00544022">
        <w:rPr>
          <w:i/>
        </w:rPr>
        <w:t>F</w:t>
      </w:r>
      <w:r w:rsidR="00544022">
        <w:t xml:space="preserve"> is an important quality measure. It </w:t>
      </w:r>
      <w:r>
        <w:t xml:space="preserve">is necessary to </w:t>
      </w:r>
      <w:r w:rsidR="00544022">
        <w:t xml:space="preserve">use </w:t>
      </w:r>
      <w:r w:rsidR="00544022" w:rsidRPr="00544022">
        <w:rPr>
          <w:i/>
        </w:rPr>
        <w:t>F</w:t>
      </w:r>
      <w:r w:rsidR="00544022">
        <w:t xml:space="preserve"> as control factor to i</w:t>
      </w:r>
      <w:r>
        <w:t xml:space="preserve">mprove gradually the hospital management process. </w:t>
      </w:r>
      <w:r w:rsidR="00544022">
        <w:t xml:space="preserve">Because </w:t>
      </w:r>
      <w:r w:rsidR="00544022" w:rsidRPr="00544022">
        <w:rPr>
          <w:i/>
        </w:rPr>
        <w:t>F</w:t>
      </w:r>
      <w:r w:rsidR="00544022">
        <w:t xml:space="preserve"> </w:t>
      </w:r>
      <w:r>
        <w:t>is fuzzy</w:t>
      </w:r>
      <w:r w:rsidR="00544022">
        <w:t>,</w:t>
      </w:r>
      <w:r>
        <w:t xml:space="preserve"> I propose a </w:t>
      </w:r>
      <w:r w:rsidR="00544022">
        <w:t xml:space="preserve">so-called non-parametric </w:t>
      </w:r>
      <w:r>
        <w:t>quality control (</w:t>
      </w:r>
      <w:r w:rsidR="00544022">
        <w:t>N</w:t>
      </w:r>
      <w:r>
        <w:t xml:space="preserve">QC) </w:t>
      </w:r>
      <w:r w:rsidR="00544022">
        <w:t xml:space="preserve">method that is combination of non-parametric test and quality control chart </w:t>
      </w:r>
      <w:proofErr w:type="gramStart"/>
      <w:r w:rsidR="00544022">
        <w:t>in order to</w:t>
      </w:r>
      <w:proofErr w:type="gramEnd"/>
      <w:r w:rsidR="00544022">
        <w:t xml:space="preserve"> estimate </w:t>
      </w:r>
      <w:r w:rsidR="00544022" w:rsidRPr="00544022">
        <w:rPr>
          <w:i/>
        </w:rPr>
        <w:t>F</w:t>
      </w:r>
      <w:r w:rsidR="00544022">
        <w:t>.</w:t>
      </w:r>
      <w:r>
        <w:t xml:space="preserve"> </w:t>
      </w:r>
      <w:r w:rsidR="00544022">
        <w:t xml:space="preserve">If </w:t>
      </w:r>
      <w:r w:rsidR="00544022" w:rsidRPr="00544022">
        <w:rPr>
          <w:i/>
        </w:rPr>
        <w:t>F</w:t>
      </w:r>
      <w:r w:rsidR="00544022">
        <w:t xml:space="preserve"> becomes a vector composed of many sub-criteria then, NQC method is extended as multivariate NQC (MNQC) method </w:t>
      </w:r>
      <w:r w:rsidR="009B5D3A">
        <w:t xml:space="preserve">used for evaluating many </w:t>
      </w:r>
      <w:r w:rsidR="00FD59E6">
        <w:t xml:space="preserve">concerned </w:t>
      </w:r>
      <w:r w:rsidR="009B5D3A">
        <w:t>opinions of patients.</w:t>
      </w:r>
      <w:r w:rsidR="002D2557">
        <w:t xml:space="preserve"> MNQC replaces the distance between observation and null hypothesis by their Pearson coefficient. This research is a proposal because I do not make experiments on NQC and MNQC yet.</w:t>
      </w:r>
    </w:p>
    <w:p w:rsidR="00CA1843" w:rsidRDefault="00CA1843"/>
    <w:p w:rsidR="00F265F8" w:rsidRDefault="00F265F8">
      <w:r w:rsidRPr="00CA1843">
        <w:rPr>
          <w:b/>
        </w:rPr>
        <w:t>Keywords</w:t>
      </w:r>
      <w:r>
        <w:t xml:space="preserve">: patient satisfaction, hospital management, </w:t>
      </w:r>
      <w:r w:rsidR="006F4E30">
        <w:t xml:space="preserve">non-parametric test, quality control chart, </w:t>
      </w:r>
      <w:r>
        <w:t>non-parametric quality control, multivariate non-parametric quality control</w:t>
      </w:r>
      <w:r w:rsidR="00CA1843">
        <w:t>.</w:t>
      </w:r>
    </w:p>
    <w:p w:rsidR="00F265F8" w:rsidRDefault="00F265F8"/>
    <w:p w:rsidR="00FF0136" w:rsidRPr="003B15FF" w:rsidRDefault="00FF0136">
      <w:pPr>
        <w:rPr>
          <w:b/>
          <w:sz w:val="28"/>
          <w:szCs w:val="28"/>
        </w:rPr>
      </w:pPr>
      <w:r w:rsidRPr="003B15FF">
        <w:rPr>
          <w:b/>
          <w:sz w:val="28"/>
          <w:szCs w:val="28"/>
        </w:rPr>
        <w:t>1. Introduction</w:t>
      </w:r>
    </w:p>
    <w:p w:rsidR="009D2BD7" w:rsidRDefault="009D2BD7">
      <w:r>
        <w:t xml:space="preserve">The </w:t>
      </w:r>
      <w:r w:rsidRPr="00E4035E">
        <w:rPr>
          <w:i/>
        </w:rPr>
        <w:t>set of quality criteria</w:t>
      </w:r>
      <w:r>
        <w:t xml:space="preserve"> (SQC) for evaluating </w:t>
      </w:r>
      <w:r w:rsidR="00735082">
        <w:t xml:space="preserve">hospital </w:t>
      </w:r>
      <w:r w:rsidR="00993ECA">
        <w:t xml:space="preserve">quality </w:t>
      </w:r>
      <w:sdt>
        <w:sdtPr>
          <w:id w:val="-398055018"/>
          <w:citation/>
        </w:sdtPr>
        <w:sdtEndPr/>
        <w:sdtContent>
          <w:r w:rsidR="00735082">
            <w:fldChar w:fldCharType="begin"/>
          </w:r>
          <w:r w:rsidR="00735082">
            <w:instrText xml:space="preserve"> CITATION LuongNguyen2013 \l 1033 </w:instrText>
          </w:r>
          <w:r w:rsidR="00735082">
            <w:fldChar w:fldCharType="separate"/>
          </w:r>
          <w:r w:rsidR="00735082">
            <w:rPr>
              <w:noProof/>
            </w:rPr>
            <w:t>(Luong &amp; Nguyen, 2013)</w:t>
          </w:r>
          <w:r w:rsidR="00735082">
            <w:fldChar w:fldCharType="end"/>
          </w:r>
        </w:sdtContent>
      </w:sdt>
      <w:r w:rsidR="00735082">
        <w:t xml:space="preserve"> </w:t>
      </w:r>
      <w:r>
        <w:t xml:space="preserve">is issued by </w:t>
      </w:r>
      <w:r w:rsidR="00BA73A0">
        <w:t xml:space="preserve">Vietnam </w:t>
      </w:r>
      <w:r>
        <w:t xml:space="preserve">Ministry of Health </w:t>
      </w:r>
      <w:r w:rsidR="005F200E">
        <w:t xml:space="preserve">(MOH) </w:t>
      </w:r>
      <w:r>
        <w:t>is clear and it is easy to measure such SQ</w:t>
      </w:r>
      <w:r w:rsidR="00F37B5F">
        <w:t>C</w:t>
      </w:r>
      <w:r>
        <w:t xml:space="preserve"> according to quality ranks.</w:t>
      </w:r>
      <w:r w:rsidR="00FD1EC0">
        <w:t xml:space="preserve"> </w:t>
      </w:r>
      <w:r w:rsidR="00EE71E0">
        <w:t>The term “</w:t>
      </w:r>
      <w:r w:rsidR="00EE71E0" w:rsidRPr="00E4035E">
        <w:rPr>
          <w:i/>
        </w:rPr>
        <w:t>hospital</w:t>
      </w:r>
      <w:r w:rsidR="00EE71E0">
        <w:t xml:space="preserve">” indicates hospital, clinic, </w:t>
      </w:r>
      <w:r w:rsidR="004055F2">
        <w:t>and healthcare</w:t>
      </w:r>
      <w:r w:rsidR="00EE71E0">
        <w:t xml:space="preserve"> system. </w:t>
      </w:r>
      <w:r w:rsidR="00344A2C">
        <w:t xml:space="preserve">As a convention, a </w:t>
      </w:r>
      <w:r w:rsidR="00344A2C" w:rsidRPr="006A3783">
        <w:rPr>
          <w:i/>
        </w:rPr>
        <w:t>period</w:t>
      </w:r>
      <w:r w:rsidR="00344A2C">
        <w:t xml:space="preserve"> </w:t>
      </w:r>
      <w:r w:rsidR="001C306A">
        <w:t>indicates</w:t>
      </w:r>
      <w:r w:rsidR="00344A2C">
        <w:t xml:space="preserve"> day, week, month, quarter, or year. A </w:t>
      </w:r>
      <w:r w:rsidR="00344A2C" w:rsidRPr="006A3783">
        <w:rPr>
          <w:i/>
        </w:rPr>
        <w:t>short period</w:t>
      </w:r>
      <w:r w:rsidR="00344A2C">
        <w:t xml:space="preserve"> </w:t>
      </w:r>
      <w:r w:rsidR="001C306A">
        <w:t xml:space="preserve">indicates </w:t>
      </w:r>
      <w:r w:rsidR="00344A2C">
        <w:t xml:space="preserve">day or week whereas a </w:t>
      </w:r>
      <w:r w:rsidR="00344A2C" w:rsidRPr="006A3783">
        <w:rPr>
          <w:i/>
        </w:rPr>
        <w:t>long period</w:t>
      </w:r>
      <w:r w:rsidR="00344A2C">
        <w:t xml:space="preserve"> </w:t>
      </w:r>
      <w:r w:rsidR="001C306A">
        <w:t xml:space="preserve">indicates </w:t>
      </w:r>
      <w:r w:rsidR="00344A2C">
        <w:t xml:space="preserve">month, quarter, or year. </w:t>
      </w:r>
      <w:r w:rsidR="00FD1EC0">
        <w:t xml:space="preserve">With </w:t>
      </w:r>
      <w:r w:rsidR="0074701E">
        <w:t xml:space="preserve">regard to </w:t>
      </w:r>
      <w:r w:rsidR="00FD1EC0">
        <w:t>the goal of serving patients by the best way</w:t>
      </w:r>
      <w:r w:rsidR="00FD03CA">
        <w:t xml:space="preserve">, patients’ satisfaction which is measured as criterion </w:t>
      </w:r>
      <w:r w:rsidR="00FD03CA" w:rsidRPr="00FD03CA">
        <w:rPr>
          <w:i/>
        </w:rPr>
        <w:t>F</w:t>
      </w:r>
      <w:r w:rsidR="00FD03CA">
        <w:t xml:space="preserve"> is important with note that </w:t>
      </w:r>
      <w:r w:rsidR="00FD03CA" w:rsidRPr="00FD03CA">
        <w:rPr>
          <w:i/>
        </w:rPr>
        <w:t>F</w:t>
      </w:r>
      <w:r w:rsidR="00FD03CA">
        <w:t xml:space="preserve"> can have sub-criterions.</w:t>
      </w:r>
      <w:r w:rsidR="005F200E">
        <w:t xml:space="preserve"> </w:t>
      </w:r>
      <w:r w:rsidR="00E4035E" w:rsidRPr="00E4035E">
        <w:rPr>
          <w:i/>
        </w:rPr>
        <w:t>F</w:t>
      </w:r>
      <w:r w:rsidR="00E4035E">
        <w:t xml:space="preserve"> is called </w:t>
      </w:r>
      <w:r w:rsidR="00E4035E" w:rsidRPr="00E4035E">
        <w:rPr>
          <w:i/>
        </w:rPr>
        <w:t>clinical satisfaction criterion</w:t>
      </w:r>
      <w:r w:rsidR="00E4035E">
        <w:t xml:space="preserve">. </w:t>
      </w:r>
      <w:r w:rsidR="005F200E">
        <w:t xml:space="preserve">Because </w:t>
      </w:r>
      <w:r w:rsidR="005F200E" w:rsidRPr="005F200E">
        <w:rPr>
          <w:i/>
        </w:rPr>
        <w:t>F</w:t>
      </w:r>
      <w:r w:rsidR="005F200E">
        <w:t xml:space="preserve"> is fuzzy, every hospital </w:t>
      </w:r>
      <w:r w:rsidR="00EF77A1">
        <w:t xml:space="preserve">should </w:t>
      </w:r>
      <w:r w:rsidR="005F200E">
        <w:t xml:space="preserve">measure </w:t>
      </w:r>
      <w:r w:rsidR="005F200E" w:rsidRPr="005F200E">
        <w:rPr>
          <w:i/>
        </w:rPr>
        <w:t>F</w:t>
      </w:r>
      <w:r w:rsidR="005F200E">
        <w:t xml:space="preserve"> by itself. When a hospital reaches high </w:t>
      </w:r>
      <w:r w:rsidR="005F200E" w:rsidRPr="00E6736E">
        <w:rPr>
          <w:i/>
        </w:rPr>
        <w:t>F</w:t>
      </w:r>
      <w:r w:rsidR="005F200E">
        <w:t>, it automatically meets SQ</w:t>
      </w:r>
      <w:r w:rsidR="00C649A0">
        <w:t>C</w:t>
      </w:r>
      <w:r w:rsidR="005F200E">
        <w:t xml:space="preserve">. </w:t>
      </w:r>
      <w:r w:rsidR="006C44D3">
        <w:t xml:space="preserve">However, </w:t>
      </w:r>
      <w:r w:rsidR="00E43E37">
        <w:t xml:space="preserve">it is not easy to </w:t>
      </w:r>
      <w:r w:rsidR="006C44D3">
        <w:t xml:space="preserve">estimate </w:t>
      </w:r>
      <w:r w:rsidR="006C44D3" w:rsidRPr="00E43E37">
        <w:rPr>
          <w:i/>
        </w:rPr>
        <w:t>F</w:t>
      </w:r>
      <w:r w:rsidR="006C44D3">
        <w:t xml:space="preserve"> in every </w:t>
      </w:r>
      <w:r w:rsidR="0091069D">
        <w:t xml:space="preserve">period </w:t>
      </w:r>
      <w:r w:rsidR="00A75452">
        <w:t>because waiting for responses from many patients to a questionnaire consumes much times, which is discouraged</w:t>
      </w:r>
      <w:r w:rsidR="00F965EB">
        <w:t xml:space="preserve"> task</w:t>
      </w:r>
      <w:r w:rsidR="00A75452">
        <w:t xml:space="preserve">. </w:t>
      </w:r>
      <w:r w:rsidR="00696784">
        <w:t xml:space="preserve">Therefore, applying </w:t>
      </w:r>
      <w:r w:rsidR="00696784" w:rsidRPr="00E4035E">
        <w:rPr>
          <w:i/>
        </w:rPr>
        <w:t>quality control</w:t>
      </w:r>
      <w:r w:rsidR="00696784">
        <w:t xml:space="preserve"> (QC) approach into evaluating </w:t>
      </w:r>
      <w:r w:rsidR="00696784" w:rsidRPr="00696784">
        <w:rPr>
          <w:i/>
        </w:rPr>
        <w:t>F</w:t>
      </w:r>
      <w:r w:rsidR="00696784">
        <w:t xml:space="preserve"> is an optimal solution</w:t>
      </w:r>
      <w:r w:rsidR="00EE0B56">
        <w:t xml:space="preserve">. I propose </w:t>
      </w:r>
      <w:r w:rsidR="00D95DE9">
        <w:t xml:space="preserve">a so-called </w:t>
      </w:r>
      <w:r w:rsidR="00D95DE9" w:rsidRPr="00E4035E">
        <w:rPr>
          <w:i/>
        </w:rPr>
        <w:t>QC process</w:t>
      </w:r>
      <w:r w:rsidR="00D95DE9">
        <w:t xml:space="preserve"> in which </w:t>
      </w:r>
      <w:r w:rsidR="00EE0B56">
        <w:t xml:space="preserve">every hospital establishes a group of </w:t>
      </w:r>
      <w:r w:rsidR="00EF77A1">
        <w:t>some</w:t>
      </w:r>
      <w:r w:rsidR="00EE0B56">
        <w:t xml:space="preserve"> officials called </w:t>
      </w:r>
      <w:r w:rsidR="00EE0B56" w:rsidRPr="00E4035E">
        <w:rPr>
          <w:i/>
        </w:rPr>
        <w:t>QC group</w:t>
      </w:r>
      <w:r w:rsidR="00EE0B56">
        <w:t xml:space="preserve"> who is responsible for asking a small </w:t>
      </w:r>
      <w:r w:rsidR="00361420">
        <w:t xml:space="preserve">enough </w:t>
      </w:r>
      <w:r w:rsidR="00EE0B56">
        <w:t xml:space="preserve">sample of patients about their satisfaction </w:t>
      </w:r>
      <w:r w:rsidR="00C44AC5">
        <w:t>rating</w:t>
      </w:r>
      <w:r w:rsidR="00904F52">
        <w:t>s</w:t>
      </w:r>
      <w:r w:rsidR="00EE0B56">
        <w:t xml:space="preserve"> for hospital service</w:t>
      </w:r>
      <w:r w:rsidR="00904F52">
        <w:t xml:space="preserve"> in every short period</w:t>
      </w:r>
      <w:r w:rsidR="00EE0B56">
        <w:t>.</w:t>
      </w:r>
      <w:r w:rsidR="008F00DE">
        <w:t xml:space="preserve"> </w:t>
      </w:r>
      <w:r w:rsidR="0052740E">
        <w:t xml:space="preserve">These ratings are used to determine </w:t>
      </w:r>
      <w:r w:rsidR="0052740E" w:rsidRPr="0052740E">
        <w:rPr>
          <w:i/>
        </w:rPr>
        <w:t>F</w:t>
      </w:r>
      <w:r w:rsidR="0052740E">
        <w:t xml:space="preserve">. </w:t>
      </w:r>
      <w:r w:rsidR="001D0094">
        <w:t>After e</w:t>
      </w:r>
      <w:r w:rsidR="008F00DE">
        <w:t xml:space="preserve">very </w:t>
      </w:r>
      <w:r w:rsidR="001D0094">
        <w:t>long period</w:t>
      </w:r>
      <w:r w:rsidR="008F00DE">
        <w:t xml:space="preserve">, hospital’s leader or KPI </w:t>
      </w:r>
      <w:sdt>
        <w:sdtPr>
          <w:id w:val="-622769340"/>
          <w:citation/>
        </w:sdtPr>
        <w:sdtEndPr/>
        <w:sdtContent>
          <w:r w:rsidR="00C91E7A">
            <w:fldChar w:fldCharType="begin"/>
          </w:r>
          <w:r w:rsidR="00C91E7A">
            <w:instrText xml:space="preserve"> CITATION Wikipedia2017KPI \l 1033 </w:instrText>
          </w:r>
          <w:r w:rsidR="00C91E7A">
            <w:fldChar w:fldCharType="separate"/>
          </w:r>
          <w:r w:rsidR="00C91E7A">
            <w:rPr>
              <w:noProof/>
            </w:rPr>
            <w:t>(Wikipedia, 2017)</w:t>
          </w:r>
          <w:r w:rsidR="00C91E7A">
            <w:fldChar w:fldCharType="end"/>
          </w:r>
        </w:sdtContent>
      </w:sdt>
      <w:r w:rsidR="00C91E7A">
        <w:t xml:space="preserve"> </w:t>
      </w:r>
      <w:r w:rsidR="008F00DE">
        <w:t xml:space="preserve">unit compares </w:t>
      </w:r>
      <w:r w:rsidR="008F00DE" w:rsidRPr="00F60F43">
        <w:rPr>
          <w:i/>
        </w:rPr>
        <w:t>F</w:t>
      </w:r>
      <w:r w:rsidR="008F00DE">
        <w:t xml:space="preserve"> and criteria </w:t>
      </w:r>
      <w:r w:rsidR="008F00DE" w:rsidRPr="00F60F43">
        <w:rPr>
          <w:i/>
        </w:rPr>
        <w:t>A</w:t>
      </w:r>
      <w:r w:rsidR="008F00DE">
        <w:t xml:space="preserve"> of SQC</w:t>
      </w:r>
      <w:r w:rsidR="00F60F43">
        <w:t xml:space="preserve"> in order to find out causes of problems related to hospital service.</w:t>
      </w:r>
      <w:r w:rsidR="005C3A15" w:rsidRPr="005C3A15">
        <w:t xml:space="preserve"> </w:t>
      </w:r>
      <w:r w:rsidR="00E4035E">
        <w:t>If hospital’</w:t>
      </w:r>
      <w:r w:rsidR="005C3A15" w:rsidRPr="005C3A15">
        <w:t xml:space="preserve">s leader needs to determine a </w:t>
      </w:r>
      <w:r w:rsidR="00872B57">
        <w:t>suspected</w:t>
      </w:r>
      <w:r w:rsidR="005C3A15" w:rsidRPr="005C3A15">
        <w:t xml:space="preserve"> factor which may be potential cause of lack of pat</w:t>
      </w:r>
      <w:r w:rsidR="00E4035E">
        <w:t>ients’</w:t>
      </w:r>
      <w:r w:rsidR="005C3A15" w:rsidRPr="005C3A15">
        <w:t xml:space="preserve"> satisfaction, </w:t>
      </w:r>
      <w:r w:rsidR="005C3A15" w:rsidRPr="005C3A15">
        <w:rPr>
          <w:i/>
        </w:rPr>
        <w:t>F</w:t>
      </w:r>
      <w:r w:rsidR="005C3A15" w:rsidRPr="005C3A15">
        <w:t xml:space="preserve"> is re-designed according to such factor. In other words, </w:t>
      </w:r>
      <w:r w:rsidR="005C3A15" w:rsidRPr="005C3A15">
        <w:rPr>
          <w:i/>
        </w:rPr>
        <w:t>F</w:t>
      </w:r>
      <w:r w:rsidR="005C3A15" w:rsidRPr="005C3A15">
        <w:t xml:space="preserve"> should be attached to criteria </w:t>
      </w:r>
      <w:r w:rsidR="005C3A15" w:rsidRPr="005C3A15">
        <w:rPr>
          <w:i/>
        </w:rPr>
        <w:t>A</w:t>
      </w:r>
      <w:r w:rsidR="005C3A15" w:rsidRPr="005C3A15">
        <w:t xml:space="preserve"> in SQC.</w:t>
      </w:r>
    </w:p>
    <w:p w:rsidR="00FF0136" w:rsidRDefault="00FF0136" w:rsidP="00FF0136">
      <w:pPr>
        <w:ind w:firstLine="360"/>
      </w:pPr>
      <w:r>
        <w:t xml:space="preserve">Section 2 is </w:t>
      </w:r>
      <w:r w:rsidR="00EF77A1">
        <w:t>description</w:t>
      </w:r>
      <w:r>
        <w:t xml:space="preserve"> of criterion </w:t>
      </w:r>
      <w:r w:rsidRPr="00FF0136">
        <w:rPr>
          <w:i/>
        </w:rPr>
        <w:t>F</w:t>
      </w:r>
      <w:r>
        <w:t xml:space="preserve"> and QC process whose core is non-parametric quality control (NQC) method. </w:t>
      </w:r>
      <w:r w:rsidR="003B15FF">
        <w:t xml:space="preserve">NQC is extended as multivariate NQC with complicated criterion </w:t>
      </w:r>
      <w:r w:rsidR="003B15FF" w:rsidRPr="003B15FF">
        <w:rPr>
          <w:i/>
        </w:rPr>
        <w:t>F</w:t>
      </w:r>
      <w:r w:rsidR="003B15FF">
        <w:t xml:space="preserve"> in section 3. Section 4 is the discussion.</w:t>
      </w:r>
    </w:p>
    <w:p w:rsidR="00FF0136" w:rsidRDefault="00FF0136"/>
    <w:p w:rsidR="00FF0136" w:rsidRPr="003B15FF" w:rsidRDefault="00FF0136">
      <w:pPr>
        <w:rPr>
          <w:b/>
          <w:sz w:val="28"/>
          <w:szCs w:val="28"/>
        </w:rPr>
      </w:pPr>
      <w:r w:rsidRPr="003B15FF">
        <w:rPr>
          <w:b/>
          <w:sz w:val="28"/>
          <w:szCs w:val="28"/>
        </w:rPr>
        <w:t>2. Non-parametric quality control (NQC)</w:t>
      </w:r>
      <w:r w:rsidR="00720876">
        <w:rPr>
          <w:b/>
          <w:sz w:val="28"/>
          <w:szCs w:val="28"/>
        </w:rPr>
        <w:t xml:space="preserve"> method</w:t>
      </w:r>
    </w:p>
    <w:p w:rsidR="004055F2" w:rsidRDefault="00FF0136" w:rsidP="00FF0136">
      <w:r>
        <w:lastRenderedPageBreak/>
        <w:t xml:space="preserve">In this section, I describe </w:t>
      </w:r>
      <w:r w:rsidR="004055F2">
        <w:t xml:space="preserve">how to measure </w:t>
      </w:r>
      <w:r w:rsidR="004055F2" w:rsidRPr="00933F0B">
        <w:rPr>
          <w:i/>
        </w:rPr>
        <w:t>F</w:t>
      </w:r>
      <w:r w:rsidR="00A25445">
        <w:t xml:space="preserve"> by QC </w:t>
      </w:r>
      <w:r w:rsidR="007A427F">
        <w:t>process</w:t>
      </w:r>
      <w:r w:rsidR="00A25445">
        <w:t>.</w:t>
      </w:r>
      <w:r w:rsidR="0048597E">
        <w:t xml:space="preserve"> Because patien</w:t>
      </w:r>
      <w:r w:rsidR="00BC1A1A">
        <w:t xml:space="preserve">ts’ </w:t>
      </w:r>
      <w:r w:rsidR="00372E8C">
        <w:t xml:space="preserve">ratings about their </w:t>
      </w:r>
      <w:r w:rsidR="00BC1A1A">
        <w:t>satisfaction do not conform</w:t>
      </w:r>
      <w:r w:rsidR="0048597E">
        <w:t xml:space="preserve"> normal distribution, </w:t>
      </w:r>
      <w:r w:rsidR="00372E8C">
        <w:t>I</w:t>
      </w:r>
      <w:r w:rsidR="0048597E">
        <w:t xml:space="preserve"> </w:t>
      </w:r>
      <w:r w:rsidR="00372E8C">
        <w:t xml:space="preserve">propose a so-called </w:t>
      </w:r>
      <w:r w:rsidR="0048597E" w:rsidRPr="00E4035E">
        <w:rPr>
          <w:i/>
        </w:rPr>
        <w:t>non-parametric quality control</w:t>
      </w:r>
      <w:r w:rsidR="0048597E">
        <w:t xml:space="preserve"> (NQC) </w:t>
      </w:r>
      <w:r w:rsidR="007D0B14">
        <w:t>method</w:t>
      </w:r>
      <w:r w:rsidR="00372E8C">
        <w:t xml:space="preserve"> </w:t>
      </w:r>
      <w:r w:rsidR="00770BA1">
        <w:t>to realize the QC process</w:t>
      </w:r>
      <w:r w:rsidR="0048597E">
        <w:t>.</w:t>
      </w:r>
      <w:r w:rsidR="000B3906">
        <w:t xml:space="preserve"> Suppose </w:t>
      </w:r>
      <w:r w:rsidR="000B3906" w:rsidRPr="006C28A5">
        <w:rPr>
          <w:i/>
        </w:rPr>
        <w:t>F</w:t>
      </w:r>
      <w:r w:rsidR="000B3906">
        <w:t xml:space="preserve"> reflects the criterion A1.3 “The satisfaction of patients about examination process”</w:t>
      </w:r>
      <w:r w:rsidR="00A976DA" w:rsidRPr="00A976DA">
        <w:t xml:space="preserve"> </w:t>
      </w:r>
      <w:sdt>
        <w:sdtPr>
          <w:id w:val="1021049691"/>
          <w:citation/>
        </w:sdtPr>
        <w:sdtEndPr/>
        <w:sdtContent>
          <w:r w:rsidR="00B74A8C">
            <w:fldChar w:fldCharType="begin"/>
          </w:r>
          <w:r w:rsidR="00B74A8C">
            <w:instrText xml:space="preserve">CITATION LuongNguyen2013 \p 1-6 \l 1033 </w:instrText>
          </w:r>
          <w:r w:rsidR="00B74A8C">
            <w:fldChar w:fldCharType="separate"/>
          </w:r>
          <w:r w:rsidR="00B74A8C">
            <w:rPr>
              <w:noProof/>
            </w:rPr>
            <w:t>(Luong &amp; Nguyen, 2013, pp. 1-6)</w:t>
          </w:r>
          <w:r w:rsidR="00B74A8C">
            <w:fldChar w:fldCharType="end"/>
          </w:r>
        </w:sdtContent>
      </w:sdt>
      <w:r w:rsidR="00B74A8C">
        <w:t xml:space="preserve"> </w:t>
      </w:r>
      <w:r w:rsidR="00A976DA">
        <w:t>in SQC</w:t>
      </w:r>
      <w:r w:rsidR="000B3906">
        <w:t>.</w:t>
      </w:r>
      <w:r w:rsidR="006C28A5">
        <w:t xml:space="preserve"> The pat</w:t>
      </w:r>
      <w:r w:rsidR="00C4261D">
        <w:t xml:space="preserve">ient response </w:t>
      </w:r>
      <w:r w:rsidR="00B161C5">
        <w:t>ranges</w:t>
      </w:r>
      <w:r w:rsidR="00C4261D">
        <w:t xml:space="preserve"> from 1 to 5 where </w:t>
      </w:r>
      <w:r w:rsidR="00B161C5">
        <w:t>ratings</w:t>
      </w:r>
      <w:r w:rsidR="00C4261D">
        <w:t xml:space="preserve"> 1 and 5 indicate </w:t>
      </w:r>
      <w:r w:rsidR="00B74149">
        <w:t>“least satisfied”</w:t>
      </w:r>
      <w:r w:rsidR="00C4261D">
        <w:t xml:space="preserve"> and </w:t>
      </w:r>
      <w:r w:rsidR="00B74149">
        <w:t>“most satisfied”</w:t>
      </w:r>
      <w:r w:rsidR="00C4261D">
        <w:t>, respectively.</w:t>
      </w:r>
      <w:r w:rsidR="007D0B14">
        <w:t xml:space="preserve"> NQC method is </w:t>
      </w:r>
      <w:r w:rsidR="00E74A61">
        <w:t>an</w:t>
      </w:r>
      <w:r w:rsidR="008E4D4B">
        <w:t xml:space="preserve"> </w:t>
      </w:r>
      <w:r w:rsidR="007D0B14">
        <w:t xml:space="preserve">application of Wilcoxon signed-rank test </w:t>
      </w:r>
      <w:sdt>
        <w:sdtPr>
          <w:id w:val="1968545914"/>
          <w:citation/>
        </w:sdtPr>
        <w:sdtEndPr/>
        <w:sdtContent>
          <w:r w:rsidR="007D0B14">
            <w:fldChar w:fldCharType="begin"/>
          </w:r>
          <w:r w:rsidR="007D0B14">
            <w:instrText xml:space="preserve">CITATION Wal12 \p 660-663 \l 1033 </w:instrText>
          </w:r>
          <w:r w:rsidR="007D0B14">
            <w:fldChar w:fldCharType="separate"/>
          </w:r>
          <w:r w:rsidR="007D0B14">
            <w:rPr>
              <w:noProof/>
            </w:rPr>
            <w:t>(Walpole, Myers, Myers, &amp; Ye, 2012, pp. 660-663)</w:t>
          </w:r>
          <w:r w:rsidR="007D0B14">
            <w:fldChar w:fldCharType="end"/>
          </w:r>
        </w:sdtContent>
      </w:sdt>
      <w:r w:rsidR="007D0B14">
        <w:t xml:space="preserve"> into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7D0B14">
        <w:t xml:space="preserve"> control chart</w:t>
      </w:r>
      <w:r w:rsidR="008E4D4B">
        <w:t xml:space="preserve"> </w:t>
      </w:r>
      <w:sdt>
        <w:sdtPr>
          <w:id w:val="-630390015"/>
          <w:citation/>
        </w:sdtPr>
        <w:sdtEndPr/>
        <w:sdtContent>
          <w:r w:rsidR="008E4D4B">
            <w:fldChar w:fldCharType="begin"/>
          </w:r>
          <w:r w:rsidR="008E4D4B">
            <w:instrText xml:space="preserve">CITATION Wal12 \p 684 \l 1033 </w:instrText>
          </w:r>
          <w:r w:rsidR="008E4D4B">
            <w:fldChar w:fldCharType="separate"/>
          </w:r>
          <w:r w:rsidR="008E4D4B">
            <w:rPr>
              <w:noProof/>
            </w:rPr>
            <w:t>(Walpole, Myers, Myers, &amp; Ye, 2012, p. 684)</w:t>
          </w:r>
          <w:r w:rsidR="008E4D4B">
            <w:fldChar w:fldCharType="end"/>
          </w:r>
        </w:sdtContent>
      </w:sdt>
      <w:r w:rsidR="007D0B14">
        <w:t xml:space="preserve">. Let </w:t>
      </w:r>
      <w:r w:rsidR="007D0B14" w:rsidRPr="007D0B14">
        <w:rPr>
          <w:i/>
        </w:rPr>
        <w:t>X</w:t>
      </w:r>
      <w:r w:rsidR="007D0B14">
        <w:t xml:space="preserve"> = {</w:t>
      </w:r>
      <w:r w:rsidR="007D0B14" w:rsidRPr="007D0B14">
        <w:rPr>
          <w:i/>
        </w:rPr>
        <w:t>x</w:t>
      </w:r>
      <w:r w:rsidR="007D0B14" w:rsidRPr="007D0B14">
        <w:rPr>
          <w:vertAlign w:val="subscript"/>
        </w:rPr>
        <w:t>1</w:t>
      </w:r>
      <w:r w:rsidR="007D0B14">
        <w:t xml:space="preserve">, </w:t>
      </w:r>
      <w:r w:rsidR="007D0B14" w:rsidRPr="007D0B14">
        <w:rPr>
          <w:i/>
        </w:rPr>
        <w:t>x</w:t>
      </w:r>
      <w:proofErr w:type="gramStart"/>
      <w:r w:rsidR="007D0B14" w:rsidRPr="007D0B14">
        <w:rPr>
          <w:vertAlign w:val="subscript"/>
        </w:rPr>
        <w:t>2</w:t>
      </w:r>
      <w:r w:rsidR="007D0B14">
        <w:t>,…</w:t>
      </w:r>
      <w:proofErr w:type="gramEnd"/>
      <w:r w:rsidR="007D0B14">
        <w:t xml:space="preserve">, </w:t>
      </w:r>
      <w:proofErr w:type="spellStart"/>
      <w:r w:rsidR="007D0B14" w:rsidRPr="007D0B14">
        <w:rPr>
          <w:i/>
        </w:rPr>
        <w:t>x</w:t>
      </w:r>
      <w:r w:rsidR="007D0B14" w:rsidRPr="007D0B14">
        <w:rPr>
          <w:i/>
          <w:vertAlign w:val="subscript"/>
        </w:rPr>
        <w:t>n</w:t>
      </w:r>
      <w:proofErr w:type="spellEnd"/>
      <w:r w:rsidR="007D0B14">
        <w:t xml:space="preserve">} be a small enough sample of </w:t>
      </w:r>
      <w:r w:rsidR="00B161C5">
        <w:t>ratings</w:t>
      </w:r>
      <w:r w:rsidR="007D0B14">
        <w:t xml:space="preserve"> that QC group collects from </w:t>
      </w:r>
      <w:r w:rsidR="007F4B81" w:rsidRPr="007F4B81">
        <w:rPr>
          <w:i/>
        </w:rPr>
        <w:t>n</w:t>
      </w:r>
      <w:r w:rsidR="007F4B81">
        <w:t xml:space="preserve"> </w:t>
      </w:r>
      <w:r w:rsidR="007D0B14">
        <w:t>patients</w:t>
      </w:r>
      <w:r w:rsidR="000C7448">
        <w:t xml:space="preserve"> for </w:t>
      </w:r>
      <w:r w:rsidR="003C1E18">
        <w:t xml:space="preserve">every </w:t>
      </w:r>
      <w:r w:rsidR="00735FE1">
        <w:t xml:space="preserve">short period as a </w:t>
      </w:r>
      <w:r w:rsidR="000C7448">
        <w:t>week</w:t>
      </w:r>
      <w:r w:rsidR="007D0B14">
        <w:t xml:space="preserve">. </w:t>
      </w:r>
      <w:r w:rsidR="00252BF3">
        <w:t xml:space="preserve">Each </w:t>
      </w:r>
      <w:r w:rsidR="00252BF3" w:rsidRPr="00252BF3">
        <w:rPr>
          <w:i/>
        </w:rPr>
        <w:t>x</w:t>
      </w:r>
      <w:r w:rsidR="00252BF3" w:rsidRPr="00DA03C6">
        <w:rPr>
          <w:i/>
          <w:vertAlign w:val="subscript"/>
        </w:rPr>
        <w:t>i</w:t>
      </w:r>
      <w:r w:rsidR="00252BF3">
        <w:t xml:space="preserve"> </w:t>
      </w:r>
      <w:r w:rsidR="001E55A3">
        <w:t>may</w:t>
      </w:r>
      <w:r w:rsidR="00252BF3">
        <w:t xml:space="preserve"> be associated with a cause </w:t>
      </w:r>
      <w:r w:rsidR="00252BF3" w:rsidRPr="00252BF3">
        <w:rPr>
          <w:i/>
        </w:rPr>
        <w:t>c</w:t>
      </w:r>
      <w:r w:rsidR="00252BF3" w:rsidRPr="00252BF3">
        <w:rPr>
          <w:i/>
          <w:vertAlign w:val="subscript"/>
        </w:rPr>
        <w:t>i</w:t>
      </w:r>
      <w:r w:rsidR="00252BF3">
        <w:t xml:space="preserve"> that a patient explains her/his rating on hospital quality. </w:t>
      </w:r>
      <w:r w:rsidR="007D0B14">
        <w:t xml:space="preserve">Suppose </w:t>
      </w:r>
      <w:r w:rsidR="00EF4921">
        <w:t xml:space="preserve">patient ratings range from 1 to 5 and </w:t>
      </w:r>
      <w:r w:rsidR="007D0B14">
        <w:t xml:space="preserve">the acceptable satisfied </w:t>
      </w:r>
      <w:r w:rsidR="007F4B81">
        <w:t>rating</w:t>
      </w:r>
      <w:r w:rsidR="007D0B14">
        <w:t xml:space="preserve"> is </w:t>
      </w:r>
      <w:r w:rsidR="007D0B14" w:rsidRPr="007D0B14">
        <w:rPr>
          <w:rFonts w:cs="Times New Roman"/>
          <w:i/>
        </w:rPr>
        <w:t>μ</w:t>
      </w:r>
      <w:r w:rsidR="007D0B14" w:rsidRPr="007D0B14">
        <w:rPr>
          <w:vertAlign w:val="subscript"/>
        </w:rPr>
        <w:t>0</w:t>
      </w:r>
      <w:r w:rsidR="00E81FA0">
        <w:t xml:space="preserve"> = </w:t>
      </w:r>
      <w:r w:rsidR="00E81FA0">
        <w:rPr>
          <w:rFonts w:cs="Times New Roman"/>
        </w:rPr>
        <w:t xml:space="preserve">π </w:t>
      </w:r>
      <w:r w:rsidR="00641349">
        <w:rPr>
          <w:rFonts w:cs="Times New Roman"/>
        </w:rPr>
        <w:t xml:space="preserve">≈ </w:t>
      </w:r>
      <w:r w:rsidR="007D0B14">
        <w:t>3</w:t>
      </w:r>
      <w:r w:rsidR="00641349">
        <w:t xml:space="preserve">.14 which is </w:t>
      </w:r>
      <w:r w:rsidR="002B230B">
        <w:t xml:space="preserve">an </w:t>
      </w:r>
      <w:r w:rsidR="00641349">
        <w:t>irrational number</w:t>
      </w:r>
      <w:r w:rsidR="00DA36DC">
        <w:t xml:space="preserve">, </w:t>
      </w:r>
      <w:r w:rsidR="007D0B14">
        <w:t xml:space="preserve">for instance. Let </w:t>
      </w:r>
      <w:r w:rsidR="007D0B14" w:rsidRPr="007D0B14">
        <w:rPr>
          <w:i/>
        </w:rPr>
        <w:t>D</w:t>
      </w:r>
      <w:r w:rsidR="007D0B14">
        <w:t xml:space="preserve"> = {</w:t>
      </w:r>
      <w:r w:rsidR="007D0B14" w:rsidRPr="007D0B14">
        <w:rPr>
          <w:i/>
        </w:rPr>
        <w:t>d</w:t>
      </w:r>
      <w:r w:rsidR="007D0B14" w:rsidRPr="007D0B14">
        <w:rPr>
          <w:vertAlign w:val="subscript"/>
        </w:rPr>
        <w:t>1</w:t>
      </w:r>
      <w:r w:rsidR="007D0B14">
        <w:t xml:space="preserve">, </w:t>
      </w:r>
      <w:r w:rsidR="007D0B14" w:rsidRPr="007D0B14">
        <w:rPr>
          <w:i/>
        </w:rPr>
        <w:t>d</w:t>
      </w:r>
      <w:proofErr w:type="gramStart"/>
      <w:r w:rsidR="007D0B14" w:rsidRPr="007D0B14">
        <w:rPr>
          <w:vertAlign w:val="subscript"/>
        </w:rPr>
        <w:t>2</w:t>
      </w:r>
      <w:r w:rsidR="007D0B14">
        <w:t>,…</w:t>
      </w:r>
      <w:proofErr w:type="gramEnd"/>
      <w:r w:rsidR="007D0B14">
        <w:t xml:space="preserve">, </w:t>
      </w:r>
      <w:proofErr w:type="spellStart"/>
      <w:r w:rsidR="007D0B14" w:rsidRPr="007D0B14">
        <w:rPr>
          <w:i/>
        </w:rPr>
        <w:t>d</w:t>
      </w:r>
      <w:r w:rsidR="007D0B14" w:rsidRPr="00F35EF5">
        <w:rPr>
          <w:i/>
          <w:vertAlign w:val="subscript"/>
        </w:rPr>
        <w:t>n</w:t>
      </w:r>
      <w:proofErr w:type="spellEnd"/>
      <w:r w:rsidR="007D0B14">
        <w:t xml:space="preserve">} be </w:t>
      </w:r>
      <w:r w:rsidR="00DA6370">
        <w:t xml:space="preserve">a </w:t>
      </w:r>
      <w:r w:rsidR="007D0B14">
        <w:t xml:space="preserve">set of deviations where </w:t>
      </w:r>
      <w:r w:rsidR="006F78CA" w:rsidRPr="00EA5359">
        <w:rPr>
          <w:i/>
        </w:rPr>
        <w:t>d</w:t>
      </w:r>
      <w:r w:rsidR="006F78CA" w:rsidRPr="00EA5359">
        <w:rPr>
          <w:i/>
          <w:vertAlign w:val="subscript"/>
        </w:rPr>
        <w:t>i</w:t>
      </w:r>
      <w:r w:rsidR="006F78CA">
        <w:t xml:space="preserve"> = </w:t>
      </w:r>
      <w:r w:rsidR="006F78CA" w:rsidRPr="00EA5359">
        <w:rPr>
          <w:i/>
        </w:rPr>
        <w:t>x</w:t>
      </w:r>
      <w:r w:rsidR="006F78CA" w:rsidRPr="00EA5359">
        <w:rPr>
          <w:i/>
          <w:vertAlign w:val="subscript"/>
        </w:rPr>
        <w:t>i</w:t>
      </w:r>
      <w:r w:rsidR="006F78CA">
        <w:t>–</w:t>
      </w:r>
      <w:r w:rsidR="006F78CA" w:rsidRPr="00C52276">
        <w:rPr>
          <w:i/>
        </w:rPr>
        <w:t>μ</w:t>
      </w:r>
      <w:r w:rsidR="006F78CA" w:rsidRPr="00C52276">
        <w:rPr>
          <w:vertAlign w:val="subscript"/>
        </w:rPr>
        <w:t>0</w:t>
      </w:r>
      <w:r w:rsidR="006F78CA">
        <w:t xml:space="preserve"> </w:t>
      </w:r>
      <w:r w:rsidR="006F78CA">
        <w:rPr>
          <w:rFonts w:cs="Times New Roman"/>
        </w:rPr>
        <w:t>≠</w:t>
      </w:r>
      <w:r w:rsidR="006F78CA">
        <w:t xml:space="preserve"> 0</w:t>
      </w:r>
      <w:r w:rsidR="007D0B14">
        <w:t>.</w:t>
      </w:r>
      <w:r w:rsidR="00B612CD">
        <w:t xml:space="preserve"> </w:t>
      </w:r>
      <w:r w:rsidR="00B161C5">
        <w:t xml:space="preserve">We </w:t>
      </w:r>
      <w:r w:rsidR="00F35EF5">
        <w:t xml:space="preserve">assign a rank </w:t>
      </w:r>
      <w:proofErr w:type="spellStart"/>
      <w:r w:rsidR="00F35EF5" w:rsidRPr="00F35EF5">
        <w:rPr>
          <w:i/>
        </w:rPr>
        <w:t>r</w:t>
      </w:r>
      <w:r w:rsidR="00F35EF5" w:rsidRPr="00F35EF5">
        <w:rPr>
          <w:i/>
          <w:vertAlign w:val="subscript"/>
        </w:rPr>
        <w:t>i</w:t>
      </w:r>
      <w:proofErr w:type="spellEnd"/>
      <w:r w:rsidR="00F35EF5">
        <w:t xml:space="preserve"> to each deviation </w:t>
      </w:r>
      <w:r w:rsidR="00F35EF5" w:rsidRPr="00F35EF5">
        <w:rPr>
          <w:i/>
        </w:rPr>
        <w:t>d</w:t>
      </w:r>
      <w:r w:rsidR="00F35EF5" w:rsidRPr="00F35EF5">
        <w:rPr>
          <w:i/>
          <w:vertAlign w:val="subscript"/>
        </w:rPr>
        <w:t>i</w:t>
      </w:r>
      <w:r w:rsidR="00F35EF5">
        <w:t xml:space="preserve"> without regard to sign</w:t>
      </w:r>
      <w:r w:rsidR="006950BD">
        <w:t xml:space="preserve"> of </w:t>
      </w:r>
      <w:r w:rsidR="006950BD" w:rsidRPr="006950BD">
        <w:rPr>
          <w:i/>
        </w:rPr>
        <w:t>d</w:t>
      </w:r>
      <w:r w:rsidR="006950BD" w:rsidRPr="006950BD">
        <w:rPr>
          <w:i/>
          <w:vertAlign w:val="subscript"/>
        </w:rPr>
        <w:t>i</w:t>
      </w:r>
      <w:r w:rsidR="00F35EF5">
        <w:t xml:space="preserve">. Let </w:t>
      </w:r>
      <w:r w:rsidR="00F35EF5">
        <w:rPr>
          <w:i/>
        </w:rPr>
        <w:t>R</w:t>
      </w:r>
      <w:r w:rsidR="00F35EF5">
        <w:t xml:space="preserve"> = {</w:t>
      </w:r>
      <w:r w:rsidR="00F35EF5">
        <w:rPr>
          <w:i/>
        </w:rPr>
        <w:t>r</w:t>
      </w:r>
      <w:r w:rsidR="00F35EF5" w:rsidRPr="007D0B14">
        <w:rPr>
          <w:vertAlign w:val="subscript"/>
        </w:rPr>
        <w:t>1</w:t>
      </w:r>
      <w:r w:rsidR="00F35EF5">
        <w:t xml:space="preserve">, </w:t>
      </w:r>
      <w:r w:rsidR="00F35EF5">
        <w:rPr>
          <w:i/>
        </w:rPr>
        <w:t>r</w:t>
      </w:r>
      <w:proofErr w:type="gramStart"/>
      <w:r w:rsidR="00F35EF5" w:rsidRPr="007D0B14">
        <w:rPr>
          <w:vertAlign w:val="subscript"/>
        </w:rPr>
        <w:t>2</w:t>
      </w:r>
      <w:r w:rsidR="00F35EF5">
        <w:t>,…</w:t>
      </w:r>
      <w:proofErr w:type="gramEnd"/>
      <w:r w:rsidR="00F35EF5">
        <w:t xml:space="preserve">, </w:t>
      </w:r>
      <w:proofErr w:type="spellStart"/>
      <w:r w:rsidR="00F35EF5">
        <w:rPr>
          <w:i/>
        </w:rPr>
        <w:t>r</w:t>
      </w:r>
      <w:r w:rsidR="00F35EF5" w:rsidRPr="00F35EF5">
        <w:rPr>
          <w:i/>
          <w:vertAlign w:val="subscript"/>
        </w:rPr>
        <w:t>n</w:t>
      </w:r>
      <w:proofErr w:type="spellEnd"/>
      <w:r w:rsidR="00F35EF5">
        <w:t xml:space="preserve">} be set of ranks. </w:t>
      </w:r>
      <w:r w:rsidR="00B612CD">
        <w:t xml:space="preserve">Let </w:t>
      </w:r>
      <w:r w:rsidR="00DA6370">
        <w:rPr>
          <w:i/>
        </w:rPr>
        <w:t>W</w:t>
      </w:r>
      <w:r w:rsidR="00B80099">
        <w:rPr>
          <w:vertAlign w:val="superscript"/>
        </w:rPr>
        <w:t>+</w:t>
      </w:r>
      <w:r w:rsidR="00B612CD">
        <w:t xml:space="preserve"> be the sum of ranks whose corresponding deviations are </w:t>
      </w:r>
      <w:r w:rsidR="00B80099">
        <w:t>positive</w:t>
      </w:r>
      <w:r w:rsidR="00B74A8C">
        <w:t xml:space="preserve"> </w:t>
      </w:r>
      <w:r w:rsidR="000B2011">
        <w:t xml:space="preserve">according to equation 1 </w:t>
      </w:r>
      <w:sdt>
        <w:sdtPr>
          <w:id w:val="-1367753362"/>
          <w:citation/>
        </w:sdtPr>
        <w:sdtEndPr/>
        <w:sdtContent>
          <w:r w:rsidR="00B74A8C">
            <w:fldChar w:fldCharType="begin"/>
          </w:r>
          <w:r w:rsidR="003835FF">
            <w:instrText xml:space="preserve">CITATION Wal12 \p 660 \l 1033 </w:instrText>
          </w:r>
          <w:r w:rsidR="00B74A8C">
            <w:fldChar w:fldCharType="separate"/>
          </w:r>
          <w:r w:rsidR="003835FF">
            <w:rPr>
              <w:noProof/>
            </w:rPr>
            <w:t>(Walpole, Myers, Myers, &amp; Ye, 2012, p. 660)</w:t>
          </w:r>
          <w:r w:rsidR="00B74A8C">
            <w:fldChar w:fldCharType="end"/>
          </w:r>
        </w:sdtContent>
      </w:sdt>
      <w:r w:rsidR="009C7DCE"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4"/>
        <w:gridCol w:w="627"/>
      </w:tblGrid>
      <w:tr w:rsidR="000B2011" w:rsidTr="00FF6B2B">
        <w:tc>
          <w:tcPr>
            <w:tcW w:w="4665" w:type="pct"/>
          </w:tcPr>
          <w:p w:rsidR="000B2011" w:rsidRDefault="009C6D19" w:rsidP="00F6474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&gt;0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35" w:type="pct"/>
            <w:vAlign w:val="center"/>
          </w:tcPr>
          <w:p w:rsidR="000B2011" w:rsidRDefault="000B2011" w:rsidP="00F64743">
            <w:pPr>
              <w:jc w:val="right"/>
            </w:pPr>
            <w:r>
              <w:t>(1)</w:t>
            </w:r>
          </w:p>
        </w:tc>
      </w:tr>
    </w:tbl>
    <w:p w:rsidR="00DA36DC" w:rsidRDefault="00DA36DC" w:rsidP="00DA36DC">
      <w:r>
        <w:t xml:space="preserve">Given 95% confidence </w:t>
      </w:r>
      <w:r w:rsidR="00282FAA">
        <w:t>degree</w:t>
      </w:r>
      <w:r w:rsidR="003E586B">
        <w:t>,</w:t>
      </w:r>
      <w:r>
        <w:t xml:space="preserve"> </w:t>
      </w:r>
      <w:r w:rsidR="000B2011">
        <w:t xml:space="preserve">according to equation 2, </w:t>
      </w:r>
      <w:r>
        <w:t xml:space="preserve">the lower control limit </w:t>
      </w:r>
      <w:r w:rsidR="00E07498" w:rsidRPr="00C52276">
        <w:rPr>
          <w:i/>
        </w:rPr>
        <w:t>LCL</w:t>
      </w:r>
      <w:r w:rsidR="00E07498">
        <w:t xml:space="preserve"> </w:t>
      </w:r>
      <w:r>
        <w:t xml:space="preserve">of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control chart </w:t>
      </w:r>
      <w:r w:rsidR="005955DB">
        <w:t xml:space="preserve">of </w:t>
      </w:r>
      <w:r w:rsidR="00DA6370">
        <w:rPr>
          <w:i/>
        </w:rPr>
        <w:t>W</w:t>
      </w:r>
      <w:r w:rsidR="00B80099">
        <w:rPr>
          <w:vertAlign w:val="superscript"/>
        </w:rPr>
        <w:t>+</w:t>
      </w:r>
      <w:r w:rsidR="005955DB">
        <w:rPr>
          <w:vertAlign w:val="superscript"/>
        </w:rPr>
        <w:t xml:space="preserve"> </w:t>
      </w:r>
      <w:r w:rsidR="005955DB">
        <w:t>is</w:t>
      </w:r>
      <w:r w:rsidR="00B01C21">
        <w:t xml:space="preserve"> </w:t>
      </w:r>
      <w:sdt>
        <w:sdtPr>
          <w:id w:val="-1011990856"/>
          <w:citation/>
        </w:sdtPr>
        <w:sdtEndPr/>
        <w:sdtContent>
          <w:r w:rsidR="00B01C21">
            <w:fldChar w:fldCharType="begin"/>
          </w:r>
          <w:r w:rsidR="00B01C21">
            <w:instrText xml:space="preserve">CITATION Wal12 \p 684 \l 1033 </w:instrText>
          </w:r>
          <w:r w:rsidR="00B01C21">
            <w:fldChar w:fldCharType="separate"/>
          </w:r>
          <w:r w:rsidR="00B01C21">
            <w:rPr>
              <w:noProof/>
            </w:rPr>
            <w:t>(Walpole, Myers, Myers, &amp; Ye, 2012, p. 684)</w:t>
          </w:r>
          <w:r w:rsidR="00B01C21">
            <w:fldChar w:fldCharType="end"/>
          </w:r>
        </w:sdtContent>
      </w:sdt>
      <w: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4"/>
        <w:gridCol w:w="627"/>
      </w:tblGrid>
      <w:tr w:rsidR="000B2011" w:rsidTr="00FF6B2B">
        <w:tc>
          <w:tcPr>
            <w:tcW w:w="4665" w:type="pct"/>
          </w:tcPr>
          <w:p w:rsidR="000B2011" w:rsidRDefault="000B2011" w:rsidP="00F64743">
            <m:oMathPara>
              <m:oMath>
                <m:r>
                  <w:rPr>
                    <w:rFonts w:ascii="Cambria Math" w:hAnsi="Cambria Math"/>
                  </w:rPr>
                  <m:t>LCL=μ-1.65σ</m:t>
                </m:r>
              </m:oMath>
            </m:oMathPara>
          </w:p>
        </w:tc>
        <w:tc>
          <w:tcPr>
            <w:tcW w:w="335" w:type="pct"/>
            <w:vAlign w:val="center"/>
          </w:tcPr>
          <w:p w:rsidR="000B2011" w:rsidRDefault="000B2011" w:rsidP="00F64743">
            <w:pPr>
              <w:jc w:val="right"/>
            </w:pPr>
            <w:r>
              <w:t>(2)</w:t>
            </w:r>
          </w:p>
        </w:tc>
      </w:tr>
    </w:tbl>
    <w:p w:rsidR="00E07498" w:rsidRDefault="00667DB1" w:rsidP="00DA36DC">
      <w:r>
        <w:t xml:space="preserve">Where </w:t>
      </w:r>
      <w:r w:rsidR="00DA6370" w:rsidRPr="00DA6370">
        <w:rPr>
          <w:rFonts w:cs="Times New Roman"/>
          <w:i/>
        </w:rPr>
        <w:t>μ</w:t>
      </w:r>
      <w:r>
        <w:t xml:space="preserve"> and </w:t>
      </w:r>
      <w:r w:rsidRPr="00667DB1">
        <w:rPr>
          <w:rFonts w:cs="Times New Roman"/>
          <w:i/>
        </w:rPr>
        <w:t>σ</w:t>
      </w:r>
      <w:r w:rsidR="00DA6370" w:rsidRPr="00DA6370">
        <w:rPr>
          <w:rFonts w:cs="Times New Roman"/>
          <w:vertAlign w:val="superscript"/>
        </w:rPr>
        <w:t>2</w:t>
      </w:r>
      <w:r>
        <w:t xml:space="preserve"> are mean and </w:t>
      </w:r>
      <w:r w:rsidR="00DA6370">
        <w:t>variance</w:t>
      </w:r>
      <w:r>
        <w:t xml:space="preserve"> of </w:t>
      </w:r>
      <w:r w:rsidR="00DA6370">
        <w:rPr>
          <w:i/>
        </w:rPr>
        <w:t>W</w:t>
      </w:r>
      <w:r w:rsidRPr="00667DB1">
        <w:rPr>
          <w:vertAlign w:val="superscript"/>
        </w:rPr>
        <w:t>+</w:t>
      </w:r>
      <w:r>
        <w:t>, respectively. G</w:t>
      </w:r>
      <w:r w:rsidR="003C2781">
        <w:t xml:space="preserve">iven </w:t>
      </w:r>
      <w:r w:rsidR="003C2781" w:rsidRPr="003C2781">
        <w:rPr>
          <w:i/>
        </w:rPr>
        <w:t>n</w:t>
      </w:r>
      <w:r w:rsidR="003C2781">
        <w:t xml:space="preserve"> </w:t>
      </w:r>
      <w:r w:rsidR="003C2781">
        <w:rPr>
          <w:rFonts w:cs="Times New Roman"/>
        </w:rPr>
        <w:t>≥</w:t>
      </w:r>
      <w:r>
        <w:t xml:space="preserve"> 15, we have</w:t>
      </w:r>
      <w:r w:rsidRPr="00667DB1">
        <w:t xml:space="preserve"> </w:t>
      </w:r>
      <w:r w:rsidR="000B2011">
        <w:t xml:space="preserve">equation 3 </w:t>
      </w:r>
      <w:sdt>
        <w:sdtPr>
          <w:id w:val="-1202546417"/>
          <w:citation/>
        </w:sdtPr>
        <w:sdtEndPr/>
        <w:sdtContent>
          <w:r>
            <w:fldChar w:fldCharType="begin"/>
          </w:r>
          <w:r>
            <w:instrText xml:space="preserve">CITATION Wal12 \p 663 \l 1033 </w:instrText>
          </w:r>
          <w:r>
            <w:fldChar w:fldCharType="separate"/>
          </w:r>
          <w:r>
            <w:rPr>
              <w:noProof/>
            </w:rPr>
            <w:t>(Walpole, Myers, Myers, &amp; Ye, 2012, p. 663)</w:t>
          </w:r>
          <w:r>
            <w:fldChar w:fldCharType="end"/>
          </w:r>
        </w:sdtContent>
      </w:sdt>
      <w: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4"/>
        <w:gridCol w:w="627"/>
      </w:tblGrid>
      <w:tr w:rsidR="000B2011" w:rsidTr="00FF6B2B">
        <w:tc>
          <w:tcPr>
            <w:tcW w:w="4665" w:type="pct"/>
          </w:tcPr>
          <w:p w:rsidR="000B2011" w:rsidRDefault="000B2011" w:rsidP="00F64743">
            <m:oMathPara>
              <m:oMath>
                <m:r>
                  <w:rPr>
                    <w:rFonts w:ascii="Cambria Math" w:hAnsi="Cambria Math"/>
                  </w:rPr>
                  <m:t>μ=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and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2n+1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</m:den>
                </m:f>
              </m:oMath>
            </m:oMathPara>
          </w:p>
        </w:tc>
        <w:tc>
          <w:tcPr>
            <w:tcW w:w="335" w:type="pct"/>
            <w:vAlign w:val="center"/>
          </w:tcPr>
          <w:p w:rsidR="000B2011" w:rsidRDefault="000B2011" w:rsidP="00F64743">
            <w:pPr>
              <w:jc w:val="right"/>
            </w:pPr>
            <w:r>
              <w:t>(3)</w:t>
            </w:r>
          </w:p>
        </w:tc>
      </w:tr>
    </w:tbl>
    <w:p w:rsidR="00F72122" w:rsidRDefault="000C7448" w:rsidP="00DA36DC">
      <w:r>
        <w:t xml:space="preserve">After </w:t>
      </w:r>
      <w:r w:rsidR="003C1E18">
        <w:t xml:space="preserve">every </w:t>
      </w:r>
      <w:r w:rsidR="00A57F3A">
        <w:t xml:space="preserve">long period as a </w:t>
      </w:r>
      <w:r>
        <w:t xml:space="preserve">month </w:t>
      </w:r>
      <w:r w:rsidR="00A57F3A">
        <w:t>consisting of 4 weeks</w:t>
      </w:r>
      <w:r>
        <w:t>, hospital’s leader or KPI unit receives 4 sum</w:t>
      </w:r>
      <w:r w:rsidR="00F72122">
        <w:t>s</w:t>
      </w:r>
      <w:r>
        <w:t xml:space="preserve"> of ranks such as </w:t>
      </w:r>
      <w:r w:rsidR="00DA6370">
        <w:rPr>
          <w:i/>
        </w:rPr>
        <w:t>W</w:t>
      </w:r>
      <w:r w:rsidRPr="000C7448">
        <w:rPr>
          <w:vertAlign w:val="subscript"/>
        </w:rPr>
        <w:t>1</w:t>
      </w:r>
      <w:r w:rsidRPr="000C7448">
        <w:rPr>
          <w:vertAlign w:val="superscript"/>
        </w:rPr>
        <w:t>+</w:t>
      </w:r>
      <w:r>
        <w:t xml:space="preserve">, </w:t>
      </w:r>
      <w:r w:rsidR="00DA6370">
        <w:rPr>
          <w:i/>
        </w:rPr>
        <w:t>W</w:t>
      </w:r>
      <w:r w:rsidRPr="000C7448">
        <w:rPr>
          <w:vertAlign w:val="subscript"/>
        </w:rPr>
        <w:t>2</w:t>
      </w:r>
      <w:r w:rsidRPr="000C7448">
        <w:rPr>
          <w:vertAlign w:val="superscript"/>
        </w:rPr>
        <w:t>+</w:t>
      </w:r>
      <w:r>
        <w:t xml:space="preserve">, </w:t>
      </w:r>
      <w:r w:rsidR="00DA6370">
        <w:rPr>
          <w:i/>
        </w:rPr>
        <w:t>W</w:t>
      </w:r>
      <w:r w:rsidRPr="00F72122">
        <w:rPr>
          <w:vertAlign w:val="subscript"/>
        </w:rPr>
        <w:t>3</w:t>
      </w:r>
      <w:r w:rsidRPr="00F72122">
        <w:rPr>
          <w:vertAlign w:val="superscript"/>
        </w:rPr>
        <w:t>+</w:t>
      </w:r>
      <w:r>
        <w:t xml:space="preserve">, and </w:t>
      </w:r>
      <w:r w:rsidR="00DA6370">
        <w:rPr>
          <w:i/>
        </w:rPr>
        <w:t>W</w:t>
      </w:r>
      <w:r w:rsidRPr="00F72122">
        <w:rPr>
          <w:vertAlign w:val="subscript"/>
        </w:rPr>
        <w:t>4</w:t>
      </w:r>
      <w:r w:rsidRPr="00F72122">
        <w:rPr>
          <w:vertAlign w:val="superscript"/>
        </w:rPr>
        <w:t>+</w:t>
      </w:r>
      <w:r>
        <w:t>.</w:t>
      </w:r>
      <w:r w:rsidR="00F72122">
        <w:t xml:space="preserve"> If there exists a value </w:t>
      </w:r>
      <w:r w:rsidR="00DA6370">
        <w:rPr>
          <w:i/>
        </w:rPr>
        <w:t>W</w:t>
      </w:r>
      <w:r w:rsidR="00F72122" w:rsidRPr="00F72122">
        <w:rPr>
          <w:i/>
          <w:vertAlign w:val="subscript"/>
        </w:rPr>
        <w:t>i</w:t>
      </w:r>
      <w:r w:rsidR="00F72122">
        <w:rPr>
          <w:vertAlign w:val="superscript"/>
        </w:rPr>
        <w:t>+</w:t>
      </w:r>
      <w:r w:rsidR="00F72122">
        <w:t xml:space="preserve"> (</w:t>
      </w:r>
      <m:oMath>
        <m:r>
          <w:rPr>
            <w:rFonts w:ascii="Cambria Math" w:hAnsi="Cambria Math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1,4</m:t>
            </m:r>
          </m:e>
        </m:acc>
      </m:oMath>
      <w:r w:rsidR="00F72122">
        <w:t>) that falls out the lower control limit (</w:t>
      </w:r>
      <w:r w:rsidR="00DA6370">
        <w:rPr>
          <w:i/>
        </w:rPr>
        <w:t>W</w:t>
      </w:r>
      <w:r w:rsidR="00343632" w:rsidRPr="00F72122">
        <w:rPr>
          <w:i/>
          <w:vertAlign w:val="subscript"/>
        </w:rPr>
        <w:t>i</w:t>
      </w:r>
      <w:r w:rsidR="00343632">
        <w:rPr>
          <w:vertAlign w:val="superscript"/>
        </w:rPr>
        <w:t>+</w:t>
      </w:r>
      <w:r w:rsidR="00F72122">
        <w:t xml:space="preserve"> &lt; </w:t>
      </w:r>
      <w:r w:rsidR="00F72122" w:rsidRPr="00C52276">
        <w:rPr>
          <w:i/>
        </w:rPr>
        <w:t>LCL</w:t>
      </w:r>
      <w:r w:rsidR="00F72122">
        <w:t xml:space="preserve">) then, the criterion </w:t>
      </w:r>
      <w:r w:rsidR="00F72122" w:rsidRPr="00633B16">
        <w:rPr>
          <w:i/>
        </w:rPr>
        <w:t>F</w:t>
      </w:r>
      <w:r w:rsidR="00F72122">
        <w:t xml:space="preserve"> is not satisfied. </w:t>
      </w:r>
      <w:r w:rsidR="00C00CC0">
        <w:t xml:space="preserve">In this case, hospital’s leader will survey all causes </w:t>
      </w:r>
      <w:proofErr w:type="spellStart"/>
      <w:r w:rsidR="00C00CC0" w:rsidRPr="00C00CC0">
        <w:rPr>
          <w:i/>
        </w:rPr>
        <w:t>c</w:t>
      </w:r>
      <w:r w:rsidR="00C00CC0" w:rsidRPr="00C00CC0">
        <w:rPr>
          <w:i/>
          <w:vertAlign w:val="subscript"/>
        </w:rPr>
        <w:t>j</w:t>
      </w:r>
      <w:proofErr w:type="spellEnd"/>
      <w:r w:rsidR="00C00CC0">
        <w:t xml:space="preserve"> that patients provided in the </w:t>
      </w:r>
      <w:proofErr w:type="spellStart"/>
      <w:r w:rsidR="00C00CC0" w:rsidRPr="00C00CC0">
        <w:rPr>
          <w:i/>
        </w:rPr>
        <w:t>i</w:t>
      </w:r>
      <w:r w:rsidR="00C00CC0" w:rsidRPr="00C00CC0">
        <w:rPr>
          <w:i/>
          <w:vertAlign w:val="superscript"/>
        </w:rPr>
        <w:t>th</w:t>
      </w:r>
      <w:proofErr w:type="spellEnd"/>
      <w:r w:rsidR="00C00CC0">
        <w:t xml:space="preserve"> </w:t>
      </w:r>
      <w:r w:rsidR="00433AEE">
        <w:t>short period (</w:t>
      </w:r>
      <w:proofErr w:type="spellStart"/>
      <w:r w:rsidR="00433AEE" w:rsidRPr="00C00CC0">
        <w:rPr>
          <w:i/>
        </w:rPr>
        <w:t>i</w:t>
      </w:r>
      <w:r w:rsidR="00433AEE" w:rsidRPr="00C00CC0">
        <w:rPr>
          <w:i/>
          <w:vertAlign w:val="superscript"/>
        </w:rPr>
        <w:t>th</w:t>
      </w:r>
      <w:proofErr w:type="spellEnd"/>
      <w:r w:rsidR="00433AEE">
        <w:t xml:space="preserve"> week) </w:t>
      </w:r>
      <w:r w:rsidR="00C00CC0">
        <w:t xml:space="preserve">in order to find out ultimate cause of lack of satisfaction. </w:t>
      </w:r>
      <w:r w:rsidR="00F72122">
        <w:t>Otherwise, we conclude that patients are satisfied with the examination process of a given hospital with 95% confidence degree (1.65 sigma).</w:t>
      </w:r>
      <w:r w:rsidR="00276B06">
        <w:t xml:space="preserve"> When </w:t>
      </w:r>
      <w:r w:rsidR="006950BD">
        <w:t>NQC</w:t>
      </w:r>
      <w:r w:rsidR="00276B06">
        <w:t xml:space="preserve"> method is implemented, the control chart and its lower limit </w:t>
      </w:r>
      <w:r w:rsidR="00837576">
        <w:t>can be</w:t>
      </w:r>
      <w:r w:rsidR="00276B06">
        <w:t xml:space="preserve"> improved so that they are more </w:t>
      </w:r>
      <w:r w:rsidR="0058356E">
        <w:t>flexible</w:t>
      </w:r>
      <w:r w:rsidR="00276B06">
        <w:t>.</w:t>
      </w:r>
      <w:r w:rsidR="006950BD">
        <w:t xml:space="preserve"> </w:t>
      </w:r>
      <w:r w:rsidR="00735FE1">
        <w:t>Viewpoint</w:t>
      </w:r>
      <w:r w:rsidR="002C609D">
        <w:t xml:space="preserve"> behind </w:t>
      </w:r>
      <w:r w:rsidR="0091069D">
        <w:t>QC process is to consider hospital management as industry management.</w:t>
      </w:r>
      <w:r w:rsidR="002C609D">
        <w:t xml:space="preserve"> The </w:t>
      </w:r>
      <w:r w:rsidR="00151BAF">
        <w:t xml:space="preserve">QC process is repeated periodically until SQC is reached. </w:t>
      </w:r>
      <w:r w:rsidR="002F2824">
        <w:t>As a convention, QC group, KPI unit, and hospital’s leader are called users.</w:t>
      </w:r>
    </w:p>
    <w:p w:rsidR="005C075A" w:rsidRDefault="005C075A" w:rsidP="00282FAA">
      <w:pPr>
        <w:ind w:firstLine="360"/>
      </w:pPr>
      <w:r w:rsidRPr="005C075A">
        <w:t xml:space="preserve">If </w:t>
      </w:r>
      <w:r w:rsidR="00F4095E" w:rsidRPr="005C075A">
        <w:t>randomization</w:t>
      </w:r>
      <w:r w:rsidR="00F4095E">
        <w:t xml:space="preserve"> in survey is unintentionally violated</w:t>
      </w:r>
      <w:r w:rsidRPr="005C075A">
        <w:t xml:space="preserve">, NQC </w:t>
      </w:r>
      <w:r w:rsidR="00915E7C">
        <w:t>method</w:t>
      </w:r>
      <w:r w:rsidRPr="005C075A">
        <w:t xml:space="preserve"> can be </w:t>
      </w:r>
      <w:r w:rsidR="00C8595F">
        <w:t>misinterpreted</w:t>
      </w:r>
      <w:r w:rsidRPr="005C075A">
        <w:t xml:space="preserve">. </w:t>
      </w:r>
      <w:r w:rsidR="00F4095E">
        <w:t>So</w:t>
      </w:r>
      <w:r w:rsidRPr="005C075A">
        <w:t xml:space="preserve"> </w:t>
      </w:r>
      <w:r w:rsidRPr="005C075A">
        <w:rPr>
          <w:i/>
        </w:rPr>
        <w:t>F</w:t>
      </w:r>
      <w:r w:rsidRPr="005C075A">
        <w:t xml:space="preserve"> is fuzzy but it is essential to use </w:t>
      </w:r>
      <w:r w:rsidRPr="005C075A">
        <w:rPr>
          <w:i/>
        </w:rPr>
        <w:t>F</w:t>
      </w:r>
      <w:r w:rsidRPr="005C075A">
        <w:t xml:space="preserve"> as </w:t>
      </w:r>
      <w:r w:rsidRPr="00E4035E">
        <w:rPr>
          <w:i/>
        </w:rPr>
        <w:t>control factor</w:t>
      </w:r>
      <w:r w:rsidRPr="005C075A">
        <w:t xml:space="preserve"> for improving SQC with regard to ideology of Kaizen </w:t>
      </w:r>
      <w:sdt>
        <w:sdtPr>
          <w:id w:val="-1404447307"/>
          <w:citation/>
        </w:sdtPr>
        <w:sdtEndPr/>
        <w:sdtContent>
          <w:r w:rsidR="00F80D66">
            <w:fldChar w:fldCharType="begin"/>
          </w:r>
          <w:r w:rsidR="00F80D66">
            <w:instrText xml:space="preserve"> CITATION Wikipedia2017Kaizen \l 1033 </w:instrText>
          </w:r>
          <w:r w:rsidR="00F80D66">
            <w:fldChar w:fldCharType="separate"/>
          </w:r>
          <w:r w:rsidR="00F80D66">
            <w:rPr>
              <w:noProof/>
            </w:rPr>
            <w:t>(Wikipedia, Kaizen, 2017)</w:t>
          </w:r>
          <w:r w:rsidR="00F80D66">
            <w:fldChar w:fldCharType="end"/>
          </w:r>
        </w:sdtContent>
      </w:sdt>
      <w:r w:rsidR="00F80D66">
        <w:t xml:space="preserve"> </w:t>
      </w:r>
      <w:r w:rsidRPr="005C075A">
        <w:t>and 5S</w:t>
      </w:r>
      <w:r w:rsidR="00F80D66">
        <w:t xml:space="preserve"> </w:t>
      </w:r>
      <w:sdt>
        <w:sdtPr>
          <w:id w:val="577168019"/>
          <w:citation/>
        </w:sdtPr>
        <w:sdtEndPr/>
        <w:sdtContent>
          <w:r w:rsidR="00F80D66">
            <w:fldChar w:fldCharType="begin"/>
          </w:r>
          <w:r w:rsidR="00F80D66">
            <w:instrText xml:space="preserve"> CITATION Wikipedia20175S \l 1033 </w:instrText>
          </w:r>
          <w:r w:rsidR="00F80D66">
            <w:fldChar w:fldCharType="separate"/>
          </w:r>
          <w:r w:rsidR="00F80D66">
            <w:rPr>
              <w:noProof/>
            </w:rPr>
            <w:t>(Wikipedia, 5S (methodology), 2017)</w:t>
          </w:r>
          <w:r w:rsidR="00F80D66">
            <w:fldChar w:fldCharType="end"/>
          </w:r>
        </w:sdtContent>
      </w:sdt>
      <w:r w:rsidRPr="005C075A">
        <w:t>. Another weak point of NQC is that we cannot ask patients in serious conditions such as critical injury, cancer treatment, and post-operation whereas processing such cases is preeminence of large hospital</w:t>
      </w:r>
      <w:r w:rsidR="000A01A0">
        <w:t>s</w:t>
      </w:r>
      <w:r w:rsidRPr="005C075A">
        <w:t xml:space="preserve">. Therefore, the proposed QC process is most suitable to small hospitals and clinics </w:t>
      </w:r>
      <w:r w:rsidR="00BA1843">
        <w:t>in which</w:t>
      </w:r>
      <w:r w:rsidRPr="005C075A">
        <w:t xml:space="preserve"> most patients are outpatients. Larger hospitals should use </w:t>
      </w:r>
      <w:r w:rsidRPr="00984EBF">
        <w:rPr>
          <w:i/>
        </w:rPr>
        <w:t>F</w:t>
      </w:r>
      <w:r w:rsidRPr="005C075A">
        <w:t xml:space="preserve"> as control factor to achieve SQC. Anyhow, </w:t>
      </w:r>
      <w:r w:rsidRPr="00984EBF">
        <w:rPr>
          <w:i/>
        </w:rPr>
        <w:t>F</w:t>
      </w:r>
      <w:r w:rsidRPr="005C075A">
        <w:t xml:space="preserve"> is necessary because serious cases are processed </w:t>
      </w:r>
      <w:r w:rsidR="000B35CF">
        <w:t xml:space="preserve">likely </w:t>
      </w:r>
      <w:r w:rsidRPr="005C075A">
        <w:t xml:space="preserve">well </w:t>
      </w:r>
      <w:r w:rsidR="000B35CF">
        <w:t xml:space="preserve">as </w:t>
      </w:r>
      <w:r w:rsidRPr="005C075A">
        <w:t>patients with minor illness are satisfied.</w:t>
      </w:r>
    </w:p>
    <w:p w:rsidR="00415C8A" w:rsidRDefault="00415C8A" w:rsidP="00415C8A"/>
    <w:p w:rsidR="00415C8A" w:rsidRPr="003B15FF" w:rsidRDefault="00415C8A" w:rsidP="00415C8A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3B15FF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Multivariate n</w:t>
      </w:r>
      <w:r w:rsidRPr="003B15FF">
        <w:rPr>
          <w:b/>
          <w:sz w:val="28"/>
          <w:szCs w:val="28"/>
        </w:rPr>
        <w:t>on-parametric quality control (</w:t>
      </w:r>
      <w:r>
        <w:rPr>
          <w:b/>
          <w:sz w:val="28"/>
          <w:szCs w:val="28"/>
        </w:rPr>
        <w:t>M</w:t>
      </w:r>
      <w:r w:rsidRPr="003B15FF">
        <w:rPr>
          <w:b/>
          <w:sz w:val="28"/>
          <w:szCs w:val="28"/>
        </w:rPr>
        <w:t>NQC)</w:t>
      </w:r>
      <w:r w:rsidR="00720876">
        <w:rPr>
          <w:b/>
          <w:sz w:val="28"/>
          <w:szCs w:val="28"/>
        </w:rPr>
        <w:t xml:space="preserve"> method</w:t>
      </w:r>
    </w:p>
    <w:p w:rsidR="00DA03C6" w:rsidRDefault="00233DC9" w:rsidP="00DA03C6">
      <w:r>
        <w:lastRenderedPageBreak/>
        <w:t xml:space="preserve">If </w:t>
      </w:r>
      <w:r w:rsidRPr="00233DC9">
        <w:rPr>
          <w:i/>
        </w:rPr>
        <w:t>F</w:t>
      </w:r>
      <w:r>
        <w:t xml:space="preserve"> is a vector of </w:t>
      </w:r>
      <w:r w:rsidRPr="00233DC9">
        <w:rPr>
          <w:i/>
        </w:rPr>
        <w:t>k</w:t>
      </w:r>
      <w:r>
        <w:t xml:space="preserve"> clinical satisfaction sub-criteria, </w:t>
      </w:r>
      <w:r w:rsidRPr="00233DC9">
        <w:rPr>
          <w:i/>
        </w:rPr>
        <w:t>F</w:t>
      </w:r>
      <w:r>
        <w:t xml:space="preserve"> = {</w:t>
      </w:r>
      <w:r w:rsidRPr="00233DC9">
        <w:rPr>
          <w:i/>
        </w:rPr>
        <w:t>f</w:t>
      </w:r>
      <w:r w:rsidRPr="00233DC9">
        <w:rPr>
          <w:vertAlign w:val="subscript"/>
        </w:rPr>
        <w:t>1</w:t>
      </w:r>
      <w:r>
        <w:t xml:space="preserve">, </w:t>
      </w:r>
      <w:r w:rsidRPr="00233DC9">
        <w:rPr>
          <w:i/>
        </w:rPr>
        <w:t>f</w:t>
      </w:r>
      <w:proofErr w:type="gramStart"/>
      <w:r w:rsidRPr="00233DC9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 w:rsidRPr="00233DC9">
        <w:rPr>
          <w:i/>
        </w:rPr>
        <w:t>f</w:t>
      </w:r>
      <w:r w:rsidRPr="00233DC9">
        <w:rPr>
          <w:i/>
          <w:vertAlign w:val="subscript"/>
        </w:rPr>
        <w:t>k</w:t>
      </w:r>
      <w:proofErr w:type="spellEnd"/>
      <w:r>
        <w:t>} then</w:t>
      </w:r>
      <w:r w:rsidR="002F2824">
        <w:t xml:space="preserve">, NQC method will produces </w:t>
      </w:r>
      <w:r w:rsidR="002F2824" w:rsidRPr="002F2824">
        <w:rPr>
          <w:i/>
        </w:rPr>
        <w:t>k</w:t>
      </w:r>
      <w:r w:rsidR="002F2824">
        <w:t xml:space="preserve"> control charts. Each chart together its lower control limit are used for controlling one sub-criterion </w:t>
      </w:r>
      <w:r w:rsidR="002F2824" w:rsidRPr="002F2824">
        <w:rPr>
          <w:i/>
        </w:rPr>
        <w:t>f</w:t>
      </w:r>
      <w:r w:rsidR="002F2824" w:rsidRPr="002F2824">
        <w:rPr>
          <w:i/>
          <w:vertAlign w:val="subscript"/>
        </w:rPr>
        <w:t>i</w:t>
      </w:r>
      <w:r w:rsidR="002F2824">
        <w:t xml:space="preserve"> but this solution is not optimal because users wil</w:t>
      </w:r>
      <w:r w:rsidR="008A65A5">
        <w:t xml:space="preserve">l get confused with many charts and it is difficult for them to decide whether </w:t>
      </w:r>
      <w:r w:rsidR="008A65A5" w:rsidRPr="008A65A5">
        <w:rPr>
          <w:i/>
        </w:rPr>
        <w:t>F</w:t>
      </w:r>
      <w:r w:rsidR="008A65A5">
        <w:t xml:space="preserve"> is satisfied.</w:t>
      </w:r>
      <w:r w:rsidR="00BD38DD">
        <w:t xml:space="preserve"> I proposed a so-called multivariate non-parametric quality control (MNQC) method to solve this problem.</w:t>
      </w:r>
      <w:r w:rsidR="001B62E9">
        <w:t xml:space="preserve"> MNQC method always considers </w:t>
      </w:r>
      <w:r w:rsidR="001B62E9" w:rsidRPr="00FD7E20">
        <w:rPr>
          <w:i/>
        </w:rPr>
        <w:t>F</w:t>
      </w:r>
      <w:r w:rsidR="001B62E9">
        <w:t xml:space="preserve"> as a </w:t>
      </w:r>
      <w:r w:rsidR="00FC6B79">
        <w:t xml:space="preserve">unified </w:t>
      </w:r>
      <w:r w:rsidR="001B62E9">
        <w:t>vector.</w:t>
      </w:r>
      <w:r w:rsidR="00DA03C6">
        <w:t xml:space="preserve"> Recall that </w:t>
      </w:r>
      <w:r w:rsidR="00DA03C6" w:rsidRPr="007D0B14">
        <w:rPr>
          <w:i/>
        </w:rPr>
        <w:t>X</w:t>
      </w:r>
      <w:r w:rsidR="00DA03C6">
        <w:t xml:space="preserve"> = {</w:t>
      </w:r>
      <w:r w:rsidR="00C05323">
        <w:rPr>
          <w:i/>
        </w:rPr>
        <w:t>X</w:t>
      </w:r>
      <w:r w:rsidR="00DA03C6" w:rsidRPr="007D0B14">
        <w:rPr>
          <w:vertAlign w:val="subscript"/>
        </w:rPr>
        <w:t>1</w:t>
      </w:r>
      <w:r w:rsidR="00DA03C6">
        <w:t xml:space="preserve">, </w:t>
      </w:r>
      <w:r w:rsidR="00C05323">
        <w:rPr>
          <w:i/>
        </w:rPr>
        <w:t>X</w:t>
      </w:r>
      <w:proofErr w:type="gramStart"/>
      <w:r w:rsidR="00DA03C6" w:rsidRPr="007D0B14">
        <w:rPr>
          <w:vertAlign w:val="subscript"/>
        </w:rPr>
        <w:t>2</w:t>
      </w:r>
      <w:r w:rsidR="00DA03C6">
        <w:t>,…</w:t>
      </w:r>
      <w:proofErr w:type="gramEnd"/>
      <w:r w:rsidR="00DA03C6">
        <w:t xml:space="preserve">, </w:t>
      </w:r>
      <w:proofErr w:type="spellStart"/>
      <w:r w:rsidR="00C05323">
        <w:rPr>
          <w:i/>
        </w:rPr>
        <w:t>X</w:t>
      </w:r>
      <w:r w:rsidR="00DA03C6" w:rsidRPr="007D0B14">
        <w:rPr>
          <w:i/>
          <w:vertAlign w:val="subscript"/>
        </w:rPr>
        <w:t>n</w:t>
      </w:r>
      <w:proofErr w:type="spellEnd"/>
      <w:r w:rsidR="00DA03C6">
        <w:t xml:space="preserve">} be a small enough sample of rating vectors that QC group collects from </w:t>
      </w:r>
      <w:r w:rsidR="00DA03C6" w:rsidRPr="007F4B81">
        <w:rPr>
          <w:i/>
        </w:rPr>
        <w:t>n</w:t>
      </w:r>
      <w:r w:rsidR="00DA03C6">
        <w:t xml:space="preserve"> patients for every short period as a week but each </w:t>
      </w:r>
      <w:r w:rsidR="000B35CF" w:rsidRPr="000B35CF">
        <w:t>rating</w:t>
      </w:r>
      <w:r w:rsidR="000B35CF">
        <w:rPr>
          <w:i/>
        </w:rPr>
        <w:t xml:space="preserve"> </w:t>
      </w:r>
      <w:r w:rsidR="00DA03C6">
        <w:t xml:space="preserve">is now a vector </w:t>
      </w:r>
      <w:r w:rsidR="00C05323">
        <w:rPr>
          <w:i/>
        </w:rPr>
        <w:t>X</w:t>
      </w:r>
      <w:r w:rsidR="00DA03C6" w:rsidRPr="00DA03C6">
        <w:rPr>
          <w:i/>
          <w:vertAlign w:val="subscript"/>
        </w:rPr>
        <w:t>i</w:t>
      </w:r>
      <w:r w:rsidR="00DA03C6">
        <w:t xml:space="preserve"> = </w:t>
      </w:r>
      <w:r w:rsidR="00877555">
        <w:t>(</w:t>
      </w:r>
      <w:r w:rsidR="00DA03C6" w:rsidRPr="00DA03C6">
        <w:rPr>
          <w:i/>
        </w:rPr>
        <w:t>x</w:t>
      </w:r>
      <w:r w:rsidR="00DA03C6" w:rsidRPr="00DA03C6">
        <w:rPr>
          <w:i/>
          <w:vertAlign w:val="subscript"/>
        </w:rPr>
        <w:t>i</w:t>
      </w:r>
      <w:r w:rsidR="00DA03C6" w:rsidRPr="00DA03C6">
        <w:rPr>
          <w:vertAlign w:val="subscript"/>
        </w:rPr>
        <w:t>1</w:t>
      </w:r>
      <w:r w:rsidR="00DA03C6">
        <w:t xml:space="preserve">, </w:t>
      </w:r>
      <w:r w:rsidR="00DA03C6" w:rsidRPr="00DA03C6">
        <w:rPr>
          <w:i/>
        </w:rPr>
        <w:t>x</w:t>
      </w:r>
      <w:r w:rsidR="00DA03C6" w:rsidRPr="00DA03C6">
        <w:rPr>
          <w:i/>
          <w:vertAlign w:val="subscript"/>
        </w:rPr>
        <w:t>i</w:t>
      </w:r>
      <w:r w:rsidR="00DA03C6" w:rsidRPr="00DA03C6">
        <w:rPr>
          <w:vertAlign w:val="subscript"/>
        </w:rPr>
        <w:t>2</w:t>
      </w:r>
      <w:r w:rsidR="00DA03C6">
        <w:t xml:space="preserve">,…, </w:t>
      </w:r>
      <w:proofErr w:type="spellStart"/>
      <w:r w:rsidR="00DA03C6" w:rsidRPr="00DA03C6">
        <w:rPr>
          <w:i/>
        </w:rPr>
        <w:t>x</w:t>
      </w:r>
      <w:r w:rsidR="00DA03C6" w:rsidRPr="00DA03C6">
        <w:rPr>
          <w:i/>
          <w:vertAlign w:val="subscript"/>
        </w:rPr>
        <w:t>i</w:t>
      </w:r>
      <w:r w:rsidR="00C05323">
        <w:rPr>
          <w:i/>
          <w:vertAlign w:val="subscript"/>
        </w:rPr>
        <w:t>p</w:t>
      </w:r>
      <w:proofErr w:type="spellEnd"/>
      <w:r w:rsidR="00877555">
        <w:t>)</w:t>
      </w:r>
      <w:r w:rsidR="00877555" w:rsidRPr="00877555">
        <w:rPr>
          <w:i/>
          <w:vertAlign w:val="superscript"/>
        </w:rPr>
        <w:t>T</w:t>
      </w:r>
      <w:r w:rsidR="00DA03C6">
        <w:t xml:space="preserve"> where </w:t>
      </w:r>
      <w:proofErr w:type="spellStart"/>
      <w:r w:rsidR="00DA03C6" w:rsidRPr="00DA03C6">
        <w:rPr>
          <w:i/>
        </w:rPr>
        <w:t>x</w:t>
      </w:r>
      <w:r w:rsidR="00DA03C6" w:rsidRPr="00DA03C6">
        <w:rPr>
          <w:i/>
          <w:vertAlign w:val="subscript"/>
        </w:rPr>
        <w:t>ij</w:t>
      </w:r>
      <w:proofErr w:type="spellEnd"/>
      <w:r w:rsidR="00DA03C6">
        <w:t xml:space="preserve"> is a </w:t>
      </w:r>
      <w:r w:rsidR="000B35CF">
        <w:t xml:space="preserve">partial </w:t>
      </w:r>
      <w:r w:rsidR="00DA03C6">
        <w:t xml:space="preserve">rating value. </w:t>
      </w:r>
      <w:r w:rsidR="00045B58">
        <w:t>Note, notation “</w:t>
      </w:r>
      <w:r w:rsidR="00045B58" w:rsidRPr="00045B58">
        <w:rPr>
          <w:i/>
          <w:vertAlign w:val="superscript"/>
        </w:rPr>
        <w:t>T</w:t>
      </w:r>
      <w:r w:rsidR="00045B58">
        <w:t xml:space="preserve">” denotes the transposition operation in vector and matrix. </w:t>
      </w:r>
      <w:r w:rsidR="0072441D">
        <w:t xml:space="preserve">As a convention, the dimension of </w:t>
      </w:r>
      <w:r w:rsidR="0072441D" w:rsidRPr="0072441D">
        <w:rPr>
          <w:i/>
        </w:rPr>
        <w:t>X</w:t>
      </w:r>
      <w:r w:rsidR="0072441D" w:rsidRPr="0072441D">
        <w:rPr>
          <w:i/>
          <w:vertAlign w:val="subscript"/>
        </w:rPr>
        <w:t>i</w:t>
      </w:r>
      <w:r w:rsidR="0072441D">
        <w:t xml:space="preserve"> is </w:t>
      </w:r>
      <w:r w:rsidR="0072441D" w:rsidRPr="0072441D">
        <w:rPr>
          <w:i/>
        </w:rPr>
        <w:t>p</w:t>
      </w:r>
      <w:r w:rsidR="0072441D">
        <w:t xml:space="preserve">. </w:t>
      </w:r>
      <w:r w:rsidR="00DA03C6">
        <w:t xml:space="preserve">The </w:t>
      </w:r>
      <w:r w:rsidR="00DA03C6" w:rsidRPr="00DA03C6">
        <w:rPr>
          <w:i/>
        </w:rPr>
        <w:t xml:space="preserve">simplest </w:t>
      </w:r>
      <w:r w:rsidR="000100C0">
        <w:rPr>
          <w:i/>
        </w:rPr>
        <w:t>technique</w:t>
      </w:r>
      <w:r w:rsidR="00DA03C6">
        <w:t xml:space="preserve"> for MNQC method is to </w:t>
      </w:r>
      <w:r w:rsidR="009D3341">
        <w:t>define</w:t>
      </w:r>
      <w:r w:rsidR="00DA03C6">
        <w:t xml:space="preserve"> the deviation </w:t>
      </w:r>
      <w:r w:rsidR="00DA03C6" w:rsidRPr="00DA03C6">
        <w:rPr>
          <w:i/>
        </w:rPr>
        <w:t>d</w:t>
      </w:r>
      <w:r w:rsidR="00DA03C6" w:rsidRPr="00DA03C6">
        <w:rPr>
          <w:i/>
          <w:vertAlign w:val="subscript"/>
        </w:rPr>
        <w:t>i</w:t>
      </w:r>
      <w:r w:rsidR="00DA03C6">
        <w:t xml:space="preserve"> as </w:t>
      </w:r>
      <w:r w:rsidR="009D3341">
        <w:t xml:space="preserve">the opposite of </w:t>
      </w:r>
      <w:r w:rsidR="00DA03C6">
        <w:t xml:space="preserve">Pearson correlation between vector </w:t>
      </w:r>
      <w:r w:rsidR="0072441D">
        <w:rPr>
          <w:i/>
        </w:rPr>
        <w:t>X</w:t>
      </w:r>
      <w:r w:rsidR="00DA03C6" w:rsidRPr="00DA03C6">
        <w:rPr>
          <w:i/>
          <w:vertAlign w:val="subscript"/>
        </w:rPr>
        <w:t>i</w:t>
      </w:r>
      <w:r w:rsidR="00DA03C6">
        <w:t xml:space="preserve"> and the acceptable satisfied rating vector </w:t>
      </w:r>
      <w:r w:rsidR="00DA03C6" w:rsidRPr="007D0B14">
        <w:rPr>
          <w:rFonts w:cs="Times New Roman"/>
          <w:i/>
        </w:rPr>
        <w:t>μ</w:t>
      </w:r>
      <w:r w:rsidR="00DA03C6" w:rsidRPr="007D0B14">
        <w:rPr>
          <w:vertAlign w:val="subscript"/>
        </w:rPr>
        <w:t>0</w:t>
      </w:r>
      <w:r w:rsidR="00DA03C6">
        <w:t xml:space="preserve"> = {</w:t>
      </w:r>
      <w:r w:rsidR="00DA03C6" w:rsidRPr="007D0B14">
        <w:rPr>
          <w:rFonts w:cs="Times New Roman"/>
          <w:i/>
        </w:rPr>
        <w:t>μ</w:t>
      </w:r>
      <w:r w:rsidR="00DA03C6" w:rsidRPr="007D0B14">
        <w:rPr>
          <w:vertAlign w:val="subscript"/>
        </w:rPr>
        <w:t>0</w:t>
      </w:r>
      <w:r w:rsidR="00DA03C6">
        <w:rPr>
          <w:vertAlign w:val="subscript"/>
        </w:rPr>
        <w:t>1</w:t>
      </w:r>
      <w:r w:rsidR="00DA03C6">
        <w:t xml:space="preserve">, </w:t>
      </w:r>
      <w:r w:rsidR="00DA03C6" w:rsidRPr="007D0B14">
        <w:rPr>
          <w:rFonts w:cs="Times New Roman"/>
          <w:i/>
        </w:rPr>
        <w:t>μ</w:t>
      </w:r>
      <w:proofErr w:type="gramStart"/>
      <w:r w:rsidR="00DA03C6" w:rsidRPr="007D0B14">
        <w:rPr>
          <w:vertAlign w:val="subscript"/>
        </w:rPr>
        <w:t>0</w:t>
      </w:r>
      <w:r w:rsidR="00DA03C6">
        <w:rPr>
          <w:vertAlign w:val="subscript"/>
        </w:rPr>
        <w:t>2</w:t>
      </w:r>
      <w:r w:rsidR="00DA03C6">
        <w:t>,…</w:t>
      </w:r>
      <w:proofErr w:type="gramEnd"/>
      <w:r w:rsidR="00DA03C6">
        <w:t xml:space="preserve">, </w:t>
      </w:r>
      <w:r w:rsidR="00DA03C6" w:rsidRPr="007D0B14">
        <w:rPr>
          <w:rFonts w:cs="Times New Roman"/>
          <w:i/>
        </w:rPr>
        <w:t>μ</w:t>
      </w:r>
      <w:r w:rsidR="00DA03C6" w:rsidRPr="007D0B14">
        <w:rPr>
          <w:vertAlign w:val="subscript"/>
        </w:rPr>
        <w:t>0</w:t>
      </w:r>
      <w:r w:rsidR="00C05323">
        <w:rPr>
          <w:i/>
          <w:vertAlign w:val="subscript"/>
        </w:rPr>
        <w:t>p</w:t>
      </w:r>
      <w:r w:rsidR="00DA03C6">
        <w:t>}</w:t>
      </w:r>
      <w:r w:rsidR="000B2011">
        <w:t xml:space="preserve"> according to equation 4</w:t>
      </w:r>
      <w:r w:rsidR="00DA03C6">
        <w:t>.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4"/>
        <w:gridCol w:w="627"/>
      </w:tblGrid>
      <w:tr w:rsidR="000B2011" w:rsidTr="00FF6B2B">
        <w:tc>
          <w:tcPr>
            <w:tcW w:w="4665" w:type="pct"/>
          </w:tcPr>
          <w:p w:rsidR="000B2011" w:rsidRDefault="009C6D19" w:rsidP="00F6474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</m:den>
                </m:f>
              </m:oMath>
            </m:oMathPara>
          </w:p>
        </w:tc>
        <w:tc>
          <w:tcPr>
            <w:tcW w:w="335" w:type="pct"/>
            <w:vAlign w:val="center"/>
          </w:tcPr>
          <w:p w:rsidR="000B2011" w:rsidRDefault="000B2011" w:rsidP="00F64743">
            <w:pPr>
              <w:jc w:val="right"/>
            </w:pPr>
            <w:r>
              <w:t>(4)</w:t>
            </w:r>
          </w:p>
        </w:tc>
      </w:tr>
    </w:tbl>
    <w:p w:rsidR="00A53C31" w:rsidRDefault="00A53C31" w:rsidP="00A53C31">
      <w:r>
        <w:t>Where,</w:t>
      </w:r>
    </w:p>
    <w:p w:rsidR="00A53C31" w:rsidRPr="00A53C31" w:rsidRDefault="009C6D19" w:rsidP="00A53C3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m:rPr>
              <m:sty m:val="p"/>
            </m:rP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0j</m:t>
                  </m:r>
                </m:sub>
              </m:sSub>
            </m:e>
          </m:nary>
        </m:oMath>
      </m:oMathPara>
    </w:p>
    <w:p w:rsidR="00DA03C6" w:rsidRDefault="00E81FA0" w:rsidP="00DA03C6">
      <w:r>
        <w:t xml:space="preserve">As usual, we can set </w:t>
      </w:r>
      <w:r w:rsidRPr="007D0B14">
        <w:rPr>
          <w:rFonts w:cs="Times New Roman"/>
          <w:i/>
        </w:rPr>
        <w:t>μ</w:t>
      </w:r>
      <w:r w:rsidRPr="007D0B14">
        <w:rPr>
          <w:vertAlign w:val="subscript"/>
        </w:rPr>
        <w:t>0</w:t>
      </w:r>
      <w:r>
        <w:rPr>
          <w:vertAlign w:val="subscript"/>
        </w:rPr>
        <w:t>1</w:t>
      </w:r>
      <w:r w:rsidRPr="00E81FA0">
        <w:t xml:space="preserve"> =</w:t>
      </w:r>
      <w:r>
        <w:t xml:space="preserve"> </w:t>
      </w:r>
      <w:r w:rsidRPr="007D0B14">
        <w:rPr>
          <w:rFonts w:cs="Times New Roman"/>
          <w:i/>
        </w:rPr>
        <w:t>μ</w:t>
      </w:r>
      <w:r w:rsidRPr="007D0B14">
        <w:rPr>
          <w:vertAlign w:val="subscript"/>
        </w:rPr>
        <w:t>0</w:t>
      </w:r>
      <w:r>
        <w:rPr>
          <w:vertAlign w:val="subscript"/>
        </w:rPr>
        <w:t>2</w:t>
      </w:r>
      <w:r>
        <w:t xml:space="preserve"> = </w:t>
      </w:r>
      <w:r w:rsidR="000B35CF">
        <w:t xml:space="preserve">… = </w:t>
      </w:r>
      <w:r w:rsidRPr="007D0B14">
        <w:rPr>
          <w:rFonts w:cs="Times New Roman"/>
          <w:i/>
        </w:rPr>
        <w:t>μ</w:t>
      </w:r>
      <w:r w:rsidRPr="007D0B14">
        <w:rPr>
          <w:vertAlign w:val="subscript"/>
        </w:rPr>
        <w:t>0</w:t>
      </w:r>
      <w:r w:rsidR="000B35CF">
        <w:rPr>
          <w:i/>
          <w:vertAlign w:val="subscript"/>
        </w:rPr>
        <w:t>p</w:t>
      </w:r>
      <w:r>
        <w:t xml:space="preserve"> = </w:t>
      </w:r>
      <w:r>
        <w:rPr>
          <w:rFonts w:cs="Times New Roman"/>
        </w:rPr>
        <w:t xml:space="preserve">π ≈ </w:t>
      </w:r>
      <w:r>
        <w:t xml:space="preserve">3.14. </w:t>
      </w:r>
      <w:r w:rsidR="00093485">
        <w:t>Like</w:t>
      </w:r>
      <w:r w:rsidR="00DA03C6">
        <w:t xml:space="preserve"> NQC method, we assign a rank </w:t>
      </w:r>
      <w:proofErr w:type="spellStart"/>
      <w:r w:rsidR="00DA03C6" w:rsidRPr="00F35EF5">
        <w:rPr>
          <w:i/>
        </w:rPr>
        <w:t>r</w:t>
      </w:r>
      <w:r w:rsidR="00DA03C6" w:rsidRPr="00F35EF5">
        <w:rPr>
          <w:i/>
          <w:vertAlign w:val="subscript"/>
        </w:rPr>
        <w:t>i</w:t>
      </w:r>
      <w:proofErr w:type="spellEnd"/>
      <w:r w:rsidR="00DA03C6">
        <w:t xml:space="preserve"> to each deviation </w:t>
      </w:r>
      <w:r w:rsidR="00DA03C6" w:rsidRPr="00F35EF5">
        <w:rPr>
          <w:i/>
        </w:rPr>
        <w:t>d</w:t>
      </w:r>
      <w:r w:rsidR="00DA03C6" w:rsidRPr="00F35EF5">
        <w:rPr>
          <w:i/>
          <w:vertAlign w:val="subscript"/>
        </w:rPr>
        <w:t>i</w:t>
      </w:r>
      <w:r w:rsidR="00DA03C6">
        <w:t xml:space="preserve"> without regard to sign of </w:t>
      </w:r>
      <w:r w:rsidR="00DA03C6" w:rsidRPr="006950BD">
        <w:rPr>
          <w:i/>
        </w:rPr>
        <w:t>d</w:t>
      </w:r>
      <w:r w:rsidR="00DA03C6" w:rsidRPr="006950BD">
        <w:rPr>
          <w:i/>
          <w:vertAlign w:val="subscript"/>
        </w:rPr>
        <w:t>i</w:t>
      </w:r>
      <w:r w:rsidR="00EB3D60">
        <w:t xml:space="preserve"> after ignoring </w:t>
      </w:r>
      <w:r w:rsidR="00EB3D60" w:rsidRPr="00EB3D60">
        <w:rPr>
          <w:i/>
        </w:rPr>
        <w:t>d</w:t>
      </w:r>
      <w:r w:rsidR="00EB3D60" w:rsidRPr="00EB3D60">
        <w:rPr>
          <w:i/>
          <w:vertAlign w:val="subscript"/>
        </w:rPr>
        <w:t>i</w:t>
      </w:r>
      <w:r w:rsidR="00EB3D60">
        <w:t>=0.</w:t>
      </w:r>
      <w:r w:rsidR="00DA03C6">
        <w:t xml:space="preserve"> Let </w:t>
      </w:r>
      <w:r w:rsidR="00DA03C6">
        <w:rPr>
          <w:i/>
        </w:rPr>
        <w:t>R</w:t>
      </w:r>
      <w:r w:rsidR="00DA03C6">
        <w:t xml:space="preserve"> = {</w:t>
      </w:r>
      <w:r w:rsidR="00DA03C6">
        <w:rPr>
          <w:i/>
        </w:rPr>
        <w:t>r</w:t>
      </w:r>
      <w:r w:rsidR="00DA03C6" w:rsidRPr="007D0B14">
        <w:rPr>
          <w:vertAlign w:val="subscript"/>
        </w:rPr>
        <w:t>1</w:t>
      </w:r>
      <w:r w:rsidR="00DA03C6">
        <w:t xml:space="preserve">, </w:t>
      </w:r>
      <w:r w:rsidR="00DA03C6">
        <w:rPr>
          <w:i/>
        </w:rPr>
        <w:t>r</w:t>
      </w:r>
      <w:proofErr w:type="gramStart"/>
      <w:r w:rsidR="00DA03C6" w:rsidRPr="007D0B14">
        <w:rPr>
          <w:vertAlign w:val="subscript"/>
        </w:rPr>
        <w:t>2</w:t>
      </w:r>
      <w:r w:rsidR="00DA03C6">
        <w:t>,…</w:t>
      </w:r>
      <w:proofErr w:type="gramEnd"/>
      <w:r w:rsidR="00DA03C6">
        <w:t xml:space="preserve">, </w:t>
      </w:r>
      <w:proofErr w:type="spellStart"/>
      <w:r w:rsidR="00DA03C6">
        <w:rPr>
          <w:i/>
        </w:rPr>
        <w:t>r</w:t>
      </w:r>
      <w:r w:rsidR="00DA03C6" w:rsidRPr="00F35EF5">
        <w:rPr>
          <w:i/>
          <w:vertAlign w:val="subscript"/>
        </w:rPr>
        <w:t>n</w:t>
      </w:r>
      <w:proofErr w:type="spellEnd"/>
      <w:r w:rsidR="00DA03C6">
        <w:t xml:space="preserve">} be set of ranks. The sum of ranks </w:t>
      </w:r>
      <w:r w:rsidR="00DA6370">
        <w:rPr>
          <w:i/>
        </w:rPr>
        <w:t>W</w:t>
      </w:r>
      <w:r w:rsidR="00DA03C6">
        <w:rPr>
          <w:vertAlign w:val="superscript"/>
        </w:rPr>
        <w:t>+</w:t>
      </w:r>
      <w:r w:rsidR="00DA03C6">
        <w:t xml:space="preserve"> and the lower control limit </w:t>
      </w:r>
      <w:r w:rsidR="00DA03C6" w:rsidRPr="00C52276">
        <w:rPr>
          <w:i/>
        </w:rPr>
        <w:t>LCL</w:t>
      </w:r>
      <w:r w:rsidR="00DA03C6">
        <w:t xml:space="preserve"> are determined as </w:t>
      </w:r>
      <w:r w:rsidR="000B35CF">
        <w:t>usual</w:t>
      </w:r>
      <w:r w:rsidR="00DA03C6">
        <w:t xml:space="preserve"> </w:t>
      </w:r>
      <w:sdt>
        <w:sdtPr>
          <w:id w:val="-250119907"/>
          <w:citation/>
        </w:sdtPr>
        <w:sdtEndPr/>
        <w:sdtContent>
          <w:r w:rsidR="00DA03C6">
            <w:fldChar w:fldCharType="begin"/>
          </w:r>
          <w:r w:rsidR="00DA03C6">
            <w:instrText xml:space="preserve">CITATION Wal12 \p 660 \l 1033 </w:instrText>
          </w:r>
          <w:r w:rsidR="00DA03C6">
            <w:fldChar w:fldCharType="separate"/>
          </w:r>
          <w:r w:rsidR="00DA03C6">
            <w:rPr>
              <w:noProof/>
            </w:rPr>
            <w:t>(Walpole, Myers, Myers, &amp; Ye, 2012, p. 660)</w:t>
          </w:r>
          <w:r w:rsidR="00DA03C6">
            <w:fldChar w:fldCharType="end"/>
          </w:r>
        </w:sdtContent>
      </w:sdt>
      <w:r w:rsidR="00DA03C6">
        <w:t xml:space="preserve"> </w:t>
      </w:r>
      <w:sdt>
        <w:sdtPr>
          <w:id w:val="-1903276466"/>
          <w:citation/>
        </w:sdtPr>
        <w:sdtEndPr/>
        <w:sdtContent>
          <w:r w:rsidR="00DA03C6">
            <w:fldChar w:fldCharType="begin"/>
          </w:r>
          <w:r w:rsidR="00DA03C6">
            <w:instrText xml:space="preserve">CITATION Wal12 \p 684 \l 1033 </w:instrText>
          </w:r>
          <w:r w:rsidR="00DA03C6">
            <w:fldChar w:fldCharType="separate"/>
          </w:r>
          <w:r w:rsidR="00DA03C6">
            <w:rPr>
              <w:noProof/>
            </w:rPr>
            <w:t>(Walpole, Myers, Myers, &amp; Ye, 2012, p. 684)</w:t>
          </w:r>
          <w:r w:rsidR="00DA03C6">
            <w:fldChar w:fldCharType="end"/>
          </w:r>
        </w:sdtContent>
      </w:sdt>
      <w:r w:rsidR="00DA03C6">
        <w:t>:</w:t>
      </w:r>
    </w:p>
    <w:p w:rsidR="00DA03C6" w:rsidRPr="00E07498" w:rsidRDefault="009C6D19" w:rsidP="00DA03C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&gt;0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LCL</m:t>
          </m:r>
          <m:r>
            <m:rPr>
              <m:aln/>
            </m:rPr>
            <w:rPr>
              <w:rFonts w:ascii="Cambria Math" w:hAnsi="Cambria Math"/>
            </w:rPr>
            <m:t>=μ-1.65σ</m:t>
          </m:r>
        </m:oMath>
      </m:oMathPara>
    </w:p>
    <w:p w:rsidR="00DA03C6" w:rsidRDefault="00DA03C6" w:rsidP="00DA03C6">
      <w:r>
        <w:t xml:space="preserve">Where </w:t>
      </w:r>
      <w:r w:rsidR="00DA6370" w:rsidRPr="00DA6370">
        <w:rPr>
          <w:rFonts w:cs="Times New Roman"/>
          <w:i/>
        </w:rPr>
        <w:t>μ</w:t>
      </w:r>
      <w:r>
        <w:t xml:space="preserve"> and </w:t>
      </w:r>
      <w:r w:rsidRPr="00667DB1">
        <w:rPr>
          <w:rFonts w:cs="Times New Roman"/>
          <w:i/>
        </w:rPr>
        <w:t>σ</w:t>
      </w:r>
      <w:r w:rsidR="00DA6370" w:rsidRPr="00DA6370">
        <w:rPr>
          <w:rFonts w:cs="Times New Roman"/>
          <w:vertAlign w:val="superscript"/>
        </w:rPr>
        <w:t>2</w:t>
      </w:r>
      <w:r>
        <w:t xml:space="preserve"> are mean and standard deviation of </w:t>
      </w:r>
      <w:r w:rsidR="00DA6370">
        <w:rPr>
          <w:i/>
        </w:rPr>
        <w:t>W</w:t>
      </w:r>
      <w:r w:rsidRPr="00667DB1">
        <w:rPr>
          <w:vertAlign w:val="superscript"/>
        </w:rPr>
        <w:t>+</w:t>
      </w:r>
      <w:r>
        <w:t xml:space="preserve">, respectively. Given </w:t>
      </w:r>
      <w:r w:rsidRPr="003C2781">
        <w:rPr>
          <w:i/>
        </w:rPr>
        <w:t>n</w:t>
      </w:r>
      <w:r>
        <w:t xml:space="preserve"> </w:t>
      </w:r>
      <w:r>
        <w:rPr>
          <w:rFonts w:cs="Times New Roman"/>
        </w:rPr>
        <w:t>≥</w:t>
      </w:r>
      <w:r>
        <w:t xml:space="preserve"> 15, </w:t>
      </w:r>
      <w:r w:rsidR="000B35CF">
        <w:t xml:space="preserve">as usual </w:t>
      </w:r>
      <w:r>
        <w:t>we have</w:t>
      </w:r>
      <w:r w:rsidRPr="00667DB1">
        <w:t xml:space="preserve"> </w:t>
      </w:r>
      <w:sdt>
        <w:sdtPr>
          <w:id w:val="-1586526616"/>
          <w:citation/>
        </w:sdtPr>
        <w:sdtEndPr/>
        <w:sdtContent>
          <w:r>
            <w:fldChar w:fldCharType="begin"/>
          </w:r>
          <w:r>
            <w:instrText xml:space="preserve">CITATION Wal12 \p 663 \l 1033 </w:instrText>
          </w:r>
          <w:r>
            <w:fldChar w:fldCharType="separate"/>
          </w:r>
          <w:r>
            <w:rPr>
              <w:noProof/>
            </w:rPr>
            <w:t>(Walpole, Myers, Myers, &amp; Ye, 2012, p. 663)</w:t>
          </w:r>
          <w:r>
            <w:fldChar w:fldCharType="end"/>
          </w:r>
        </w:sdtContent>
      </w:sdt>
      <w:r>
        <w:t>:</w:t>
      </w:r>
    </w:p>
    <w:p w:rsidR="00DA03C6" w:rsidRDefault="00DA6370" w:rsidP="00DA03C6">
      <m:oMathPara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and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</m:oMath>
      </m:oMathPara>
    </w:p>
    <w:p w:rsidR="009A3547" w:rsidRDefault="00FD43C7" w:rsidP="00415C8A">
      <w:r>
        <w:t xml:space="preserve">If </w:t>
      </w:r>
      <w:r w:rsidR="00DA6370">
        <w:rPr>
          <w:i/>
        </w:rPr>
        <w:t>W</w:t>
      </w:r>
      <w:r>
        <w:rPr>
          <w:vertAlign w:val="superscript"/>
        </w:rPr>
        <w:t>+</w:t>
      </w:r>
      <w:r>
        <w:t xml:space="preserve"> falls out the lower control limit (</w:t>
      </w:r>
      <w:r w:rsidR="00DA6370">
        <w:rPr>
          <w:i/>
        </w:rPr>
        <w:t>W</w:t>
      </w:r>
      <w:r w:rsidRPr="00F72122">
        <w:rPr>
          <w:i/>
          <w:vertAlign w:val="subscript"/>
        </w:rPr>
        <w:t>i</w:t>
      </w:r>
      <w:r>
        <w:rPr>
          <w:vertAlign w:val="superscript"/>
        </w:rPr>
        <w:t>+</w:t>
      </w:r>
      <w:r>
        <w:t xml:space="preserve"> &lt; </w:t>
      </w:r>
      <w:r w:rsidRPr="00C52276">
        <w:rPr>
          <w:i/>
        </w:rPr>
        <w:t>LCL</w:t>
      </w:r>
      <w:r>
        <w:t xml:space="preserve">) then, the criterion </w:t>
      </w:r>
      <w:r w:rsidRPr="00633B16">
        <w:rPr>
          <w:i/>
        </w:rPr>
        <w:t>F</w:t>
      </w:r>
      <w:r>
        <w:t xml:space="preserve"> is not satisfied.</w:t>
      </w:r>
    </w:p>
    <w:p w:rsidR="00DA03C6" w:rsidRDefault="000100C0" w:rsidP="009A3547">
      <w:pPr>
        <w:ind w:firstLine="360"/>
      </w:pPr>
      <w:r>
        <w:t xml:space="preserve">An </w:t>
      </w:r>
      <w:r w:rsidRPr="002E4D6B">
        <w:t>alternative technique</w:t>
      </w:r>
      <w:r>
        <w:t xml:space="preserve"> is to </w:t>
      </w:r>
      <w:r w:rsidR="002E4D6B">
        <w:t>apply</w:t>
      </w:r>
      <w:r w:rsidR="00233992">
        <w:t xml:space="preserve"> </w:t>
      </w:r>
      <w:r w:rsidR="002E4D6B">
        <w:t xml:space="preserve">the classical parametric </w:t>
      </w:r>
      <w:proofErr w:type="spellStart"/>
      <w:r w:rsidR="002E4D6B">
        <w:t>Hotelling’s</w:t>
      </w:r>
      <w:proofErr w:type="spellEnd"/>
      <w:r w:rsidR="002E4D6B">
        <w:t xml:space="preserve"> </w:t>
      </w:r>
      <w:r w:rsidR="002E4D6B" w:rsidRPr="002E4D6B">
        <w:rPr>
          <w:i/>
        </w:rPr>
        <w:t>T</w:t>
      </w:r>
      <w:r w:rsidR="002E4D6B" w:rsidRPr="002E4D6B">
        <w:rPr>
          <w:vertAlign w:val="superscript"/>
        </w:rPr>
        <w:t>2</w:t>
      </w:r>
      <w:r w:rsidR="002E4D6B">
        <w:t xml:space="preserve"> test into multivariate sample</w:t>
      </w:r>
      <w:r w:rsidR="000D74B8">
        <w:t xml:space="preserve"> </w:t>
      </w:r>
      <w:r w:rsidR="002E4D6B">
        <w:t xml:space="preserve">in </w:t>
      </w:r>
      <w:r w:rsidR="000D74B8">
        <w:t xml:space="preserve">which </w:t>
      </w:r>
      <w:r w:rsidR="000D74B8" w:rsidRPr="000D74B8">
        <w:rPr>
          <w:i/>
        </w:rPr>
        <w:t>d</w:t>
      </w:r>
      <w:r w:rsidR="000D74B8" w:rsidRPr="000D74B8">
        <w:rPr>
          <w:i/>
          <w:vertAlign w:val="subscript"/>
        </w:rPr>
        <w:t>i</w:t>
      </w:r>
      <w:r w:rsidR="00EB3D60">
        <w:t>,</w:t>
      </w:r>
      <w:r w:rsidR="000D74B8">
        <w:t xml:space="preserve"> </w:t>
      </w:r>
      <w:proofErr w:type="spellStart"/>
      <w:r w:rsidR="00EB3D60" w:rsidRPr="00EB3D60">
        <w:rPr>
          <w:i/>
        </w:rPr>
        <w:t>r</w:t>
      </w:r>
      <w:r w:rsidR="00EB3D60" w:rsidRPr="00EB3D60">
        <w:rPr>
          <w:i/>
          <w:vertAlign w:val="subscript"/>
        </w:rPr>
        <w:t>i</w:t>
      </w:r>
      <w:proofErr w:type="spellEnd"/>
      <w:r w:rsidR="00EB3D60">
        <w:t xml:space="preserve">, </w:t>
      </w:r>
      <w:r w:rsidR="00DA6370">
        <w:rPr>
          <w:i/>
        </w:rPr>
        <w:t>W</w:t>
      </w:r>
      <w:r w:rsidR="000D74B8" w:rsidRPr="000D74B8">
        <w:rPr>
          <w:vertAlign w:val="superscript"/>
        </w:rPr>
        <w:t>+</w:t>
      </w:r>
      <w:r w:rsidR="000D74B8">
        <w:t xml:space="preserve"> are now vectors.</w:t>
      </w:r>
      <w:r w:rsidR="00EB3D60">
        <w:t xml:space="preserve"> Let </w:t>
      </w:r>
      <w:r w:rsidR="00EB3D60">
        <w:rPr>
          <w:i/>
        </w:rPr>
        <w:t>d</w:t>
      </w:r>
      <w:r w:rsidR="00EB3D60" w:rsidRPr="00DA03C6">
        <w:rPr>
          <w:i/>
          <w:vertAlign w:val="subscript"/>
        </w:rPr>
        <w:t>i</w:t>
      </w:r>
      <w:r w:rsidR="00EB3D60">
        <w:t xml:space="preserve"> = {</w:t>
      </w:r>
      <w:r w:rsidR="00EB3D60">
        <w:rPr>
          <w:i/>
        </w:rPr>
        <w:t>d</w:t>
      </w:r>
      <w:r w:rsidR="00EB3D60" w:rsidRPr="00DA03C6">
        <w:rPr>
          <w:i/>
          <w:vertAlign w:val="subscript"/>
        </w:rPr>
        <w:t>i</w:t>
      </w:r>
      <w:r w:rsidR="00EB3D60" w:rsidRPr="00DA03C6">
        <w:rPr>
          <w:vertAlign w:val="subscript"/>
        </w:rPr>
        <w:t>1</w:t>
      </w:r>
      <w:r w:rsidR="00EB3D60">
        <w:t xml:space="preserve">, </w:t>
      </w:r>
      <w:r w:rsidR="00EB3D60">
        <w:rPr>
          <w:i/>
        </w:rPr>
        <w:t>d</w:t>
      </w:r>
      <w:r w:rsidR="00EB3D60" w:rsidRPr="00DA03C6">
        <w:rPr>
          <w:i/>
          <w:vertAlign w:val="subscript"/>
        </w:rPr>
        <w:t>i</w:t>
      </w:r>
      <w:proofErr w:type="gramStart"/>
      <w:r w:rsidR="00EB3D60" w:rsidRPr="00DA03C6">
        <w:rPr>
          <w:vertAlign w:val="subscript"/>
        </w:rPr>
        <w:t>2</w:t>
      </w:r>
      <w:r w:rsidR="00EB3D60">
        <w:t>,…</w:t>
      </w:r>
      <w:proofErr w:type="gramEnd"/>
      <w:r w:rsidR="00EB3D60">
        <w:t xml:space="preserve">, </w:t>
      </w:r>
      <w:proofErr w:type="spellStart"/>
      <w:r w:rsidR="00EB3D60">
        <w:rPr>
          <w:i/>
        </w:rPr>
        <w:t>d</w:t>
      </w:r>
      <w:r w:rsidR="00EB3D60" w:rsidRPr="00DA03C6">
        <w:rPr>
          <w:i/>
          <w:vertAlign w:val="subscript"/>
        </w:rPr>
        <w:t>ik</w:t>
      </w:r>
      <w:proofErr w:type="spellEnd"/>
      <w:r w:rsidR="00EB3D60">
        <w:t xml:space="preserve">} be deviation vector between </w:t>
      </w:r>
      <w:r w:rsidR="002E4D6B">
        <w:rPr>
          <w:i/>
        </w:rPr>
        <w:t>X</w:t>
      </w:r>
      <w:r w:rsidR="00EB3D60" w:rsidRPr="00EB3D60">
        <w:rPr>
          <w:i/>
          <w:vertAlign w:val="subscript"/>
        </w:rPr>
        <w:t>i</w:t>
      </w:r>
      <w:r w:rsidR="00EB3D60">
        <w:t xml:space="preserve"> and </w:t>
      </w:r>
      <w:r w:rsidR="00EB3D60" w:rsidRPr="007D0B14">
        <w:rPr>
          <w:rFonts w:cs="Times New Roman"/>
          <w:i/>
        </w:rPr>
        <w:t>μ</w:t>
      </w:r>
      <w:r w:rsidR="00EB3D60" w:rsidRPr="007D0B14">
        <w:rPr>
          <w:vertAlign w:val="subscript"/>
        </w:rPr>
        <w:t>0</w:t>
      </w:r>
      <w:r w:rsidR="00EB3D60">
        <w:t xml:space="preserve"> where </w:t>
      </w:r>
      <w:proofErr w:type="spellStart"/>
      <w:r w:rsidR="00EB3D60" w:rsidRPr="00EB3D60">
        <w:rPr>
          <w:i/>
        </w:rPr>
        <w:t>d</w:t>
      </w:r>
      <w:r w:rsidR="00EB3D60" w:rsidRPr="00EB3D60">
        <w:rPr>
          <w:i/>
          <w:vertAlign w:val="subscript"/>
        </w:rPr>
        <w:t>ij</w:t>
      </w:r>
      <w:proofErr w:type="spellEnd"/>
      <w:r w:rsidR="00EB3D60">
        <w:t xml:space="preserve"> = </w:t>
      </w:r>
      <w:proofErr w:type="spellStart"/>
      <w:r w:rsidR="00EB3D60" w:rsidRPr="00EA5359">
        <w:rPr>
          <w:i/>
        </w:rPr>
        <w:t>x</w:t>
      </w:r>
      <w:r w:rsidR="00EB3D60" w:rsidRPr="00EA5359">
        <w:rPr>
          <w:i/>
          <w:vertAlign w:val="subscript"/>
        </w:rPr>
        <w:t>i</w:t>
      </w:r>
      <w:r w:rsidR="00EB3D60">
        <w:rPr>
          <w:i/>
          <w:vertAlign w:val="subscript"/>
        </w:rPr>
        <w:t>j</w:t>
      </w:r>
      <w:proofErr w:type="spellEnd"/>
      <w:r w:rsidR="002E4D6B">
        <w:rPr>
          <w:i/>
        </w:rPr>
        <w:t xml:space="preserve"> </w:t>
      </w:r>
      <w:r w:rsidR="00EB3D60">
        <w:t>–</w:t>
      </w:r>
      <w:r w:rsidR="002E4D6B">
        <w:t xml:space="preserve"> </w:t>
      </w:r>
      <w:r w:rsidR="00EB3D60" w:rsidRPr="00C52276">
        <w:rPr>
          <w:i/>
        </w:rPr>
        <w:t>μ</w:t>
      </w:r>
      <w:r w:rsidR="00EB3D60" w:rsidRPr="00C52276">
        <w:rPr>
          <w:vertAlign w:val="subscript"/>
        </w:rPr>
        <w:t>0</w:t>
      </w:r>
      <w:r w:rsidR="00EB3D60" w:rsidRPr="00EB3D60">
        <w:rPr>
          <w:i/>
          <w:vertAlign w:val="subscript"/>
        </w:rPr>
        <w:t>j</w:t>
      </w:r>
      <w:r w:rsidR="00EB3D60">
        <w:t xml:space="preserve"> </w:t>
      </w:r>
      <w:r w:rsidR="00EB3D60">
        <w:rPr>
          <w:rFonts w:cs="Times New Roman"/>
        </w:rPr>
        <w:t>≠</w:t>
      </w:r>
      <w:r w:rsidR="00EB3D60">
        <w:t xml:space="preserve"> 0.</w:t>
      </w:r>
      <w:r w:rsidR="00634D35">
        <w:t xml:space="preserve"> Let </w:t>
      </w:r>
      <w:proofErr w:type="spellStart"/>
      <w:r w:rsidR="00634D35">
        <w:rPr>
          <w:i/>
        </w:rPr>
        <w:t>r</w:t>
      </w:r>
      <w:r w:rsidR="00634D35" w:rsidRPr="00DA03C6">
        <w:rPr>
          <w:i/>
          <w:vertAlign w:val="subscript"/>
        </w:rPr>
        <w:t>i</w:t>
      </w:r>
      <w:proofErr w:type="spellEnd"/>
      <w:r w:rsidR="00634D35">
        <w:t xml:space="preserve"> = {</w:t>
      </w:r>
      <w:r w:rsidR="00634D35">
        <w:rPr>
          <w:i/>
        </w:rPr>
        <w:t>r</w:t>
      </w:r>
      <w:r w:rsidR="00634D35" w:rsidRPr="00DA03C6">
        <w:rPr>
          <w:i/>
          <w:vertAlign w:val="subscript"/>
        </w:rPr>
        <w:t>i</w:t>
      </w:r>
      <w:r w:rsidR="00634D35" w:rsidRPr="00DA03C6">
        <w:rPr>
          <w:vertAlign w:val="subscript"/>
        </w:rPr>
        <w:t>1</w:t>
      </w:r>
      <w:r w:rsidR="00634D35">
        <w:t xml:space="preserve">, </w:t>
      </w:r>
      <w:r w:rsidR="00634D35">
        <w:rPr>
          <w:i/>
        </w:rPr>
        <w:t>r</w:t>
      </w:r>
      <w:r w:rsidR="00634D35" w:rsidRPr="00DA03C6">
        <w:rPr>
          <w:i/>
          <w:vertAlign w:val="subscript"/>
        </w:rPr>
        <w:t>i</w:t>
      </w:r>
      <w:proofErr w:type="gramStart"/>
      <w:r w:rsidR="00634D35" w:rsidRPr="00DA03C6">
        <w:rPr>
          <w:vertAlign w:val="subscript"/>
        </w:rPr>
        <w:t>2</w:t>
      </w:r>
      <w:r w:rsidR="00634D35">
        <w:t>,…</w:t>
      </w:r>
      <w:proofErr w:type="gramEnd"/>
      <w:r w:rsidR="00634D35">
        <w:t xml:space="preserve">, </w:t>
      </w:r>
      <w:proofErr w:type="spellStart"/>
      <w:r w:rsidR="00634D35">
        <w:rPr>
          <w:i/>
        </w:rPr>
        <w:t>r</w:t>
      </w:r>
      <w:r w:rsidR="00634D35" w:rsidRPr="00DA03C6">
        <w:rPr>
          <w:i/>
          <w:vertAlign w:val="subscript"/>
        </w:rPr>
        <w:t>ik</w:t>
      </w:r>
      <w:proofErr w:type="spellEnd"/>
      <w:r w:rsidR="00634D35">
        <w:t xml:space="preserve">} be a rank vector where each rank value </w:t>
      </w:r>
      <w:proofErr w:type="spellStart"/>
      <w:r w:rsidR="00634D35" w:rsidRPr="00F35EF5">
        <w:rPr>
          <w:i/>
        </w:rPr>
        <w:t>r</w:t>
      </w:r>
      <w:r w:rsidR="00634D35" w:rsidRPr="00F35EF5">
        <w:rPr>
          <w:i/>
          <w:vertAlign w:val="subscript"/>
        </w:rPr>
        <w:t>i</w:t>
      </w:r>
      <w:r w:rsidR="00634D35">
        <w:rPr>
          <w:i/>
          <w:vertAlign w:val="subscript"/>
        </w:rPr>
        <w:t>j</w:t>
      </w:r>
      <w:proofErr w:type="spellEnd"/>
      <w:r w:rsidR="00634D35">
        <w:t xml:space="preserve"> is assigned to each deviation value </w:t>
      </w:r>
      <w:proofErr w:type="spellStart"/>
      <w:r w:rsidR="00634D35" w:rsidRPr="00F35EF5">
        <w:rPr>
          <w:i/>
        </w:rPr>
        <w:t>d</w:t>
      </w:r>
      <w:r w:rsidR="00634D35" w:rsidRPr="00F35EF5">
        <w:rPr>
          <w:i/>
          <w:vertAlign w:val="subscript"/>
        </w:rPr>
        <w:t>i</w:t>
      </w:r>
      <w:r w:rsidR="00634D35">
        <w:rPr>
          <w:i/>
          <w:vertAlign w:val="subscript"/>
        </w:rPr>
        <w:t>j</w:t>
      </w:r>
      <w:proofErr w:type="spellEnd"/>
      <w:r w:rsidR="00634D35">
        <w:t xml:space="preserve"> without regard to sign of </w:t>
      </w:r>
      <w:proofErr w:type="spellStart"/>
      <w:r w:rsidR="00634D35" w:rsidRPr="006950BD">
        <w:rPr>
          <w:i/>
        </w:rPr>
        <w:t>d</w:t>
      </w:r>
      <w:r w:rsidR="00634D35" w:rsidRPr="006950BD">
        <w:rPr>
          <w:i/>
          <w:vertAlign w:val="subscript"/>
        </w:rPr>
        <w:t>i</w:t>
      </w:r>
      <w:r w:rsidR="00634D35">
        <w:rPr>
          <w:i/>
          <w:vertAlign w:val="subscript"/>
        </w:rPr>
        <w:t>j</w:t>
      </w:r>
      <w:proofErr w:type="spellEnd"/>
      <w:r w:rsidR="00634D35">
        <w:t>.</w:t>
      </w:r>
      <w:r w:rsidR="009A3547">
        <w:t xml:space="preserve"> Let </w:t>
      </w:r>
      <w:r w:rsidR="00DA6370">
        <w:rPr>
          <w:i/>
        </w:rPr>
        <w:t>W</w:t>
      </w:r>
      <w:r w:rsidR="009A3547">
        <w:rPr>
          <w:vertAlign w:val="superscript"/>
        </w:rPr>
        <w:t>+</w:t>
      </w:r>
      <w:r w:rsidR="009A3547">
        <w:t xml:space="preserve"> = (</w:t>
      </w:r>
      <w:r w:rsidR="009A3547" w:rsidRPr="00B612CD">
        <w:rPr>
          <w:i/>
        </w:rPr>
        <w:t>w</w:t>
      </w:r>
      <w:r w:rsidR="009A3547" w:rsidRPr="009A3547">
        <w:rPr>
          <w:vertAlign w:val="subscript"/>
        </w:rPr>
        <w:t>1</w:t>
      </w:r>
      <w:r w:rsidR="00436DBA">
        <w:rPr>
          <w:vertAlign w:val="superscript"/>
        </w:rPr>
        <w:t>+</w:t>
      </w:r>
      <w:r w:rsidR="009A3547">
        <w:t xml:space="preserve">, </w:t>
      </w:r>
      <w:r w:rsidR="009A3547" w:rsidRPr="00B612CD">
        <w:rPr>
          <w:i/>
        </w:rPr>
        <w:t>w</w:t>
      </w:r>
      <w:r w:rsidR="00436DBA">
        <w:rPr>
          <w:vertAlign w:val="subscript"/>
        </w:rPr>
        <w:t>2</w:t>
      </w:r>
      <w:proofErr w:type="gramStart"/>
      <w:r w:rsidR="009A3547">
        <w:rPr>
          <w:vertAlign w:val="superscript"/>
        </w:rPr>
        <w:t>+</w:t>
      </w:r>
      <w:r w:rsidR="009A3547">
        <w:t>,…</w:t>
      </w:r>
      <w:proofErr w:type="gramEnd"/>
      <w:r w:rsidR="009A3547">
        <w:t xml:space="preserve">, </w:t>
      </w:r>
      <w:proofErr w:type="spellStart"/>
      <w:r w:rsidR="009A3547" w:rsidRPr="00B612CD">
        <w:rPr>
          <w:i/>
        </w:rPr>
        <w:t>w</w:t>
      </w:r>
      <w:r w:rsidR="00436DBA" w:rsidRPr="009A3547">
        <w:rPr>
          <w:i/>
          <w:vertAlign w:val="subscript"/>
        </w:rPr>
        <w:t>k</w:t>
      </w:r>
      <w:proofErr w:type="spellEnd"/>
      <w:r w:rsidR="009A3547">
        <w:rPr>
          <w:vertAlign w:val="superscript"/>
        </w:rPr>
        <w:t>+</w:t>
      </w:r>
      <w:r w:rsidR="009A3547" w:rsidRPr="009A3547">
        <w:t>) be sum vector so that each</w:t>
      </w:r>
      <w:r w:rsidR="009A3547" w:rsidRPr="009A3547">
        <w:rPr>
          <w:i/>
        </w:rPr>
        <w:t xml:space="preserve"> </w:t>
      </w:r>
      <w:r w:rsidR="009A3547">
        <w:t xml:space="preserve">sum value </w:t>
      </w:r>
      <w:proofErr w:type="spellStart"/>
      <w:r w:rsidR="009A3547" w:rsidRPr="009A3547">
        <w:rPr>
          <w:i/>
        </w:rPr>
        <w:t>w</w:t>
      </w:r>
      <w:r w:rsidR="00436DBA" w:rsidRPr="009A3547">
        <w:rPr>
          <w:i/>
          <w:vertAlign w:val="subscript"/>
        </w:rPr>
        <w:t>j</w:t>
      </w:r>
      <w:proofErr w:type="spellEnd"/>
      <w:r w:rsidR="009A3547" w:rsidRPr="009A3547">
        <w:rPr>
          <w:vertAlign w:val="superscript"/>
        </w:rPr>
        <w:t>+</w:t>
      </w:r>
      <w:r w:rsidR="009A3547">
        <w:t xml:space="preserve"> is defined </w:t>
      </w:r>
      <w:r w:rsidR="002E4D6B">
        <w:t>by equation 5.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4"/>
        <w:gridCol w:w="627"/>
      </w:tblGrid>
      <w:tr w:rsidR="00045B58" w:rsidTr="00FF6B2B">
        <w:tc>
          <w:tcPr>
            <w:tcW w:w="4665" w:type="pct"/>
          </w:tcPr>
          <w:p w:rsidR="00045B58" w:rsidRDefault="009C6D19" w:rsidP="00F64743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&gt;0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35" w:type="pct"/>
            <w:vAlign w:val="center"/>
          </w:tcPr>
          <w:p w:rsidR="00045B58" w:rsidRDefault="00045B58" w:rsidP="00F64743">
            <w:pPr>
              <w:jc w:val="right"/>
            </w:pPr>
            <w:r>
              <w:t>(5)</w:t>
            </w:r>
          </w:p>
        </w:tc>
      </w:tr>
    </w:tbl>
    <w:p w:rsidR="002E4D6B" w:rsidRDefault="002E4D6B" w:rsidP="009A3547">
      <w:r>
        <w:t xml:space="preserve">The </w:t>
      </w:r>
      <w:proofErr w:type="spellStart"/>
      <w:r>
        <w:t>Hotelling’s</w:t>
      </w:r>
      <w:proofErr w:type="spellEnd"/>
      <w:r>
        <w:t xml:space="preserve"> </w:t>
      </w:r>
      <w:r w:rsidRPr="002E4D6B">
        <w:rPr>
          <w:i/>
        </w:rPr>
        <w:t>T</w:t>
      </w:r>
      <w:r w:rsidRPr="002E4D6B">
        <w:rPr>
          <w:vertAlign w:val="superscript"/>
        </w:rPr>
        <w:t>2</w:t>
      </w:r>
      <w:r>
        <w:t xml:space="preserve"> test is defined by equation 6 </w:t>
      </w:r>
      <w:sdt>
        <w:sdtPr>
          <w:id w:val="431950479"/>
          <w:citation/>
        </w:sdtPr>
        <w:sdtEndPr/>
        <w:sdtContent>
          <w:r>
            <w:fldChar w:fldCharType="begin"/>
          </w:r>
          <w:r>
            <w:instrText xml:space="preserve">CITATION Oja2004NTest \p 598 \l 1033 </w:instrText>
          </w:r>
          <w:r>
            <w:fldChar w:fldCharType="separate"/>
          </w:r>
          <w:r>
            <w:rPr>
              <w:noProof/>
            </w:rPr>
            <w:t>(Oja &amp; Randles, 2004, p. 598)</w:t>
          </w:r>
          <w:r>
            <w:fldChar w:fldCharType="end"/>
          </w:r>
        </w:sdtContent>
      </w:sdt>
      <w:r>
        <w:t>.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4"/>
        <w:gridCol w:w="627"/>
      </w:tblGrid>
      <w:tr w:rsidR="00045B58" w:rsidTr="00FF6B2B">
        <w:tc>
          <w:tcPr>
            <w:tcW w:w="4665" w:type="pct"/>
          </w:tcPr>
          <w:p w:rsidR="00045B58" w:rsidRDefault="009C6D19" w:rsidP="00F6474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aln/>
                  </m:rPr>
                  <w:rPr>
                    <w:rFonts w:ascii="Cambria Math" w:hAnsi="Cambria Math"/>
                  </w:rPr>
                  <m:t>=n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335" w:type="pct"/>
            <w:vAlign w:val="center"/>
          </w:tcPr>
          <w:p w:rsidR="00045B58" w:rsidRDefault="00045B58" w:rsidP="00F64743">
            <w:pPr>
              <w:jc w:val="right"/>
            </w:pPr>
            <w:r>
              <w:t>(6)</w:t>
            </w:r>
          </w:p>
        </w:tc>
      </w:tr>
    </w:tbl>
    <w:p w:rsidR="00045B58" w:rsidRDefault="00045B58" w:rsidP="009A3547">
      <w:r>
        <w:t xml:space="preserve">Where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and </w:t>
      </w:r>
      <w:r w:rsidRPr="00045B58">
        <w:rPr>
          <w:i/>
        </w:rPr>
        <w:t>S</w:t>
      </w:r>
      <w:r w:rsidRPr="00045B58">
        <w:rPr>
          <w:vertAlign w:val="superscript"/>
        </w:rPr>
        <w:t>–1</w:t>
      </w:r>
      <w:r>
        <w:t xml:space="preserve"> are sample mean and sample covariance, respectively.</w:t>
      </w:r>
    </w:p>
    <w:p w:rsidR="00045B58" w:rsidRDefault="009C6D19" w:rsidP="009A3547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ave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mr>
            <m:mr>
              <m:e>
                <m:r>
                  <w:rPr>
                    <w:rFonts w:ascii="Cambria Math" w:hAnsi="Cambria Math"/>
                  </w:rPr>
                  <m:t>S=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ave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nary>
              </m:e>
            </m:mr>
          </m:m>
        </m:oMath>
      </m:oMathPara>
    </w:p>
    <w:p w:rsidR="002E4D6B" w:rsidRDefault="00045B58" w:rsidP="009A3547">
      <w:r>
        <w:t>The notation “</w:t>
      </w:r>
      <w:proofErr w:type="spellStart"/>
      <w:r w:rsidRPr="00877555">
        <w:t>ave</w:t>
      </w:r>
      <w:proofErr w:type="spellEnd"/>
      <w:r>
        <w:t xml:space="preserve">” denotes average taken over all observation 1, </w:t>
      </w:r>
      <w:proofErr w:type="gramStart"/>
      <w:r>
        <w:t>2,…</w:t>
      </w:r>
      <w:proofErr w:type="gramEnd"/>
      <w:r>
        <w:t xml:space="preserve">, </w:t>
      </w:r>
      <w:r w:rsidRPr="00877555">
        <w:rPr>
          <w:i/>
        </w:rPr>
        <w:t>n</w:t>
      </w:r>
      <w:r>
        <w:t>.</w:t>
      </w:r>
      <w:r w:rsidRPr="00C56D9E">
        <w:t xml:space="preserve"> </w:t>
      </w:r>
      <w:r w:rsidR="002E4D6B">
        <w:t xml:space="preserve">The </w:t>
      </w:r>
      <w:proofErr w:type="spellStart"/>
      <w:r w:rsidR="002E4D6B">
        <w:t>Hotelling’s</w:t>
      </w:r>
      <w:proofErr w:type="spellEnd"/>
      <w:r w:rsidR="002E4D6B">
        <w:t xml:space="preserve"> </w:t>
      </w:r>
      <w:r w:rsidR="002E4D6B" w:rsidRPr="002E4D6B">
        <w:rPr>
          <w:i/>
        </w:rPr>
        <w:t>T</w:t>
      </w:r>
      <w:r w:rsidR="002E4D6B" w:rsidRPr="002E4D6B">
        <w:rPr>
          <w:vertAlign w:val="superscript"/>
        </w:rPr>
        <w:t>2</w:t>
      </w:r>
      <w:r w:rsidR="002E4D6B">
        <w:t xml:space="preserve"> test is also asymptotically parametric test because </w:t>
      </w:r>
      <w:r w:rsidR="002E4D6B" w:rsidRPr="002E4D6B">
        <w:rPr>
          <w:i/>
        </w:rPr>
        <w:t>T</w:t>
      </w:r>
      <w:r w:rsidR="002E4D6B" w:rsidRPr="002E4D6B">
        <w:rPr>
          <w:vertAlign w:val="superscript"/>
        </w:rPr>
        <w:t>2</w:t>
      </w:r>
      <w:r w:rsidR="002E4D6B">
        <w:t xml:space="preserve"> approaches chi-squared distribution </w:t>
      </w:r>
      <w:sdt>
        <w:sdtPr>
          <w:id w:val="-197623454"/>
          <w:citation/>
        </w:sdtPr>
        <w:sdtEndPr/>
        <w:sdtContent>
          <w:r w:rsidR="002E4D6B">
            <w:fldChar w:fldCharType="begin"/>
          </w:r>
          <w:r w:rsidR="002E4D6B">
            <w:instrText xml:space="preserve">CITATION Oja2004NTest \p 599 \l 1033 </w:instrText>
          </w:r>
          <w:r w:rsidR="002E4D6B">
            <w:fldChar w:fldCharType="separate"/>
          </w:r>
          <w:r w:rsidR="002E4D6B">
            <w:rPr>
              <w:noProof/>
            </w:rPr>
            <w:t>(Oja &amp; Randles, 2004, p. 599)</w:t>
          </w:r>
          <w:r w:rsidR="002E4D6B">
            <w:fldChar w:fldCharType="end"/>
          </w:r>
        </w:sdtContent>
      </w:sdt>
      <w:r w:rsidR="002E4D6B">
        <w:t xml:space="preserve"> when the sample is large enough and each </w:t>
      </w:r>
      <w:r w:rsidR="002E4D6B" w:rsidRPr="002E4D6B">
        <w:rPr>
          <w:i/>
        </w:rPr>
        <w:t>X</w:t>
      </w:r>
      <w:r w:rsidR="002E4D6B" w:rsidRPr="002E4D6B">
        <w:rPr>
          <w:i/>
          <w:vertAlign w:val="subscript"/>
        </w:rPr>
        <w:t>i</w:t>
      </w:r>
      <w:r w:rsidR="002E4D6B">
        <w:t xml:space="preserve"> conforms free distribution with </w:t>
      </w:r>
      <w:r w:rsidR="002E2061">
        <w:t xml:space="preserve">zero </w:t>
      </w:r>
      <w:r w:rsidR="002E4D6B">
        <w:t>mean and finite second moment</w:t>
      </w:r>
      <w:r w:rsidR="0003049A">
        <w:t xml:space="preserve"> </w:t>
      </w:r>
      <w:sdt>
        <w:sdtPr>
          <w:id w:val="-34285673"/>
          <w:citation/>
        </w:sdtPr>
        <w:sdtEndPr/>
        <w:sdtContent>
          <w:r w:rsidR="0003049A">
            <w:fldChar w:fldCharType="begin"/>
          </w:r>
          <w:r w:rsidR="0003049A">
            <w:instrText xml:space="preserve">CITATION Oja2004NTest \p 599 \l 1033 </w:instrText>
          </w:r>
          <w:r w:rsidR="0003049A">
            <w:fldChar w:fldCharType="separate"/>
          </w:r>
          <w:r w:rsidR="0003049A">
            <w:rPr>
              <w:noProof/>
            </w:rPr>
            <w:t>(Oja &amp; Randles, 2004, p. 599)</w:t>
          </w:r>
          <w:r w:rsidR="0003049A">
            <w:fldChar w:fldCharType="end"/>
          </w:r>
        </w:sdtContent>
      </w:sdt>
      <w:r w:rsidR="002E4D6B">
        <w:t>.</w:t>
      </w:r>
    </w:p>
    <w:p w:rsidR="002E4D6B" w:rsidRDefault="009C6D19" w:rsidP="002E4D6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2E4D6B" w:rsidRDefault="002E4D6B" w:rsidP="009A3547">
      <w:r>
        <w:t>We will use chi-squared distribution to estimate LCL</w:t>
      </w:r>
      <w:r w:rsidR="00045B58">
        <w:t xml:space="preserve"> with 95% confidence degree</w:t>
      </w:r>
      <w:r w:rsidR="002E2061">
        <w:t xml:space="preserve"> in case that </w:t>
      </w:r>
      <w:r w:rsidR="0003049A">
        <w:t>all</w:t>
      </w:r>
      <w:r w:rsidR="002E2061">
        <w:t xml:space="preserve"> </w:t>
      </w:r>
      <w:r w:rsidR="002E2061" w:rsidRPr="002E2061">
        <w:rPr>
          <w:i/>
        </w:rPr>
        <w:t>X</w:t>
      </w:r>
      <w:r w:rsidR="002E2061" w:rsidRPr="002E2061">
        <w:rPr>
          <w:i/>
          <w:vertAlign w:val="subscript"/>
        </w:rPr>
        <w:t>i</w:t>
      </w:r>
      <w:r w:rsidR="002E2061">
        <w:t xml:space="preserve"> </w:t>
      </w:r>
      <w:r w:rsidR="0003049A">
        <w:t>are</w:t>
      </w:r>
      <w:r w:rsidR="002E2061">
        <w:t xml:space="preserve"> standardized </w:t>
      </w:r>
      <w:r w:rsidR="0003049A">
        <w:t xml:space="preserve">so that their </w:t>
      </w:r>
      <w:r w:rsidR="004819ED">
        <w:t xml:space="preserve">theoretical </w:t>
      </w:r>
      <w:r w:rsidR="0003049A">
        <w:t>mean</w:t>
      </w:r>
      <w:r w:rsidR="002E2061">
        <w:t xml:space="preserve"> </w:t>
      </w:r>
      <w:r w:rsidR="00FF6B2B">
        <w:t>is</w:t>
      </w:r>
      <w:r w:rsidR="0003049A">
        <w:t xml:space="preserve"> </w:t>
      </w:r>
      <w:r w:rsidR="002E2061">
        <w:t>zero.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4"/>
        <w:gridCol w:w="627"/>
      </w:tblGrid>
      <w:tr w:rsidR="0003049A" w:rsidTr="00FF6B2B">
        <w:tc>
          <w:tcPr>
            <w:tcW w:w="4665" w:type="pct"/>
          </w:tcPr>
          <w:p w:rsidR="0003049A" w:rsidRDefault="0003049A" w:rsidP="00F64743">
            <m:oMathPara>
              <m:oMath>
                <m:r>
                  <w:rPr>
                    <w:rFonts w:ascii="Cambria Math" w:hAnsi="Cambria Math"/>
                  </w:rPr>
                  <m:t>LCL=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0.05</m:t>
                    </m:r>
                  </m:e>
                </m:d>
              </m:oMath>
            </m:oMathPara>
          </w:p>
        </w:tc>
        <w:tc>
          <w:tcPr>
            <w:tcW w:w="335" w:type="pct"/>
            <w:vAlign w:val="center"/>
          </w:tcPr>
          <w:p w:rsidR="0003049A" w:rsidRDefault="0003049A" w:rsidP="00F64743">
            <w:pPr>
              <w:jc w:val="right"/>
            </w:pPr>
            <w:r>
              <w:t>(7)</w:t>
            </w:r>
          </w:p>
        </w:tc>
      </w:tr>
    </w:tbl>
    <w:p w:rsidR="00045B58" w:rsidRDefault="00045B58" w:rsidP="009A3547">
      <w:r>
        <w:t xml:space="preserve">Where </w:t>
      </w:r>
      <w:r w:rsidRPr="00045B58">
        <w:rPr>
          <w:rFonts w:cs="Times New Roman"/>
          <w:i/>
        </w:rPr>
        <w:t>χ</w:t>
      </w:r>
      <w:r w:rsidRPr="00045B58">
        <w:rPr>
          <w:i/>
          <w:vertAlign w:val="subscript"/>
        </w:rPr>
        <w:t>p</w:t>
      </w:r>
      <w:r w:rsidRPr="00045B58">
        <w:rPr>
          <w:vertAlign w:val="superscript"/>
        </w:rPr>
        <w:t>2</w:t>
      </w:r>
      <w:r>
        <w:t xml:space="preserve">(0.05) is the lower 5% percentage of chi-squared distribution with </w:t>
      </w:r>
      <w:r w:rsidRPr="00045B58">
        <w:rPr>
          <w:i/>
        </w:rPr>
        <w:t>p</w:t>
      </w:r>
      <w:r>
        <w:t>-degree of freedom.</w:t>
      </w:r>
    </w:p>
    <w:p w:rsidR="00045B58" w:rsidRPr="002E4D6B" w:rsidRDefault="00045B58" w:rsidP="009A3547"/>
    <w:p w:rsidR="002C609D" w:rsidRPr="002C609D" w:rsidRDefault="002C609D" w:rsidP="00415C8A">
      <w:pPr>
        <w:rPr>
          <w:b/>
          <w:sz w:val="28"/>
          <w:szCs w:val="28"/>
        </w:rPr>
      </w:pPr>
      <w:r w:rsidRPr="002C609D">
        <w:rPr>
          <w:b/>
          <w:sz w:val="28"/>
          <w:szCs w:val="28"/>
        </w:rPr>
        <w:t>4. Discussion</w:t>
      </w:r>
      <w:r w:rsidR="003E7863">
        <w:rPr>
          <w:b/>
          <w:sz w:val="28"/>
          <w:szCs w:val="28"/>
        </w:rPr>
        <w:t>s</w:t>
      </w:r>
      <w:r w:rsidR="002D2557">
        <w:rPr>
          <w:b/>
          <w:sz w:val="28"/>
          <w:szCs w:val="28"/>
        </w:rPr>
        <w:t xml:space="preserve"> and Conclusions</w:t>
      </w:r>
    </w:p>
    <w:p w:rsidR="002C609D" w:rsidRDefault="00B27093" w:rsidP="00415C8A">
      <w:r>
        <w:t xml:space="preserve">In general, NQC is combination of Wilcoxon rank-sum test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control chart. </w:t>
      </w:r>
      <w:r w:rsidR="003E7863">
        <w:t xml:space="preserve">The main point of MNQC method is to replace the deviation </w:t>
      </w:r>
      <w:r w:rsidR="003E7863" w:rsidRPr="003E7863">
        <w:rPr>
          <w:i/>
        </w:rPr>
        <w:t>d</w:t>
      </w:r>
      <w:r w:rsidR="003E7863" w:rsidRPr="003E7863">
        <w:rPr>
          <w:i/>
          <w:vertAlign w:val="subscript"/>
        </w:rPr>
        <w:t>i</w:t>
      </w:r>
      <w:r w:rsidR="003E7863">
        <w:t xml:space="preserve"> by the opposite of Pearson correlation between </w:t>
      </w:r>
      <w:r w:rsidR="000B35CF">
        <w:t xml:space="preserve">rating </w:t>
      </w:r>
      <w:r w:rsidR="003E7863">
        <w:t xml:space="preserve">vector </w:t>
      </w:r>
      <w:r w:rsidR="000B35CF">
        <w:rPr>
          <w:i/>
        </w:rPr>
        <w:t>X</w:t>
      </w:r>
      <w:r w:rsidR="003E7863" w:rsidRPr="00DA03C6">
        <w:rPr>
          <w:i/>
          <w:vertAlign w:val="subscript"/>
        </w:rPr>
        <w:t>i</w:t>
      </w:r>
      <w:r w:rsidR="003E7863">
        <w:t xml:space="preserve"> and the acceptable satisfied rating vector </w:t>
      </w:r>
      <w:r w:rsidR="003E7863" w:rsidRPr="007D0B14">
        <w:rPr>
          <w:rFonts w:cs="Times New Roman"/>
          <w:i/>
        </w:rPr>
        <w:t>μ</w:t>
      </w:r>
      <w:r w:rsidR="003E7863" w:rsidRPr="007D0B14">
        <w:rPr>
          <w:vertAlign w:val="subscript"/>
        </w:rPr>
        <w:t>0</w:t>
      </w:r>
      <w:r w:rsidR="003E7863">
        <w:t xml:space="preserve"> in calculating ranks.</w:t>
      </w:r>
      <w:r>
        <w:t xml:space="preserve"> There are other researches solving the problem of non-parametric test in multivariate data.</w:t>
      </w:r>
    </w:p>
    <w:p w:rsidR="00877555" w:rsidRDefault="00572B23" w:rsidP="00F3089E">
      <w:pPr>
        <w:ind w:firstLine="360"/>
      </w:pPr>
      <w:r>
        <w:t>As a convention, a test mentioned here is non-parametric test.</w:t>
      </w:r>
      <w:r w:rsidR="00877555">
        <w:t xml:space="preserve"> </w:t>
      </w:r>
      <w:proofErr w:type="spellStart"/>
      <w:r w:rsidR="00C56D9E">
        <w:t>Oja</w:t>
      </w:r>
      <w:proofErr w:type="spellEnd"/>
      <w:r w:rsidR="00C56D9E">
        <w:t xml:space="preserve"> and </w:t>
      </w:r>
      <w:proofErr w:type="spellStart"/>
      <w:r w:rsidR="00C56D9E">
        <w:t>Randles</w:t>
      </w:r>
      <w:proofErr w:type="spellEnd"/>
      <w:r w:rsidR="00C56D9E">
        <w:t xml:space="preserve"> </w:t>
      </w:r>
      <w:sdt>
        <w:sdtPr>
          <w:id w:val="1565905089"/>
          <w:citation/>
        </w:sdtPr>
        <w:sdtEndPr/>
        <w:sdtContent>
          <w:r w:rsidR="00C56D9E">
            <w:fldChar w:fldCharType="begin"/>
          </w:r>
          <w:r w:rsidR="00C56D9E">
            <w:instrText xml:space="preserve">CITATION Oja2004NTest \p 599 \l 1033 </w:instrText>
          </w:r>
          <w:r w:rsidR="00C56D9E">
            <w:fldChar w:fldCharType="separate"/>
          </w:r>
          <w:r w:rsidR="00C56D9E">
            <w:rPr>
              <w:noProof/>
            </w:rPr>
            <w:t>(Oja &amp; Randles, 2004, p. 599)</w:t>
          </w:r>
          <w:r w:rsidR="00C56D9E">
            <w:fldChar w:fldCharType="end"/>
          </w:r>
        </w:sdtContent>
      </w:sdt>
      <w:r w:rsidR="00C56D9E">
        <w:t xml:space="preserve"> defined that a test </w:t>
      </w:r>
      <w:r w:rsidR="00C56D9E" w:rsidRPr="00572B23">
        <w:rPr>
          <w:i/>
        </w:rPr>
        <w:t>T</w:t>
      </w:r>
      <w:r w:rsidR="00C56D9E">
        <w:t xml:space="preserve"> satisfies affine invariant property if </w:t>
      </w:r>
      <w:proofErr w:type="gramStart"/>
      <w:r w:rsidR="00C56D9E" w:rsidRPr="00572B23">
        <w:rPr>
          <w:i/>
        </w:rPr>
        <w:t>T</w:t>
      </w:r>
      <w:r w:rsidR="00C56D9E">
        <w:t>(</w:t>
      </w:r>
      <w:proofErr w:type="gramEnd"/>
      <w:r w:rsidR="00C56D9E" w:rsidRPr="00572B23">
        <w:rPr>
          <w:i/>
        </w:rPr>
        <w:t>DX</w:t>
      </w:r>
      <w:r w:rsidR="00C56D9E" w:rsidRPr="00572B23">
        <w:rPr>
          <w:vertAlign w:val="subscript"/>
        </w:rPr>
        <w:t>1</w:t>
      </w:r>
      <w:r w:rsidR="00C56D9E">
        <w:t xml:space="preserve">, </w:t>
      </w:r>
      <w:r w:rsidR="00C56D9E" w:rsidRPr="00572B23">
        <w:rPr>
          <w:i/>
        </w:rPr>
        <w:t>DX</w:t>
      </w:r>
      <w:r w:rsidR="00C56D9E" w:rsidRPr="00572B23">
        <w:rPr>
          <w:vertAlign w:val="subscript"/>
        </w:rPr>
        <w:t>2</w:t>
      </w:r>
      <w:r w:rsidR="00C56D9E">
        <w:t xml:space="preserve">,…, </w:t>
      </w:r>
      <w:proofErr w:type="spellStart"/>
      <w:r w:rsidR="00C56D9E" w:rsidRPr="00572B23">
        <w:rPr>
          <w:i/>
        </w:rPr>
        <w:t>DX</w:t>
      </w:r>
      <w:r w:rsidR="00C56D9E" w:rsidRPr="00572B23">
        <w:rPr>
          <w:i/>
          <w:vertAlign w:val="subscript"/>
        </w:rPr>
        <w:t>n</w:t>
      </w:r>
      <w:proofErr w:type="spellEnd"/>
      <w:r w:rsidR="00C56D9E">
        <w:t xml:space="preserve">) = </w:t>
      </w:r>
      <w:r w:rsidR="00C56D9E" w:rsidRPr="00572B23">
        <w:rPr>
          <w:i/>
        </w:rPr>
        <w:t>T</w:t>
      </w:r>
      <w:r w:rsidR="00C56D9E">
        <w:t>(</w:t>
      </w:r>
      <w:r w:rsidR="00C56D9E" w:rsidRPr="00572B23">
        <w:rPr>
          <w:i/>
        </w:rPr>
        <w:t>X</w:t>
      </w:r>
      <w:r w:rsidR="00C56D9E" w:rsidRPr="00572B23">
        <w:rPr>
          <w:vertAlign w:val="subscript"/>
        </w:rPr>
        <w:t>1</w:t>
      </w:r>
      <w:r w:rsidR="00C56D9E">
        <w:t xml:space="preserve">, </w:t>
      </w:r>
      <w:r w:rsidR="00C56D9E" w:rsidRPr="00572B23">
        <w:rPr>
          <w:i/>
        </w:rPr>
        <w:t>X</w:t>
      </w:r>
      <w:r w:rsidR="00C56D9E" w:rsidRPr="00572B23">
        <w:rPr>
          <w:vertAlign w:val="subscript"/>
        </w:rPr>
        <w:t>2</w:t>
      </w:r>
      <w:r w:rsidR="00C56D9E">
        <w:t xml:space="preserve">,…, </w:t>
      </w:r>
      <w:proofErr w:type="spellStart"/>
      <w:r w:rsidR="00C56D9E" w:rsidRPr="00572B23">
        <w:rPr>
          <w:i/>
        </w:rPr>
        <w:t>X</w:t>
      </w:r>
      <w:r w:rsidR="00C56D9E" w:rsidRPr="00572B23">
        <w:rPr>
          <w:i/>
          <w:vertAlign w:val="subscript"/>
        </w:rPr>
        <w:t>n</w:t>
      </w:r>
      <w:proofErr w:type="spellEnd"/>
      <w:r w:rsidR="00C56D9E">
        <w:t xml:space="preserve">) where </w:t>
      </w:r>
      <w:r w:rsidR="00C56D9E" w:rsidRPr="00572B23">
        <w:rPr>
          <w:i/>
        </w:rPr>
        <w:t>D</w:t>
      </w:r>
      <w:r w:rsidR="00C56D9E">
        <w:t xml:space="preserve"> is a non-singular square matrix which is called transformation. </w:t>
      </w:r>
      <w:r w:rsidR="00877555">
        <w:t xml:space="preserve">Given vector </w:t>
      </w:r>
      <w:r w:rsidR="00877555" w:rsidRPr="00877555">
        <w:rPr>
          <w:i/>
        </w:rPr>
        <w:t>X</w:t>
      </w:r>
      <w:r w:rsidR="00877555">
        <w:t xml:space="preserve"> = (</w:t>
      </w:r>
      <w:r w:rsidR="00877555" w:rsidRPr="00877555">
        <w:rPr>
          <w:i/>
        </w:rPr>
        <w:t>x</w:t>
      </w:r>
      <w:r w:rsidR="00877555" w:rsidRPr="00877555">
        <w:rPr>
          <w:vertAlign w:val="subscript"/>
        </w:rPr>
        <w:t>1</w:t>
      </w:r>
      <w:r w:rsidR="00877555">
        <w:t xml:space="preserve">, </w:t>
      </w:r>
      <w:r w:rsidR="00877555" w:rsidRPr="00877555">
        <w:rPr>
          <w:i/>
        </w:rPr>
        <w:t>x</w:t>
      </w:r>
      <w:proofErr w:type="gramStart"/>
      <w:r w:rsidR="00877555" w:rsidRPr="00877555">
        <w:rPr>
          <w:vertAlign w:val="subscript"/>
        </w:rPr>
        <w:t>2</w:t>
      </w:r>
      <w:r w:rsidR="00877555">
        <w:t>,…</w:t>
      </w:r>
      <w:proofErr w:type="gramEnd"/>
      <w:r w:rsidR="00877555">
        <w:t xml:space="preserve">, </w:t>
      </w:r>
      <w:proofErr w:type="spellStart"/>
      <w:r w:rsidR="00877555" w:rsidRPr="00877555">
        <w:rPr>
          <w:i/>
        </w:rPr>
        <w:t>x</w:t>
      </w:r>
      <w:r w:rsidR="00877555" w:rsidRPr="00877555">
        <w:rPr>
          <w:i/>
          <w:vertAlign w:val="subscript"/>
        </w:rPr>
        <w:t>p</w:t>
      </w:r>
      <w:proofErr w:type="spellEnd"/>
      <w:r w:rsidR="00877555">
        <w:t>)</w:t>
      </w:r>
      <w:r w:rsidR="00877555" w:rsidRPr="00877555">
        <w:rPr>
          <w:i/>
          <w:vertAlign w:val="superscript"/>
        </w:rPr>
        <w:t>T</w:t>
      </w:r>
      <w:r w:rsidR="00877555">
        <w:t xml:space="preserve">, </w:t>
      </w:r>
      <w:proofErr w:type="spellStart"/>
      <w:r w:rsidR="00877555">
        <w:t>Oja</w:t>
      </w:r>
      <w:proofErr w:type="spellEnd"/>
      <w:r w:rsidR="00877555">
        <w:t xml:space="preserve"> and </w:t>
      </w:r>
      <w:proofErr w:type="spellStart"/>
      <w:r w:rsidR="00877555">
        <w:t>Randles</w:t>
      </w:r>
      <w:proofErr w:type="spellEnd"/>
      <w:r w:rsidR="00877555">
        <w:t xml:space="preserve"> </w:t>
      </w:r>
      <w:sdt>
        <w:sdtPr>
          <w:id w:val="978585878"/>
          <w:citation/>
        </w:sdtPr>
        <w:sdtEndPr/>
        <w:sdtContent>
          <w:r w:rsidR="00877555">
            <w:fldChar w:fldCharType="begin"/>
          </w:r>
          <w:r w:rsidR="00877555">
            <w:instrText xml:space="preserve">CITATION Oja2004NTest \p 599 \l 1033 </w:instrText>
          </w:r>
          <w:r w:rsidR="00877555">
            <w:fldChar w:fldCharType="separate"/>
          </w:r>
          <w:r w:rsidR="00877555">
            <w:rPr>
              <w:noProof/>
            </w:rPr>
            <w:t>(Oja &amp; Randles, 2004, p. 599)</w:t>
          </w:r>
          <w:r w:rsidR="00877555">
            <w:fldChar w:fldCharType="end"/>
          </w:r>
        </w:sdtContent>
      </w:sdt>
      <w:r w:rsidR="00877555">
        <w:t xml:space="preserve"> defined the </w:t>
      </w:r>
      <w:r w:rsidR="00877555" w:rsidRPr="00877555">
        <w:rPr>
          <w:i/>
        </w:rPr>
        <w:t>spatial sign function</w:t>
      </w:r>
      <w:r w:rsidR="002D2557">
        <w:t xml:space="preserve"> according to equation </w:t>
      </w:r>
      <w:r w:rsidR="002E2061">
        <w:t>8</w:t>
      </w:r>
      <w:r w:rsidR="002D2557">
        <w:t>.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4"/>
        <w:gridCol w:w="627"/>
      </w:tblGrid>
      <w:tr w:rsidR="002D2557" w:rsidTr="00FF6B2B">
        <w:tc>
          <w:tcPr>
            <w:tcW w:w="4665" w:type="pct"/>
          </w:tcPr>
          <w:p w:rsidR="002D2557" w:rsidRDefault="002D2557" w:rsidP="00F64743"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righ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X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X≠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X=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35" w:type="pct"/>
            <w:vAlign w:val="center"/>
          </w:tcPr>
          <w:p w:rsidR="002D2557" w:rsidRDefault="002D2557" w:rsidP="00F64743">
            <w:pPr>
              <w:jc w:val="right"/>
            </w:pPr>
            <w:r>
              <w:t>(</w:t>
            </w:r>
            <w:r w:rsidR="002E2061">
              <w:t>8</w:t>
            </w:r>
            <w:r>
              <w:t>)</w:t>
            </w:r>
          </w:p>
        </w:tc>
      </w:tr>
    </w:tbl>
    <w:p w:rsidR="005C6C9A" w:rsidRDefault="005C6C9A" w:rsidP="00877555">
      <w:r>
        <w:t xml:space="preserve">Where </w:t>
      </w:r>
      <w:r w:rsidRPr="00877555">
        <w:rPr>
          <w:b/>
        </w:rPr>
        <w:t>0</w:t>
      </w:r>
      <w:r>
        <w:t xml:space="preserve"> = (0, </w:t>
      </w:r>
      <w:proofErr w:type="gramStart"/>
      <w:r>
        <w:t>0,…</w:t>
      </w:r>
      <w:proofErr w:type="gramEnd"/>
      <w:r>
        <w:t>, 0)</w:t>
      </w:r>
      <w:r w:rsidRPr="00877555">
        <w:rPr>
          <w:i/>
          <w:vertAlign w:val="superscript"/>
        </w:rPr>
        <w:t>T</w:t>
      </w:r>
      <w:r>
        <w:t xml:space="preserve"> is zero vector and |</w:t>
      </w:r>
      <w:r w:rsidRPr="002D2557">
        <w:rPr>
          <w:i/>
        </w:rPr>
        <w:t>X</w:t>
      </w:r>
      <w:r>
        <w:t xml:space="preserve">| is the length or module of vector </w:t>
      </w:r>
      <w:r w:rsidRPr="005C6C9A">
        <w:rPr>
          <w:i/>
        </w:rPr>
        <w:t>X</w:t>
      </w:r>
      <w:r>
        <w:t>.</w:t>
      </w:r>
    </w:p>
    <w:p w:rsidR="005C6C9A" w:rsidRDefault="009C6D19" w:rsidP="00877555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:rsidR="00572B23" w:rsidRDefault="00877555" w:rsidP="00877555">
      <w:r>
        <w:t xml:space="preserve">Note, </w:t>
      </w:r>
      <w:r w:rsidRPr="00877555">
        <w:rPr>
          <w:i/>
        </w:rPr>
        <w:t>s</w:t>
      </w:r>
      <w:r>
        <w:t>(</w:t>
      </w:r>
      <w:r w:rsidRPr="00877555">
        <w:rPr>
          <w:i/>
        </w:rPr>
        <w:t>X</w:t>
      </w:r>
      <w:r>
        <w:t xml:space="preserve">) is a vector. </w:t>
      </w:r>
      <w:proofErr w:type="spellStart"/>
      <w:r w:rsidR="00C05323">
        <w:t>Oja</w:t>
      </w:r>
      <w:proofErr w:type="spellEnd"/>
      <w:r w:rsidR="00C05323">
        <w:t xml:space="preserve"> and </w:t>
      </w:r>
      <w:proofErr w:type="spellStart"/>
      <w:r w:rsidR="00C05323">
        <w:t>Randles</w:t>
      </w:r>
      <w:proofErr w:type="spellEnd"/>
      <w:r w:rsidR="00C05323">
        <w:t xml:space="preserve"> </w:t>
      </w:r>
      <w:sdt>
        <w:sdtPr>
          <w:id w:val="-1477838247"/>
          <w:citation/>
        </w:sdtPr>
        <w:sdtEndPr/>
        <w:sdtContent>
          <w:r w:rsidR="00C05323">
            <w:fldChar w:fldCharType="begin"/>
          </w:r>
          <w:r w:rsidR="00C05323">
            <w:instrText xml:space="preserve">CITATION Oja2004NTest \p 599 \l 1033 </w:instrText>
          </w:r>
          <w:r w:rsidR="00C05323">
            <w:fldChar w:fldCharType="separate"/>
          </w:r>
          <w:r w:rsidR="00C05323">
            <w:rPr>
              <w:noProof/>
            </w:rPr>
            <w:t>(Oja &amp; Randles, 2004, p. 599)</w:t>
          </w:r>
          <w:r w:rsidR="00C05323">
            <w:fldChar w:fldCharType="end"/>
          </w:r>
        </w:sdtContent>
      </w:sdt>
      <w:r w:rsidR="00C05323">
        <w:t xml:space="preserve"> defined the </w:t>
      </w:r>
      <w:r w:rsidR="00C05323" w:rsidRPr="00877555">
        <w:rPr>
          <w:i/>
        </w:rPr>
        <w:t>spatial sign</w:t>
      </w:r>
      <w:r w:rsidR="00C05323">
        <w:t xml:space="preserve"> for each </w:t>
      </w:r>
      <w:r>
        <w:t xml:space="preserve">observation </w:t>
      </w:r>
      <w:r w:rsidR="00C05323" w:rsidRPr="00F3089E">
        <w:rPr>
          <w:i/>
        </w:rPr>
        <w:t>X</w:t>
      </w:r>
      <w:r w:rsidR="00C05323" w:rsidRPr="00F3089E">
        <w:rPr>
          <w:i/>
          <w:vertAlign w:val="subscript"/>
        </w:rPr>
        <w:t>i</w:t>
      </w:r>
      <w:r w:rsidR="00C05323">
        <w:t xml:space="preserve"> </w:t>
      </w:r>
      <w:r>
        <w:t xml:space="preserve">based on spatial sign function </w:t>
      </w:r>
      <w:r w:rsidR="002D2557">
        <w:t xml:space="preserve">according to equation </w:t>
      </w:r>
      <w:r w:rsidR="002E2061">
        <w:t>9</w:t>
      </w:r>
      <w:r w:rsidR="002D2557">
        <w:t>.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4"/>
        <w:gridCol w:w="627"/>
      </w:tblGrid>
      <w:tr w:rsidR="002D2557" w:rsidTr="00FF6B2B">
        <w:tc>
          <w:tcPr>
            <w:tcW w:w="4665" w:type="pct"/>
          </w:tcPr>
          <w:p w:rsidR="002D2557" w:rsidRDefault="009C6D19" w:rsidP="00F6474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35" w:type="pct"/>
            <w:vAlign w:val="center"/>
          </w:tcPr>
          <w:p w:rsidR="002D2557" w:rsidRDefault="002D2557" w:rsidP="00F64743">
            <w:pPr>
              <w:jc w:val="right"/>
            </w:pPr>
            <w:r>
              <w:t>(</w:t>
            </w:r>
            <w:r w:rsidR="002E2061">
              <w:t>9</w:t>
            </w:r>
            <w:r>
              <w:t>)</w:t>
            </w:r>
          </w:p>
        </w:tc>
      </w:tr>
    </w:tbl>
    <w:p w:rsidR="00877555" w:rsidRDefault="00877555" w:rsidP="001923F1">
      <w:r>
        <w:t xml:space="preserve">Of course, each spatial sign </w:t>
      </w:r>
      <w:r w:rsidRPr="00877555">
        <w:rPr>
          <w:i/>
        </w:rPr>
        <w:t>S</w:t>
      </w:r>
      <w:r w:rsidRPr="00877555">
        <w:rPr>
          <w:i/>
          <w:vertAlign w:val="subscript"/>
        </w:rPr>
        <w:t>i</w:t>
      </w:r>
      <w:r>
        <w:t xml:space="preserve"> is a vector. The matrix </w:t>
      </w:r>
      <w:r w:rsidRPr="00C05323">
        <w:rPr>
          <w:i/>
        </w:rPr>
        <w:t>A</w:t>
      </w:r>
      <w:r w:rsidRPr="00C05323">
        <w:rPr>
          <w:i/>
          <w:vertAlign w:val="subscript"/>
        </w:rPr>
        <w:t>x</w:t>
      </w:r>
      <w:r w:rsidRPr="00C05323">
        <w:t xml:space="preserve"> is </w:t>
      </w:r>
      <w:r w:rsidRPr="001B7298">
        <w:rPr>
          <w:i/>
        </w:rPr>
        <w:t>Tyler’s transformation</w:t>
      </w:r>
      <w:r w:rsidR="002D2557">
        <w:t xml:space="preserve"> as seen in equation </w:t>
      </w:r>
      <w:r w:rsidR="002E2061">
        <w:t>10</w:t>
      </w:r>
      <w:r w:rsidR="002D2557">
        <w:t>.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4"/>
        <w:gridCol w:w="627"/>
      </w:tblGrid>
      <w:tr w:rsidR="002D2557" w:rsidTr="00FF6B2B">
        <w:tc>
          <w:tcPr>
            <w:tcW w:w="4665" w:type="pct"/>
          </w:tcPr>
          <w:p w:rsidR="002D2557" w:rsidRDefault="009C6D19" w:rsidP="00F64743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</m:oMath>
            </m:oMathPara>
          </w:p>
        </w:tc>
        <w:tc>
          <w:tcPr>
            <w:tcW w:w="335" w:type="pct"/>
            <w:vAlign w:val="center"/>
          </w:tcPr>
          <w:p w:rsidR="002D2557" w:rsidRDefault="002D2557" w:rsidP="00F64743">
            <w:pPr>
              <w:jc w:val="right"/>
            </w:pPr>
            <w:r>
              <w:t>(</w:t>
            </w:r>
            <w:r w:rsidR="002E2061">
              <w:t>10</w:t>
            </w:r>
            <w:r>
              <w:t>)</w:t>
            </w:r>
          </w:p>
        </w:tc>
      </w:tr>
    </w:tbl>
    <w:p w:rsidR="00C56D9E" w:rsidRDefault="00877555" w:rsidP="00C56D9E">
      <w:r>
        <w:t xml:space="preserve">Where </w:t>
      </w:r>
      <w:proofErr w:type="spellStart"/>
      <w:r w:rsidRPr="001B7298">
        <w:rPr>
          <w:i/>
        </w:rPr>
        <w:t>V</w:t>
      </w:r>
      <w:r w:rsidRPr="001B7298">
        <w:rPr>
          <w:i/>
          <w:vertAlign w:val="subscript"/>
        </w:rPr>
        <w:t>x</w:t>
      </w:r>
      <w:proofErr w:type="spellEnd"/>
      <w:r>
        <w:t xml:space="preserve"> is </w:t>
      </w:r>
      <w:r w:rsidRPr="001B7298">
        <w:rPr>
          <w:i/>
        </w:rPr>
        <w:t>Tyler’s shape matrix</w:t>
      </w:r>
      <w:r>
        <w:t xml:space="preserve"> so that </w:t>
      </w:r>
      <w:proofErr w:type="spellStart"/>
      <w:r w:rsidRPr="00F3089E">
        <w:rPr>
          <w:i/>
        </w:rPr>
        <w:t>V</w:t>
      </w:r>
      <w:r w:rsidRPr="00F3089E">
        <w:rPr>
          <w:i/>
          <w:vertAlign w:val="subscript"/>
        </w:rPr>
        <w:t>x</w:t>
      </w:r>
      <w:proofErr w:type="spellEnd"/>
      <w:r>
        <w:t xml:space="preserve"> is positive definite symmetric </w:t>
      </w:r>
      <w:proofErr w:type="spellStart"/>
      <w:r w:rsidRPr="00F3089E">
        <w:rPr>
          <w:i/>
        </w:rPr>
        <w:t>p</w:t>
      </w:r>
      <w:r w:rsidRPr="001B7298">
        <w:rPr>
          <w:vertAlign w:val="subscript"/>
        </w:rPr>
        <w:t>x</w:t>
      </w:r>
      <w:r w:rsidRPr="00F3089E">
        <w:rPr>
          <w:i/>
        </w:rPr>
        <w:t>p</w:t>
      </w:r>
      <w:proofErr w:type="spellEnd"/>
      <w:r>
        <w:t xml:space="preserve"> matrix and </w:t>
      </w:r>
      <w:proofErr w:type="gramStart"/>
      <w:r w:rsidRPr="00F3089E">
        <w:rPr>
          <w:i/>
        </w:rPr>
        <w:t>trace</w:t>
      </w:r>
      <w:r>
        <w:t>(</w:t>
      </w:r>
      <w:proofErr w:type="spellStart"/>
      <w:proofErr w:type="gramEnd"/>
      <w:r w:rsidRPr="00F3089E">
        <w:rPr>
          <w:i/>
        </w:rPr>
        <w:t>V</w:t>
      </w:r>
      <w:r w:rsidRPr="00F3089E">
        <w:rPr>
          <w:i/>
          <w:vertAlign w:val="subscript"/>
        </w:rPr>
        <w:t>x</w:t>
      </w:r>
      <w:proofErr w:type="spellEnd"/>
      <w:r>
        <w:t xml:space="preserve">) = </w:t>
      </w:r>
      <w:r w:rsidRPr="00F3089E">
        <w:rPr>
          <w:i/>
        </w:rPr>
        <w:t>p</w:t>
      </w:r>
      <w:r>
        <w:t xml:space="preserve"> with note that </w:t>
      </w:r>
      <w:r w:rsidRPr="00F3089E">
        <w:rPr>
          <w:i/>
        </w:rPr>
        <w:t>p</w:t>
      </w:r>
      <w:r>
        <w:t xml:space="preserve"> is dimension of </w:t>
      </w:r>
      <w:r w:rsidRPr="00F3089E">
        <w:rPr>
          <w:i/>
        </w:rPr>
        <w:t>X</w:t>
      </w:r>
      <w:r w:rsidRPr="00F3089E">
        <w:rPr>
          <w:i/>
          <w:vertAlign w:val="subscript"/>
        </w:rPr>
        <w:t>i</w:t>
      </w:r>
      <w:r>
        <w:t>.</w:t>
      </w:r>
      <w:r w:rsidR="005C6C9A">
        <w:t xml:space="preserve"> </w:t>
      </w:r>
      <w:proofErr w:type="spellStart"/>
      <w:r w:rsidR="00C56D9E">
        <w:t>Oja</w:t>
      </w:r>
      <w:proofErr w:type="spellEnd"/>
      <w:r w:rsidR="00C56D9E">
        <w:t xml:space="preserve"> and </w:t>
      </w:r>
      <w:proofErr w:type="spellStart"/>
      <w:r w:rsidR="00C56D9E">
        <w:t>Randles</w:t>
      </w:r>
      <w:proofErr w:type="spellEnd"/>
      <w:r w:rsidR="00C56D9E">
        <w:t xml:space="preserve"> </w:t>
      </w:r>
      <w:sdt>
        <w:sdtPr>
          <w:id w:val="2025507971"/>
          <w:citation/>
        </w:sdtPr>
        <w:sdtEndPr/>
        <w:sdtContent>
          <w:r w:rsidR="00C56D9E">
            <w:fldChar w:fldCharType="begin"/>
          </w:r>
          <w:r w:rsidR="00C56D9E">
            <w:instrText xml:space="preserve">CITATION Oja2004NTest \p 599 \l 1033 </w:instrText>
          </w:r>
          <w:r w:rsidR="00C56D9E">
            <w:fldChar w:fldCharType="separate"/>
          </w:r>
          <w:r w:rsidR="00C56D9E">
            <w:rPr>
              <w:noProof/>
            </w:rPr>
            <w:t>(Oja &amp; Randles, 2004, p. 599)</w:t>
          </w:r>
          <w:r w:rsidR="00C56D9E">
            <w:fldChar w:fldCharType="end"/>
          </w:r>
        </w:sdtContent>
      </w:sdt>
      <w:r w:rsidR="00C56D9E">
        <w:t xml:space="preserve"> defined sign mean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="00C56D9E">
        <w:t>:</w:t>
      </w:r>
    </w:p>
    <w:p w:rsidR="00877555" w:rsidRPr="00C56D9E" w:rsidRDefault="009C6D19" w:rsidP="001923F1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ave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5C6C9A" w:rsidRDefault="005C6C9A" w:rsidP="005C6C9A">
      <w:r>
        <w:lastRenderedPageBreak/>
        <w:t xml:space="preserve">The matrix </w:t>
      </w:r>
      <w:proofErr w:type="spellStart"/>
      <w:r w:rsidRPr="005C6C9A">
        <w:rPr>
          <w:i/>
        </w:rPr>
        <w:t>V</w:t>
      </w:r>
      <w:r w:rsidRPr="005C6C9A">
        <w:rPr>
          <w:i/>
          <w:vertAlign w:val="subscript"/>
        </w:rPr>
        <w:t>x</w:t>
      </w:r>
      <w:proofErr w:type="spellEnd"/>
      <w:r>
        <w:t xml:space="preserve"> is calculated by an iterative process with </w:t>
      </w:r>
      <w:r w:rsidR="000B35CF">
        <w:t xml:space="preserve">note that </w:t>
      </w:r>
      <w:r w:rsidRPr="005C6C9A">
        <w:rPr>
          <w:i/>
        </w:rPr>
        <w:t>V</w:t>
      </w:r>
      <w:r>
        <w:t xml:space="preserve"> is initialized </w:t>
      </w:r>
      <w:r w:rsidRPr="005C6C9A">
        <w:rPr>
          <w:i/>
        </w:rPr>
        <w:t>V</w:t>
      </w:r>
      <w:r>
        <w:t xml:space="preserve"> = </w:t>
      </w:r>
      <w:r w:rsidRPr="005C6C9A">
        <w:rPr>
          <w:i/>
        </w:rPr>
        <w:t>I</w:t>
      </w:r>
      <w:r w:rsidRPr="005C6C9A">
        <w:rPr>
          <w:i/>
          <w:vertAlign w:val="subscript"/>
        </w:rPr>
        <w:t>p</w:t>
      </w:r>
      <w:r w:rsidR="000B35CF">
        <w:t xml:space="preserve">, </w:t>
      </w:r>
      <w:r w:rsidR="002D2557">
        <w:t xml:space="preserve">as seen in equation </w:t>
      </w:r>
      <w:r w:rsidR="002E4D6B">
        <w:t>1</w:t>
      </w:r>
      <w:r w:rsidR="002E2061">
        <w:t>1</w:t>
      </w:r>
      <w:r w:rsidR="002E4D6B">
        <w:t>.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4"/>
        <w:gridCol w:w="627"/>
      </w:tblGrid>
      <w:tr w:rsidR="002D2557" w:rsidTr="00FF6B2B">
        <w:tc>
          <w:tcPr>
            <w:tcW w:w="4665" w:type="pct"/>
          </w:tcPr>
          <w:p w:rsidR="002D2557" w:rsidRDefault="002D2557" w:rsidP="00F64743">
            <m:oMathPara>
              <m:oMath>
                <m:r>
                  <w:rPr>
                    <w:rFonts w:ascii="Cambria Math" w:hAnsi="Cambria Math"/>
                  </w:rPr>
                  <m:t>V←p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ave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35" w:type="pct"/>
            <w:vAlign w:val="center"/>
          </w:tcPr>
          <w:p w:rsidR="002D2557" w:rsidRDefault="002D2557" w:rsidP="00F64743">
            <w:pPr>
              <w:jc w:val="right"/>
            </w:pPr>
            <w:r>
              <w:t>(</w:t>
            </w:r>
            <w:r w:rsidR="002E4D6B">
              <w:t>1</w:t>
            </w:r>
            <w:r w:rsidR="002E2061">
              <w:t>1</w:t>
            </w:r>
            <w:r>
              <w:t>)</w:t>
            </w:r>
          </w:p>
        </w:tc>
      </w:tr>
    </w:tbl>
    <w:p w:rsidR="00285173" w:rsidRDefault="005C6C9A" w:rsidP="00285173">
      <w:r>
        <w:t xml:space="preserve">When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ave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>
        <w:t xml:space="preserve"> is small enough, the process stops and </w:t>
      </w:r>
      <w:proofErr w:type="spellStart"/>
      <w:r w:rsidRPr="005C6C9A">
        <w:rPr>
          <w:i/>
        </w:rPr>
        <w:t>V</w:t>
      </w:r>
      <w:r w:rsidRPr="005C6C9A">
        <w:rPr>
          <w:i/>
          <w:vertAlign w:val="subscript"/>
        </w:rPr>
        <w:t>x</w:t>
      </w:r>
      <w:proofErr w:type="spellEnd"/>
      <w:r>
        <w:t xml:space="preserve"> = (</w:t>
      </w:r>
      <w:r w:rsidRPr="005C6C9A">
        <w:rPr>
          <w:i/>
        </w:rPr>
        <w:t>p</w:t>
      </w:r>
      <w:r>
        <w:t xml:space="preserve"> / trace(</w:t>
      </w:r>
      <w:r w:rsidRPr="005C6C9A">
        <w:rPr>
          <w:i/>
        </w:rPr>
        <w:t>V</w:t>
      </w:r>
      <w:proofErr w:type="gramStart"/>
      <w:r>
        <w:t>))</w:t>
      </w:r>
      <w:r w:rsidRPr="005C6C9A">
        <w:rPr>
          <w:i/>
        </w:rPr>
        <w:t>V</w:t>
      </w:r>
      <w:r>
        <w:t>.</w:t>
      </w:r>
      <w:proofErr w:type="gramEnd"/>
      <w:r w:rsidR="00285173">
        <w:t xml:space="preserve"> Note, </w:t>
      </w:r>
      <w:r w:rsidR="00285173" w:rsidRPr="00077111">
        <w:rPr>
          <w:i/>
        </w:rPr>
        <w:t>I</w:t>
      </w:r>
      <w:r w:rsidR="00285173" w:rsidRPr="00077111">
        <w:rPr>
          <w:i/>
          <w:vertAlign w:val="subscript"/>
        </w:rPr>
        <w:t>p</w:t>
      </w:r>
      <w:r w:rsidR="00285173">
        <w:t xml:space="preserve"> is unity matrix:</w:t>
      </w:r>
    </w:p>
    <w:p w:rsidR="00285173" w:rsidRPr="00077111" w:rsidRDefault="009C6D19" w:rsidP="0028517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C56D9E" w:rsidRDefault="00C56D9E" w:rsidP="00C56D9E">
      <w:proofErr w:type="spellStart"/>
      <w:r>
        <w:t>Randles</w:t>
      </w:r>
      <w:proofErr w:type="spellEnd"/>
      <w:r>
        <w:t xml:space="preserve"> </w:t>
      </w:r>
      <w:r w:rsidR="002D2557">
        <w:t>developed</w:t>
      </w:r>
      <w:r>
        <w:t xml:space="preserve"> the </w:t>
      </w:r>
      <w:r w:rsidRPr="00077111">
        <w:rPr>
          <w:i/>
        </w:rPr>
        <w:t>multivariate sign test</w:t>
      </w:r>
      <w:r>
        <w:t xml:space="preserve"> that rejects null hypothesis with large value of </w:t>
      </w:r>
      <w:r w:rsidRPr="00077111">
        <w:rPr>
          <w:i/>
        </w:rPr>
        <w:t>Q</w:t>
      </w:r>
      <w:r w:rsidRPr="00077111">
        <w:rPr>
          <w:vertAlign w:val="superscript"/>
        </w:rPr>
        <w:t>2</w:t>
      </w:r>
      <w:r>
        <w:t xml:space="preserve"> as </w:t>
      </w:r>
      <w:r w:rsidR="002D2557">
        <w:t>seen</w:t>
      </w:r>
      <w:r>
        <w:t xml:space="preserve"> </w:t>
      </w:r>
      <w:r w:rsidR="002D2557">
        <w:t xml:space="preserve">in equation </w:t>
      </w:r>
      <w:r w:rsidR="002E4D6B">
        <w:t>1</w:t>
      </w:r>
      <w:r w:rsidR="002E2061">
        <w:t>2</w:t>
      </w:r>
      <w:r w:rsidR="002D2557">
        <w:t xml:space="preserve"> </w:t>
      </w:r>
      <w:sdt>
        <w:sdtPr>
          <w:id w:val="201056666"/>
          <w:citation/>
        </w:sdtPr>
        <w:sdtEndPr/>
        <w:sdtContent>
          <w:r>
            <w:fldChar w:fldCharType="begin"/>
          </w:r>
          <w:r>
            <w:instrText xml:space="preserve">CITATION Oja2004NTest \p 599 \l 1033 </w:instrText>
          </w:r>
          <w:r>
            <w:fldChar w:fldCharType="separate"/>
          </w:r>
          <w:r>
            <w:rPr>
              <w:noProof/>
            </w:rPr>
            <w:t>(Oja &amp; Randles, 2004, p. 599)</w:t>
          </w:r>
          <w:r>
            <w:fldChar w:fldCharType="end"/>
          </w:r>
        </w:sdtContent>
      </w:sdt>
      <w:r w:rsidR="002D2557">
        <w:t>.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4"/>
        <w:gridCol w:w="627"/>
      </w:tblGrid>
      <w:tr w:rsidR="002D2557" w:rsidTr="00FF6B2B">
        <w:tc>
          <w:tcPr>
            <w:tcW w:w="4665" w:type="pct"/>
          </w:tcPr>
          <w:p w:rsidR="002D2557" w:rsidRDefault="009C6D19" w:rsidP="00F6474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=np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335" w:type="pct"/>
            <w:vAlign w:val="center"/>
          </w:tcPr>
          <w:p w:rsidR="002D2557" w:rsidRDefault="002D2557" w:rsidP="00F64743">
            <w:pPr>
              <w:jc w:val="right"/>
            </w:pPr>
            <w:r>
              <w:t>(</w:t>
            </w:r>
            <w:r w:rsidR="002E4D6B">
              <w:t>1</w:t>
            </w:r>
            <w:r w:rsidR="002E2061">
              <w:t>2</w:t>
            </w:r>
            <w:r>
              <w:t>)</w:t>
            </w:r>
          </w:p>
        </w:tc>
      </w:tr>
    </w:tbl>
    <w:p w:rsidR="00C56D9E" w:rsidRDefault="00C56D9E" w:rsidP="00C56D9E">
      <w:r>
        <w:t xml:space="preserve">For large sample size, the test </w:t>
      </w:r>
      <w:r w:rsidRPr="00077111">
        <w:rPr>
          <w:i/>
        </w:rPr>
        <w:t>Q</w:t>
      </w:r>
      <w:r w:rsidRPr="00077111">
        <w:rPr>
          <w:vertAlign w:val="superscript"/>
        </w:rPr>
        <w:t>2</w:t>
      </w:r>
      <w:r>
        <w:t xml:space="preserve"> </w:t>
      </w:r>
      <w:r w:rsidR="002E2061">
        <w:t xml:space="preserve">with null hypothesis </w:t>
      </w:r>
      <w:r w:rsidR="002E2061" w:rsidRPr="002E2061">
        <w:rPr>
          <w:i/>
        </w:rPr>
        <w:t>H</w:t>
      </w:r>
      <w:r w:rsidR="002E2061" w:rsidRPr="002E2061">
        <w:rPr>
          <w:vertAlign w:val="subscript"/>
        </w:rPr>
        <w:t>0</w:t>
      </w:r>
      <w:r w:rsidR="002E2061">
        <w:t xml:space="preserve"> = </w:t>
      </w:r>
      <w:r w:rsidR="002E2061" w:rsidRPr="002E2061">
        <w:rPr>
          <w:b/>
        </w:rPr>
        <w:t>0</w:t>
      </w:r>
      <w:r w:rsidR="002E2061">
        <w:t xml:space="preserve"> </w:t>
      </w:r>
      <w:r w:rsidR="00C56447">
        <w:t>approaches</w:t>
      </w:r>
      <w:r>
        <w:t xml:space="preserve"> to chi-squared distribution </w:t>
      </w:r>
      <w:sdt>
        <w:sdtPr>
          <w:id w:val="1412588021"/>
          <w:citation/>
        </w:sdtPr>
        <w:sdtEndPr/>
        <w:sdtContent>
          <w:r>
            <w:fldChar w:fldCharType="begin"/>
          </w:r>
          <w:r>
            <w:instrText xml:space="preserve">CITATION Oja2004NTest \p 600 \l 1033 </w:instrText>
          </w:r>
          <w:r>
            <w:fldChar w:fldCharType="separate"/>
          </w:r>
          <w:r>
            <w:rPr>
              <w:noProof/>
            </w:rPr>
            <w:t>(Oja &amp; Randles, 2004, p. 600)</w:t>
          </w:r>
          <w:r>
            <w:fldChar w:fldCharType="end"/>
          </w:r>
        </w:sdtContent>
      </w:sdt>
      <w:r>
        <w:t>:</w:t>
      </w:r>
    </w:p>
    <w:p w:rsidR="00C56D9E" w:rsidRDefault="009C6D19" w:rsidP="00C56D9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6161AC" w:rsidRDefault="00077111" w:rsidP="001923F1">
      <w:r>
        <w:t xml:space="preserve">In general, the essential point of the multivariate sign test of </w:t>
      </w:r>
      <w:proofErr w:type="spellStart"/>
      <w:r>
        <w:t>Oja</w:t>
      </w:r>
      <w:proofErr w:type="spellEnd"/>
      <w:r>
        <w:t xml:space="preserve"> and </w:t>
      </w:r>
      <w:proofErr w:type="spellStart"/>
      <w:r>
        <w:t>Randles</w:t>
      </w:r>
      <w:proofErr w:type="spellEnd"/>
      <w:r>
        <w:t xml:space="preserve"> is to define the special sign so that the </w:t>
      </w:r>
      <w:r w:rsidRPr="00077111">
        <w:t>Tyler’s transformation</w:t>
      </w:r>
      <w:r>
        <w:t xml:space="preserve"> </w:t>
      </w:r>
      <w:r w:rsidRPr="00077111">
        <w:rPr>
          <w:i/>
        </w:rPr>
        <w:t>A</w:t>
      </w:r>
      <w:r w:rsidRPr="00077111">
        <w:rPr>
          <w:i/>
          <w:vertAlign w:val="subscript"/>
        </w:rPr>
        <w:t>x</w:t>
      </w:r>
      <w:r>
        <w:t xml:space="preserve"> </w:t>
      </w:r>
      <w:r w:rsidR="006161AC">
        <w:t xml:space="preserve">derived from the iterative process in the equation 8 </w:t>
      </w:r>
      <w:r>
        <w:t xml:space="preserve">makes </w:t>
      </w:r>
      <w:r w:rsidRPr="00077111">
        <w:rPr>
          <w:i/>
        </w:rPr>
        <w:t>Q</w:t>
      </w:r>
      <w:r w:rsidRPr="00077111">
        <w:rPr>
          <w:vertAlign w:val="superscript"/>
        </w:rPr>
        <w:t>2</w:t>
      </w:r>
      <w:r>
        <w:t xml:space="preserve"> to satisfy affine invariant property</w:t>
      </w:r>
      <w:r w:rsidR="006161AC">
        <w:t xml:space="preserve"> because </w:t>
      </w:r>
      <w:r w:rsidR="006161AC" w:rsidRPr="006161AC">
        <w:rPr>
          <w:i/>
        </w:rPr>
        <w:t>A</w:t>
      </w:r>
      <w:r w:rsidR="006161AC" w:rsidRPr="006161AC">
        <w:rPr>
          <w:i/>
          <w:vertAlign w:val="subscript"/>
        </w:rPr>
        <w:t>x</w:t>
      </w:r>
      <w:r w:rsidR="006161AC">
        <w:t xml:space="preserve"> makes the sign covariance matrix </w:t>
      </w:r>
      <w:proofErr w:type="gramStart"/>
      <w:r w:rsidR="006161AC" w:rsidRPr="006161AC">
        <w:rPr>
          <w:i/>
        </w:rPr>
        <w:t>p</w:t>
      </w:r>
      <w:r w:rsidR="006161AC">
        <w:t>ave(</w:t>
      </w:r>
      <w:proofErr w:type="spellStart"/>
      <w:proofErr w:type="gramEnd"/>
      <w:r w:rsidR="006161AC" w:rsidRPr="006161AC">
        <w:rPr>
          <w:i/>
        </w:rPr>
        <w:t>S</w:t>
      </w:r>
      <w:r w:rsidR="006161AC" w:rsidRPr="006161AC">
        <w:rPr>
          <w:i/>
          <w:vertAlign w:val="subscript"/>
        </w:rPr>
        <w:t>i</w:t>
      </w:r>
      <w:r w:rsidR="006161AC" w:rsidRPr="006161AC">
        <w:rPr>
          <w:i/>
        </w:rPr>
        <w:t>S</w:t>
      </w:r>
      <w:r w:rsidR="006161AC" w:rsidRPr="006161AC">
        <w:rPr>
          <w:i/>
          <w:vertAlign w:val="subscript"/>
        </w:rPr>
        <w:t>i</w:t>
      </w:r>
      <w:r w:rsidR="006161AC" w:rsidRPr="006161AC">
        <w:rPr>
          <w:i/>
          <w:vertAlign w:val="superscript"/>
        </w:rPr>
        <w:t>T</w:t>
      </w:r>
      <w:proofErr w:type="spellEnd"/>
      <w:r w:rsidR="006161AC">
        <w:t>) equal or approach to (1/</w:t>
      </w:r>
      <w:r w:rsidR="006161AC" w:rsidRPr="006161AC">
        <w:rPr>
          <w:i/>
        </w:rPr>
        <w:t>p</w:t>
      </w:r>
      <w:r w:rsidR="006161AC">
        <w:t>)</w:t>
      </w:r>
      <w:r w:rsidR="006161AC" w:rsidRPr="006161AC">
        <w:rPr>
          <w:i/>
        </w:rPr>
        <w:t>I</w:t>
      </w:r>
      <w:r w:rsidR="006161AC" w:rsidRPr="006161AC">
        <w:rPr>
          <w:i/>
          <w:vertAlign w:val="subscript"/>
        </w:rPr>
        <w:t>p</w:t>
      </w:r>
      <w:r w:rsidR="006161AC">
        <w:t>.</w:t>
      </w:r>
    </w:p>
    <w:p w:rsidR="00077111" w:rsidRPr="00077111" w:rsidRDefault="006161AC" w:rsidP="001923F1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ave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:rsidR="00077111" w:rsidRDefault="00077111" w:rsidP="001923F1">
      <w:r>
        <w:t>For multivariate rank test,</w:t>
      </w:r>
      <w:r w:rsidRPr="00077111">
        <w:t xml:space="preserve"> </w:t>
      </w:r>
      <w:proofErr w:type="spellStart"/>
      <w:r>
        <w:t>Oja</w:t>
      </w:r>
      <w:proofErr w:type="spellEnd"/>
      <w:r>
        <w:t xml:space="preserve"> and </w:t>
      </w:r>
      <w:proofErr w:type="spellStart"/>
      <w:r>
        <w:t>Randles</w:t>
      </w:r>
      <w:proofErr w:type="spellEnd"/>
      <w:r>
        <w:t xml:space="preserve"> replaced the spatial sign by the sign of transformed difference </w:t>
      </w:r>
      <w:r w:rsidR="006161AC">
        <w:t>as seen in equation</w:t>
      </w:r>
      <w:r w:rsidR="005C6C9A">
        <w:t xml:space="preserve"> </w:t>
      </w:r>
      <w:r w:rsidR="006161AC">
        <w:t>1</w:t>
      </w:r>
      <w:r w:rsidR="002E2061">
        <w:t>3</w:t>
      </w:r>
      <w:r w:rsidR="006161AC">
        <w:t xml:space="preserve"> </w:t>
      </w:r>
      <w:sdt>
        <w:sdtPr>
          <w:id w:val="787942091"/>
          <w:citation/>
        </w:sdtPr>
        <w:sdtEndPr/>
        <w:sdtContent>
          <w:r w:rsidR="005C6C9A">
            <w:fldChar w:fldCharType="begin"/>
          </w:r>
          <w:r w:rsidR="005C6C9A">
            <w:instrText xml:space="preserve">CITATION Oja2004NTest \p 600 \l 1033 </w:instrText>
          </w:r>
          <w:r w:rsidR="005C6C9A">
            <w:fldChar w:fldCharType="separate"/>
          </w:r>
          <w:r w:rsidR="005C6C9A">
            <w:rPr>
              <w:noProof/>
            </w:rPr>
            <w:t>(Oja &amp; Randles, 2004, p. 600)</w:t>
          </w:r>
          <w:r w:rsidR="005C6C9A">
            <w:fldChar w:fldCharType="end"/>
          </w:r>
        </w:sdtContent>
      </w:sdt>
      <w: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4"/>
        <w:gridCol w:w="627"/>
      </w:tblGrid>
      <w:tr w:rsidR="006161AC" w:rsidTr="00FF6B2B">
        <w:tc>
          <w:tcPr>
            <w:tcW w:w="4665" w:type="pct"/>
          </w:tcPr>
          <w:p w:rsidR="006161AC" w:rsidRDefault="009C6D19" w:rsidP="00F6474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335" w:type="pct"/>
            <w:vAlign w:val="center"/>
          </w:tcPr>
          <w:p w:rsidR="006161AC" w:rsidRDefault="006161AC" w:rsidP="00F64743">
            <w:pPr>
              <w:jc w:val="right"/>
            </w:pPr>
            <w:r>
              <w:t>(1</w:t>
            </w:r>
            <w:r w:rsidR="002E2061">
              <w:t>3</w:t>
            </w:r>
            <w:r>
              <w:t>)</w:t>
            </w:r>
          </w:p>
        </w:tc>
      </w:tr>
    </w:tbl>
    <w:p w:rsidR="006161AC" w:rsidRDefault="006161AC" w:rsidP="006161AC">
      <w:r>
        <w:t xml:space="preserve">Note, </w:t>
      </w:r>
      <w:r w:rsidRPr="006161AC">
        <w:rPr>
          <w:i/>
        </w:rPr>
        <w:t>s</w:t>
      </w:r>
      <w:r>
        <w:t xml:space="preserve">(.) is the spatial sign function specified by equation </w:t>
      </w:r>
      <w:r w:rsidR="002E2061">
        <w:t>8</w:t>
      </w:r>
      <w:r>
        <w:t>.</w:t>
      </w:r>
      <w:r w:rsidRPr="006161AC">
        <w:t xml:space="preserve"> </w:t>
      </w:r>
      <w:r>
        <w:t xml:space="preserve">The centered rank is defined </w:t>
      </w:r>
      <w:r w:rsidR="00C76B1F">
        <w:t>by equation 1</w:t>
      </w:r>
      <w:r w:rsidR="002E2061">
        <w:t>4</w:t>
      </w:r>
      <w:r w:rsidR="00C76B1F">
        <w:t xml:space="preserve"> </w:t>
      </w:r>
      <w:sdt>
        <w:sdtPr>
          <w:id w:val="-1237860701"/>
          <w:citation/>
        </w:sdtPr>
        <w:sdtEndPr/>
        <w:sdtContent>
          <w:r>
            <w:fldChar w:fldCharType="begin"/>
          </w:r>
          <w:r>
            <w:instrText xml:space="preserve">CITATION Oja2004NTest \p 600 \l 1033 </w:instrText>
          </w:r>
          <w:r>
            <w:fldChar w:fldCharType="separate"/>
          </w:r>
          <w:r>
            <w:rPr>
              <w:noProof/>
            </w:rPr>
            <w:t>(Oja &amp; Randles, 2004, p. 600)</w:t>
          </w:r>
          <w:r>
            <w:fldChar w:fldCharType="end"/>
          </w:r>
        </w:sdtContent>
      </w:sdt>
      <w: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4"/>
        <w:gridCol w:w="627"/>
      </w:tblGrid>
      <w:tr w:rsidR="00C76B1F" w:rsidTr="00FF6B2B">
        <w:tc>
          <w:tcPr>
            <w:tcW w:w="4665" w:type="pct"/>
          </w:tcPr>
          <w:p w:rsidR="00C76B1F" w:rsidRDefault="009C6D19" w:rsidP="00F6474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ave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35" w:type="pct"/>
            <w:vAlign w:val="center"/>
          </w:tcPr>
          <w:p w:rsidR="00C76B1F" w:rsidRDefault="00C76B1F" w:rsidP="00F64743">
            <w:pPr>
              <w:jc w:val="right"/>
            </w:pPr>
            <w:r>
              <w:t>(1</w:t>
            </w:r>
            <w:r w:rsidR="002E2061">
              <w:t>4</w:t>
            </w:r>
            <w:r>
              <w:t>)</w:t>
            </w:r>
          </w:p>
        </w:tc>
      </w:tr>
    </w:tbl>
    <w:p w:rsidR="006161AC" w:rsidRDefault="006161AC" w:rsidP="001923F1">
      <w:r>
        <w:t xml:space="preserve">The </w:t>
      </w:r>
      <w:r w:rsidRPr="006161AC">
        <w:t>Tyler’s transformation</w:t>
      </w:r>
      <w:r w:rsidRPr="00C05323">
        <w:rPr>
          <w:i/>
        </w:rPr>
        <w:t xml:space="preserve"> A</w:t>
      </w:r>
      <w:r w:rsidRPr="00C05323">
        <w:rPr>
          <w:i/>
          <w:vertAlign w:val="subscript"/>
        </w:rPr>
        <w:t>x</w:t>
      </w:r>
      <w:r w:rsidRPr="00C05323">
        <w:t xml:space="preserve"> is </w:t>
      </w:r>
      <w:r>
        <w:t xml:space="preserve">determined via the </w:t>
      </w:r>
      <w:r w:rsidRPr="006161AC">
        <w:t>Tyler’s shape matrix</w:t>
      </w:r>
      <w:r>
        <w:t xml:space="preserve"> </w:t>
      </w:r>
      <w:proofErr w:type="spellStart"/>
      <w:r w:rsidRPr="00F3089E">
        <w:rPr>
          <w:i/>
        </w:rPr>
        <w:t>V</w:t>
      </w:r>
      <w:r w:rsidRPr="00F3089E">
        <w:rPr>
          <w:i/>
          <w:vertAlign w:val="subscript"/>
        </w:rPr>
        <w:t>x</w:t>
      </w:r>
      <w:proofErr w:type="spellEnd"/>
      <w:r>
        <w:t xml:space="preserve"> specified by equation </w:t>
      </w:r>
      <w:r w:rsidR="002E2061">
        <w:t>10</w:t>
      </w:r>
      <w:r>
        <w:t xml:space="preserve"> but </w:t>
      </w:r>
      <w:proofErr w:type="spellStart"/>
      <w:r w:rsidRPr="006161AC">
        <w:rPr>
          <w:i/>
        </w:rPr>
        <w:t>V</w:t>
      </w:r>
      <w:r w:rsidRPr="006161AC">
        <w:rPr>
          <w:i/>
          <w:vertAlign w:val="subscript"/>
        </w:rPr>
        <w:t>x</w:t>
      </w:r>
      <w:proofErr w:type="spellEnd"/>
      <w:r>
        <w:t xml:space="preserve"> here is estimated by a different iterative process as seen in equation 1</w:t>
      </w:r>
      <w:r w:rsidR="002E2061">
        <w:t>5</w:t>
      </w:r>
      <w:r>
        <w:t>.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4"/>
        <w:gridCol w:w="627"/>
      </w:tblGrid>
      <w:tr w:rsidR="006161AC" w:rsidTr="00FF6B2B">
        <w:tc>
          <w:tcPr>
            <w:tcW w:w="4665" w:type="pct"/>
          </w:tcPr>
          <w:p w:rsidR="006161AC" w:rsidRDefault="00C76B1F" w:rsidP="00F64743">
            <m:oMathPara>
              <m:oMath>
                <m:r>
                  <w:rPr>
                    <w:rFonts w:ascii="Cambria Math" w:hAnsi="Cambria Math"/>
                  </w:rPr>
                  <m:t>V←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ave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ave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35" w:type="pct"/>
            <w:vAlign w:val="center"/>
          </w:tcPr>
          <w:p w:rsidR="006161AC" w:rsidRDefault="006161AC" w:rsidP="00F64743">
            <w:pPr>
              <w:jc w:val="right"/>
            </w:pPr>
            <w:r>
              <w:t>(1</w:t>
            </w:r>
            <w:r w:rsidR="002E2061">
              <w:t>5</w:t>
            </w:r>
            <w:r>
              <w:t>)</w:t>
            </w:r>
          </w:p>
        </w:tc>
      </w:tr>
    </w:tbl>
    <w:p w:rsidR="005C6C9A" w:rsidRDefault="006161AC" w:rsidP="005C6C9A">
      <w:r>
        <w:t>Note,</w:t>
      </w:r>
      <w:r w:rsidRPr="006161AC">
        <w:rPr>
          <w:i/>
        </w:rPr>
        <w:t xml:space="preserve"> </w:t>
      </w:r>
      <w:r w:rsidRPr="005C6C9A">
        <w:rPr>
          <w:i/>
        </w:rPr>
        <w:t>V</w:t>
      </w:r>
      <w:r>
        <w:t xml:space="preserve"> is initialized </w:t>
      </w:r>
      <w:r w:rsidRPr="005C6C9A">
        <w:rPr>
          <w:i/>
        </w:rPr>
        <w:t>V</w:t>
      </w:r>
      <w:r>
        <w:t xml:space="preserve"> = </w:t>
      </w:r>
      <w:r w:rsidRPr="005C6C9A">
        <w:rPr>
          <w:i/>
        </w:rPr>
        <w:t>I</w:t>
      </w:r>
      <w:r w:rsidRPr="005C6C9A">
        <w:rPr>
          <w:i/>
          <w:vertAlign w:val="subscript"/>
        </w:rPr>
        <w:t>p</w:t>
      </w:r>
      <w:r>
        <w:t xml:space="preserve">. </w:t>
      </w:r>
      <w:r w:rsidR="00C76B1F">
        <w:t xml:space="preserve">When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ave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ave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den>
            </m:f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 w:rsidR="00C76B1F">
        <w:t xml:space="preserve"> is small enough, the process stops and </w:t>
      </w:r>
      <w:proofErr w:type="spellStart"/>
      <w:r w:rsidR="00C76B1F" w:rsidRPr="005C6C9A">
        <w:rPr>
          <w:i/>
        </w:rPr>
        <w:t>V</w:t>
      </w:r>
      <w:r w:rsidR="00C76B1F" w:rsidRPr="005C6C9A">
        <w:rPr>
          <w:i/>
          <w:vertAlign w:val="subscript"/>
        </w:rPr>
        <w:t>x</w:t>
      </w:r>
      <w:proofErr w:type="spellEnd"/>
      <w:r w:rsidR="00C76B1F">
        <w:t xml:space="preserve"> = (</w:t>
      </w:r>
      <w:r w:rsidR="00C76B1F" w:rsidRPr="005C6C9A">
        <w:rPr>
          <w:i/>
        </w:rPr>
        <w:t>p</w:t>
      </w:r>
      <w:r w:rsidR="00C76B1F">
        <w:t xml:space="preserve"> / trace(</w:t>
      </w:r>
      <w:r w:rsidR="00C76B1F" w:rsidRPr="005C6C9A">
        <w:rPr>
          <w:i/>
        </w:rPr>
        <w:t>V</w:t>
      </w:r>
      <w:r w:rsidR="00C76B1F">
        <w:t>))</w:t>
      </w:r>
      <w:r w:rsidR="00C76B1F" w:rsidRPr="005C6C9A">
        <w:rPr>
          <w:i/>
        </w:rPr>
        <w:t>V</w:t>
      </w:r>
      <w:r w:rsidR="00C76B1F">
        <w:t>.</w:t>
      </w:r>
      <w:r w:rsidR="003B3C1C">
        <w:t xml:space="preserve"> </w:t>
      </w:r>
      <w:proofErr w:type="spellStart"/>
      <w:r w:rsidR="005C6C9A">
        <w:t>Oja</w:t>
      </w:r>
      <w:proofErr w:type="spellEnd"/>
      <w:r w:rsidR="005C6C9A">
        <w:t xml:space="preserve"> and </w:t>
      </w:r>
      <w:proofErr w:type="spellStart"/>
      <w:r w:rsidR="005C6C9A">
        <w:t>Randles</w:t>
      </w:r>
      <w:proofErr w:type="spellEnd"/>
      <w:r w:rsidR="005C6C9A">
        <w:t xml:space="preserve"> </w:t>
      </w:r>
      <w:r w:rsidR="001B51D4">
        <w:t>developed</w:t>
      </w:r>
      <w:r w:rsidR="005C6C9A">
        <w:t xml:space="preserve"> the </w:t>
      </w:r>
      <w:r w:rsidR="005C6C9A" w:rsidRPr="00077111">
        <w:rPr>
          <w:i/>
        </w:rPr>
        <w:t>multivariate sign</w:t>
      </w:r>
      <w:r w:rsidR="005C6C9A">
        <w:rPr>
          <w:i/>
        </w:rPr>
        <w:t>ed-rank</w:t>
      </w:r>
      <w:r w:rsidR="005C6C9A" w:rsidRPr="00077111">
        <w:rPr>
          <w:i/>
        </w:rPr>
        <w:t xml:space="preserve"> test</w:t>
      </w:r>
      <w:r w:rsidR="005C6C9A">
        <w:t xml:space="preserve"> that rejects null hypothesis with large value of </w:t>
      </w:r>
      <w:r w:rsidR="005C6C9A">
        <w:rPr>
          <w:i/>
        </w:rPr>
        <w:t>U</w:t>
      </w:r>
      <w:r w:rsidR="005C6C9A" w:rsidRPr="00077111">
        <w:rPr>
          <w:vertAlign w:val="superscript"/>
        </w:rPr>
        <w:t>2</w:t>
      </w:r>
      <w:r w:rsidR="005C6C9A">
        <w:t xml:space="preserve"> as </w:t>
      </w:r>
      <w:r w:rsidR="00897C67">
        <w:t>seen in equation 1</w:t>
      </w:r>
      <w:r w:rsidR="002E2061">
        <w:t>6</w:t>
      </w:r>
      <w:r w:rsidR="005C6C9A">
        <w:t xml:space="preserve"> </w:t>
      </w:r>
      <w:sdt>
        <w:sdtPr>
          <w:id w:val="2115161401"/>
          <w:citation/>
        </w:sdtPr>
        <w:sdtEndPr/>
        <w:sdtContent>
          <w:r w:rsidR="005C6C9A">
            <w:fldChar w:fldCharType="begin"/>
          </w:r>
          <w:r w:rsidR="005C6C9A">
            <w:instrText xml:space="preserve">CITATION Oja2004NTest \p 599 \l 1033 </w:instrText>
          </w:r>
          <w:r w:rsidR="005C6C9A">
            <w:fldChar w:fldCharType="separate"/>
          </w:r>
          <w:r w:rsidR="005C6C9A">
            <w:rPr>
              <w:noProof/>
            </w:rPr>
            <w:t>(Oja &amp; Randles, 2004, p. 599)</w:t>
          </w:r>
          <w:r w:rsidR="005C6C9A">
            <w:fldChar w:fldCharType="end"/>
          </w:r>
        </w:sdtContent>
      </w:sdt>
      <w:r w:rsidR="00897C67">
        <w:t>.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4"/>
        <w:gridCol w:w="627"/>
      </w:tblGrid>
      <w:tr w:rsidR="00897C67" w:rsidTr="00FF6B2B">
        <w:tc>
          <w:tcPr>
            <w:tcW w:w="4665" w:type="pct"/>
          </w:tcPr>
          <w:p w:rsidR="00897C67" w:rsidRDefault="009C6D19" w:rsidP="00F6474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ave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ave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35" w:type="pct"/>
            <w:vAlign w:val="center"/>
          </w:tcPr>
          <w:p w:rsidR="00897C67" w:rsidRDefault="00897C67" w:rsidP="00F64743">
            <w:pPr>
              <w:jc w:val="right"/>
            </w:pPr>
            <w:r>
              <w:t>(1</w:t>
            </w:r>
            <w:r w:rsidR="002E2061">
              <w:t>6</w:t>
            </w:r>
            <w:r>
              <w:t>)</w:t>
            </w:r>
          </w:p>
        </w:tc>
      </w:tr>
    </w:tbl>
    <w:p w:rsidR="002E2061" w:rsidRDefault="005C6C9A" w:rsidP="002E2061">
      <w:r>
        <w:t xml:space="preserve">Where the average </w:t>
      </w:r>
      <w:proofErr w:type="spellStart"/>
      <w:proofErr w:type="gramStart"/>
      <w:r w:rsidR="003B3C1C">
        <w:t>ave</w:t>
      </w:r>
      <w:proofErr w:type="spellEnd"/>
      <w:r w:rsidR="003B3C1C">
        <w:t>(</w:t>
      </w:r>
      <w:proofErr w:type="gramEnd"/>
      <w:r w:rsidR="003B3C1C" w:rsidRPr="003B3C1C">
        <w:rPr>
          <w:i/>
        </w:rPr>
        <w:t>s</w:t>
      </w:r>
      <w:r w:rsidR="003B3C1C">
        <w:t>(</w:t>
      </w:r>
      <w:r w:rsidR="003B3C1C" w:rsidRPr="003B3C1C">
        <w:rPr>
          <w:i/>
        </w:rPr>
        <w:t>A</w:t>
      </w:r>
      <w:r w:rsidR="003B3C1C" w:rsidRPr="003B3C1C">
        <w:rPr>
          <w:i/>
          <w:vertAlign w:val="subscript"/>
        </w:rPr>
        <w:t>x</w:t>
      </w:r>
      <w:r w:rsidR="003B3C1C">
        <w:t>(</w:t>
      </w:r>
      <w:r w:rsidR="003B3C1C" w:rsidRPr="003B3C1C">
        <w:rPr>
          <w:i/>
        </w:rPr>
        <w:t>X</w:t>
      </w:r>
      <w:r w:rsidR="003B3C1C" w:rsidRPr="003B3C1C">
        <w:rPr>
          <w:i/>
          <w:vertAlign w:val="subscript"/>
        </w:rPr>
        <w:t>i</w:t>
      </w:r>
      <w:r w:rsidR="003B3C1C">
        <w:t xml:space="preserve"> – </w:t>
      </w:r>
      <w:proofErr w:type="spellStart"/>
      <w:r w:rsidR="003B3C1C" w:rsidRPr="003B3C1C">
        <w:rPr>
          <w:i/>
        </w:rPr>
        <w:t>X</w:t>
      </w:r>
      <w:r w:rsidR="003B3C1C" w:rsidRPr="003B3C1C">
        <w:rPr>
          <w:i/>
          <w:vertAlign w:val="subscript"/>
        </w:rPr>
        <w:t>j</w:t>
      </w:r>
      <w:proofErr w:type="spellEnd"/>
      <w:r w:rsidR="003B3C1C">
        <w:t xml:space="preserve">))) </w:t>
      </w:r>
      <w:r>
        <w:t xml:space="preserve">is over </w:t>
      </w:r>
      <w:proofErr w:type="spellStart"/>
      <w:r w:rsidRPr="005C6C9A">
        <w:rPr>
          <w:i/>
        </w:rPr>
        <w:t>i</w:t>
      </w:r>
      <w:proofErr w:type="spellEnd"/>
      <w:r>
        <w:t xml:space="preserve"> = 1, 2,…, </w:t>
      </w:r>
      <w:r w:rsidRPr="005C6C9A">
        <w:rPr>
          <w:i/>
        </w:rPr>
        <w:t>n</w:t>
      </w:r>
      <w:r>
        <w:t xml:space="preserve"> and </w:t>
      </w:r>
      <w:r w:rsidRPr="005C6C9A">
        <w:rPr>
          <w:i/>
        </w:rPr>
        <w:t>j</w:t>
      </w:r>
      <w:r>
        <w:t xml:space="preserve"> = 1, 2,…, </w:t>
      </w:r>
      <w:r w:rsidRPr="005C6C9A">
        <w:rPr>
          <w:i/>
        </w:rPr>
        <w:t>n</w:t>
      </w:r>
      <w:r>
        <w:t>.</w:t>
      </w:r>
      <w:r w:rsidR="003B3C1C">
        <w:t xml:space="preserve"> </w:t>
      </w:r>
      <w:r w:rsidR="002E2061">
        <w:t xml:space="preserve">For large sample size, the test </w:t>
      </w:r>
      <w:r w:rsidR="002E2061">
        <w:rPr>
          <w:i/>
        </w:rPr>
        <w:t>U</w:t>
      </w:r>
      <w:r w:rsidR="002E2061" w:rsidRPr="00077111">
        <w:rPr>
          <w:vertAlign w:val="superscript"/>
        </w:rPr>
        <w:t>2</w:t>
      </w:r>
      <w:r w:rsidR="002E2061">
        <w:t xml:space="preserve"> with null hypothesis </w:t>
      </w:r>
      <w:r w:rsidR="002E2061" w:rsidRPr="002E2061">
        <w:rPr>
          <w:i/>
        </w:rPr>
        <w:t>H</w:t>
      </w:r>
      <w:r w:rsidR="002E2061" w:rsidRPr="002E2061">
        <w:rPr>
          <w:vertAlign w:val="subscript"/>
        </w:rPr>
        <w:t>0</w:t>
      </w:r>
      <w:r w:rsidR="002E2061">
        <w:t xml:space="preserve"> = </w:t>
      </w:r>
      <w:r w:rsidR="002E2061" w:rsidRPr="002E2061">
        <w:rPr>
          <w:b/>
        </w:rPr>
        <w:t>0</w:t>
      </w:r>
      <w:r w:rsidR="002E2061">
        <w:t xml:space="preserve"> </w:t>
      </w:r>
      <w:r w:rsidR="00C56447">
        <w:t>approaches</w:t>
      </w:r>
      <w:r w:rsidR="002E2061">
        <w:t xml:space="preserve"> to chi-squared distribution </w:t>
      </w:r>
      <w:sdt>
        <w:sdtPr>
          <w:id w:val="644633696"/>
          <w:citation/>
        </w:sdtPr>
        <w:sdtEndPr/>
        <w:sdtContent>
          <w:r w:rsidR="002E2061">
            <w:fldChar w:fldCharType="begin"/>
          </w:r>
          <w:r w:rsidR="002E2061">
            <w:instrText xml:space="preserve">CITATION Oja2004NTest \p 600 \l 1033 </w:instrText>
          </w:r>
          <w:r w:rsidR="002E2061">
            <w:fldChar w:fldCharType="separate"/>
          </w:r>
          <w:r w:rsidR="002E2061">
            <w:rPr>
              <w:noProof/>
            </w:rPr>
            <w:t>(Oja &amp; Randles, 2004, p. 600)</w:t>
          </w:r>
          <w:r w:rsidR="002E2061">
            <w:fldChar w:fldCharType="end"/>
          </w:r>
        </w:sdtContent>
      </w:sdt>
      <w:r w:rsidR="002E2061">
        <w:t>:</w:t>
      </w:r>
    </w:p>
    <w:p w:rsidR="002E2061" w:rsidRDefault="009C6D19" w:rsidP="002E206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077111" w:rsidRDefault="001B3ECA" w:rsidP="001923F1">
      <w:r>
        <w:lastRenderedPageBreak/>
        <w:t>T</w:t>
      </w:r>
      <w:r w:rsidR="005C6C9A">
        <w:t>he preeminence of test method</w:t>
      </w:r>
      <w:r w:rsidR="001B51D4">
        <w:t>s</w:t>
      </w:r>
      <w:r w:rsidR="005C6C9A">
        <w:t xml:space="preserve"> of </w:t>
      </w:r>
      <w:proofErr w:type="spellStart"/>
      <w:r w:rsidR="005C6C9A">
        <w:t>Oja</w:t>
      </w:r>
      <w:proofErr w:type="spellEnd"/>
      <w:r w:rsidR="005C6C9A">
        <w:t xml:space="preserve"> and Randle is effective and solid. </w:t>
      </w:r>
      <w:r w:rsidR="000B35CF">
        <w:t>C</w:t>
      </w:r>
      <w:r w:rsidR="005C6C9A">
        <w:t xml:space="preserve">omputing </w:t>
      </w:r>
      <w:r w:rsidR="005C6C9A" w:rsidRPr="005C6C9A">
        <w:t>Tyler’s shape matrix</w:t>
      </w:r>
      <w:r w:rsidR="005C6C9A">
        <w:t xml:space="preserve"> </w:t>
      </w:r>
      <w:proofErr w:type="spellStart"/>
      <w:r w:rsidR="005C6C9A" w:rsidRPr="005C6C9A">
        <w:rPr>
          <w:i/>
        </w:rPr>
        <w:t>V</w:t>
      </w:r>
      <w:r w:rsidR="005C6C9A" w:rsidRPr="005C6C9A">
        <w:rPr>
          <w:i/>
          <w:vertAlign w:val="subscript"/>
        </w:rPr>
        <w:t>x</w:t>
      </w:r>
      <w:proofErr w:type="spellEnd"/>
      <w:r w:rsidR="005C6C9A">
        <w:t xml:space="preserve"> needs iterative process</w:t>
      </w:r>
      <w:r w:rsidR="00D35E84">
        <w:t>es</w:t>
      </w:r>
      <w:r w:rsidR="005C6C9A">
        <w:t xml:space="preserve"> </w:t>
      </w:r>
      <w:sdt>
        <w:sdtPr>
          <w:id w:val="-1356957943"/>
          <w:citation/>
        </w:sdtPr>
        <w:sdtEndPr/>
        <w:sdtContent>
          <w:r w:rsidR="005C6C9A">
            <w:fldChar w:fldCharType="begin"/>
          </w:r>
          <w:r w:rsidR="005C6C9A">
            <w:instrText xml:space="preserve">CITATION Oja2004NTest \p 599-600 \l 1033 </w:instrText>
          </w:r>
          <w:r w:rsidR="005C6C9A">
            <w:fldChar w:fldCharType="separate"/>
          </w:r>
          <w:r w:rsidR="005C6C9A">
            <w:rPr>
              <w:noProof/>
            </w:rPr>
            <w:t>(Oja &amp; Randles, 2004, pp. 599-600)</w:t>
          </w:r>
          <w:r w:rsidR="005C6C9A">
            <w:fldChar w:fldCharType="end"/>
          </w:r>
        </w:sdtContent>
      </w:sdt>
      <w:r w:rsidR="00D26909">
        <w:t xml:space="preserve"> as seen in equations </w:t>
      </w:r>
      <w:r w:rsidR="002E4D6B">
        <w:t>10</w:t>
      </w:r>
      <w:r w:rsidR="00D26909">
        <w:t xml:space="preserve"> and 1</w:t>
      </w:r>
      <w:r w:rsidR="002E4D6B">
        <w:t>4</w:t>
      </w:r>
      <w:r w:rsidR="005C6C9A">
        <w:t>.</w:t>
      </w:r>
    </w:p>
    <w:p w:rsidR="001B3ECA" w:rsidRPr="005C6C9A" w:rsidRDefault="001B3ECA" w:rsidP="001B3ECA">
      <w:pPr>
        <w:ind w:firstLine="360"/>
      </w:pPr>
      <w:r>
        <w:t>In general, the validity and effectiveness of the proposed MNQC method are not asserted because I do not make experiments on it. However, the ideology of MNQC with support of Pearson correlation is simple and reasonable. So, implementing MNQC method is surely easy.</w:t>
      </w:r>
      <w:r w:rsidR="005C7B22">
        <w:t xml:space="preserve"> For further research, I will make experiment on MNQC and compare it with the test method of </w:t>
      </w:r>
      <w:proofErr w:type="spellStart"/>
      <w:r w:rsidR="005C7B22">
        <w:t>Oja</w:t>
      </w:r>
      <w:proofErr w:type="spellEnd"/>
      <w:r w:rsidR="005C7B22">
        <w:t xml:space="preserve"> and Randle.</w:t>
      </w:r>
    </w:p>
    <w:p w:rsidR="005C6C9A" w:rsidRDefault="005C6C9A" w:rsidP="001923F1"/>
    <w:p w:rsidR="001923F1" w:rsidRPr="00FF3DD1" w:rsidRDefault="00F95E51" w:rsidP="001923F1">
      <w:pPr>
        <w:rPr>
          <w:b/>
          <w:sz w:val="28"/>
          <w:szCs w:val="28"/>
        </w:rPr>
      </w:pPr>
      <w:r w:rsidRPr="00FF3DD1">
        <w:rPr>
          <w:b/>
          <w:sz w:val="28"/>
          <w:szCs w:val="28"/>
        </w:rPr>
        <w:t>References</w:t>
      </w:r>
    </w:p>
    <w:p w:rsidR="004819ED" w:rsidRDefault="00F95E51" w:rsidP="004819ED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4819ED">
        <w:rPr>
          <w:noProof/>
        </w:rPr>
        <w:t xml:space="preserve">Luong, N.-K., &amp; Nguyen, K.-T. T. (2013). </w:t>
      </w:r>
      <w:r w:rsidR="004819ED">
        <w:rPr>
          <w:i/>
          <w:iCs/>
          <w:noProof/>
        </w:rPr>
        <w:t>Set of quality criteria for evaluating hospital quality.</w:t>
      </w:r>
      <w:r w:rsidR="004819ED">
        <w:rPr>
          <w:noProof/>
        </w:rPr>
        <w:t xml:space="preserve"> Hanoi: Vietnam Ministry of Health. Retrieved February 19, 2017</w:t>
      </w:r>
    </w:p>
    <w:p w:rsidR="004819ED" w:rsidRDefault="004819ED" w:rsidP="004819ED">
      <w:pPr>
        <w:pStyle w:val="Bibliography"/>
        <w:ind w:left="720" w:hanging="720"/>
        <w:rPr>
          <w:noProof/>
        </w:rPr>
      </w:pPr>
      <w:r>
        <w:rPr>
          <w:noProof/>
        </w:rPr>
        <w:t xml:space="preserve">Oja, H., &amp; Randles, R. H. (2004). Multivariate Nonparametric Tests. (G. Casella, Ed.) </w:t>
      </w:r>
      <w:r>
        <w:rPr>
          <w:i/>
          <w:iCs/>
          <w:noProof/>
        </w:rPr>
        <w:t>Statistical Science, 19</w:t>
      </w:r>
      <w:r>
        <w:rPr>
          <w:noProof/>
        </w:rPr>
        <w:t>(4), 598-605. doi:10.1214/088342304000000558</w:t>
      </w:r>
    </w:p>
    <w:p w:rsidR="004819ED" w:rsidRDefault="004819ED" w:rsidP="004819ED">
      <w:pPr>
        <w:pStyle w:val="Bibliography"/>
        <w:ind w:left="720" w:hanging="720"/>
        <w:rPr>
          <w:noProof/>
        </w:rPr>
      </w:pPr>
      <w:r>
        <w:rPr>
          <w:noProof/>
        </w:rPr>
        <w:t xml:space="preserve">Walpole, R. E., Myers, R. H., Myers, S. L., &amp; Ye, K. (2012). </w:t>
      </w:r>
      <w:r>
        <w:rPr>
          <w:i/>
          <w:iCs/>
          <w:noProof/>
        </w:rPr>
        <w:t>Probability &amp; Statistics for Engineers &amp; Scientists</w:t>
      </w:r>
      <w:r>
        <w:rPr>
          <w:noProof/>
        </w:rPr>
        <w:t xml:space="preserve"> (9th ed.). (D. Lynch, Ed.) Boston, Massachusetts, USA: Pearson Education, Inc.</w:t>
      </w:r>
    </w:p>
    <w:p w:rsidR="004819ED" w:rsidRDefault="004819ED" w:rsidP="004819ED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February 10). </w:t>
      </w:r>
      <w:r>
        <w:rPr>
          <w:i/>
          <w:iCs/>
          <w:noProof/>
        </w:rPr>
        <w:t>5S (methodology)</w:t>
      </w:r>
      <w:r>
        <w:rPr>
          <w:noProof/>
        </w:rPr>
        <w:t>. (Wikimedia Foundation) Retrieved February 23, 2017, from Wikipedia website: https://en.wikipedia.org/wiki/5S_(methodology)</w:t>
      </w:r>
    </w:p>
    <w:p w:rsidR="004819ED" w:rsidRDefault="004819ED" w:rsidP="004819ED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February 21). </w:t>
      </w:r>
      <w:r>
        <w:rPr>
          <w:i/>
          <w:iCs/>
          <w:noProof/>
        </w:rPr>
        <w:t>Kaizen</w:t>
      </w:r>
      <w:r>
        <w:rPr>
          <w:noProof/>
        </w:rPr>
        <w:t>. (Wikimedia Foundation) Retrieved February 23, 2017, from Wikipedia website: https://en.wikipedia.org/wiki/Kaizen</w:t>
      </w:r>
    </w:p>
    <w:p w:rsidR="004819ED" w:rsidRDefault="004819ED" w:rsidP="004819ED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February 8). </w:t>
      </w:r>
      <w:r>
        <w:rPr>
          <w:i/>
          <w:iCs/>
          <w:noProof/>
        </w:rPr>
        <w:t>Performance indicator</w:t>
      </w:r>
      <w:r>
        <w:rPr>
          <w:noProof/>
        </w:rPr>
        <w:t>. (Wikimedia Foundation) Retrieved February 23, 2017, from Wikipedia website: https://en.wikipedia.org/wiki/Performance_indicator</w:t>
      </w:r>
    </w:p>
    <w:p w:rsidR="00F95E51" w:rsidRDefault="00F95E51" w:rsidP="004819ED">
      <w:r>
        <w:fldChar w:fldCharType="end"/>
      </w:r>
    </w:p>
    <w:sectPr w:rsidR="00F95E51" w:rsidSect="00B60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5E5"/>
    <w:rsid w:val="000100C0"/>
    <w:rsid w:val="00014A5E"/>
    <w:rsid w:val="00016F3F"/>
    <w:rsid w:val="0003049A"/>
    <w:rsid w:val="00041882"/>
    <w:rsid w:val="00045B58"/>
    <w:rsid w:val="00073330"/>
    <w:rsid w:val="00077111"/>
    <w:rsid w:val="00077A48"/>
    <w:rsid w:val="00093485"/>
    <w:rsid w:val="0009498C"/>
    <w:rsid w:val="000A01A0"/>
    <w:rsid w:val="000B2011"/>
    <w:rsid w:val="000B35CF"/>
    <w:rsid w:val="000B3906"/>
    <w:rsid w:val="000C7448"/>
    <w:rsid w:val="000D74B8"/>
    <w:rsid w:val="00103AC1"/>
    <w:rsid w:val="0011125C"/>
    <w:rsid w:val="00151BAF"/>
    <w:rsid w:val="001923F1"/>
    <w:rsid w:val="00197960"/>
    <w:rsid w:val="001A32B2"/>
    <w:rsid w:val="001B3ECA"/>
    <w:rsid w:val="001B51D4"/>
    <w:rsid w:val="001B62E9"/>
    <w:rsid w:val="001B7298"/>
    <w:rsid w:val="001C018E"/>
    <w:rsid w:val="001C306A"/>
    <w:rsid w:val="001C4C24"/>
    <w:rsid w:val="001D0094"/>
    <w:rsid w:val="001D5040"/>
    <w:rsid w:val="001E55A3"/>
    <w:rsid w:val="00200FDA"/>
    <w:rsid w:val="00232F53"/>
    <w:rsid w:val="00233992"/>
    <w:rsid w:val="00233DC9"/>
    <w:rsid w:val="00252BF3"/>
    <w:rsid w:val="0025740E"/>
    <w:rsid w:val="00276B06"/>
    <w:rsid w:val="00282FAA"/>
    <w:rsid w:val="00285173"/>
    <w:rsid w:val="002A6277"/>
    <w:rsid w:val="002A628F"/>
    <w:rsid w:val="002B230B"/>
    <w:rsid w:val="002B4457"/>
    <w:rsid w:val="002B76A5"/>
    <w:rsid w:val="002C609D"/>
    <w:rsid w:val="002D2557"/>
    <w:rsid w:val="002E2061"/>
    <w:rsid w:val="002E4D6B"/>
    <w:rsid w:val="002F0834"/>
    <w:rsid w:val="002F2824"/>
    <w:rsid w:val="003031CA"/>
    <w:rsid w:val="00343632"/>
    <w:rsid w:val="00344A2C"/>
    <w:rsid w:val="0035601B"/>
    <w:rsid w:val="00361420"/>
    <w:rsid w:val="00372E8C"/>
    <w:rsid w:val="003835FF"/>
    <w:rsid w:val="00397298"/>
    <w:rsid w:val="003B15FF"/>
    <w:rsid w:val="003B3C1C"/>
    <w:rsid w:val="003C1DDF"/>
    <w:rsid w:val="003C1E18"/>
    <w:rsid w:val="003C2781"/>
    <w:rsid w:val="003C76D8"/>
    <w:rsid w:val="003D18AB"/>
    <w:rsid w:val="003E072E"/>
    <w:rsid w:val="003E586B"/>
    <w:rsid w:val="003E7863"/>
    <w:rsid w:val="003F2557"/>
    <w:rsid w:val="004055F2"/>
    <w:rsid w:val="00415C8A"/>
    <w:rsid w:val="00433AEE"/>
    <w:rsid w:val="00436DBA"/>
    <w:rsid w:val="00445184"/>
    <w:rsid w:val="00446763"/>
    <w:rsid w:val="004819ED"/>
    <w:rsid w:val="00483A2B"/>
    <w:rsid w:val="004852CD"/>
    <w:rsid w:val="0048597E"/>
    <w:rsid w:val="00487CF4"/>
    <w:rsid w:val="004B1DFF"/>
    <w:rsid w:val="004E1D00"/>
    <w:rsid w:val="004E6E56"/>
    <w:rsid w:val="004E7C55"/>
    <w:rsid w:val="004F6EDD"/>
    <w:rsid w:val="0052740E"/>
    <w:rsid w:val="00541DFA"/>
    <w:rsid w:val="00544022"/>
    <w:rsid w:val="00572B23"/>
    <w:rsid w:val="00575E75"/>
    <w:rsid w:val="005823FC"/>
    <w:rsid w:val="0058356E"/>
    <w:rsid w:val="00593C91"/>
    <w:rsid w:val="005955DB"/>
    <w:rsid w:val="005A3D1E"/>
    <w:rsid w:val="005C070D"/>
    <w:rsid w:val="005C075A"/>
    <w:rsid w:val="005C3A15"/>
    <w:rsid w:val="005C6C9A"/>
    <w:rsid w:val="005C7B22"/>
    <w:rsid w:val="005F200E"/>
    <w:rsid w:val="005F3BE9"/>
    <w:rsid w:val="005F45FD"/>
    <w:rsid w:val="00600337"/>
    <w:rsid w:val="00607341"/>
    <w:rsid w:val="006161AC"/>
    <w:rsid w:val="006323C0"/>
    <w:rsid w:val="00633B16"/>
    <w:rsid w:val="00634D35"/>
    <w:rsid w:val="00641349"/>
    <w:rsid w:val="00643218"/>
    <w:rsid w:val="00653ED2"/>
    <w:rsid w:val="00657B0B"/>
    <w:rsid w:val="00667DB1"/>
    <w:rsid w:val="00687734"/>
    <w:rsid w:val="006950BD"/>
    <w:rsid w:val="00696784"/>
    <w:rsid w:val="006A3783"/>
    <w:rsid w:val="006B5BEC"/>
    <w:rsid w:val="006C28A5"/>
    <w:rsid w:val="006C44D3"/>
    <w:rsid w:val="006C6B53"/>
    <w:rsid w:val="006D5A75"/>
    <w:rsid w:val="006F03F0"/>
    <w:rsid w:val="006F4E30"/>
    <w:rsid w:val="006F78CA"/>
    <w:rsid w:val="006F7E15"/>
    <w:rsid w:val="00720876"/>
    <w:rsid w:val="0072441D"/>
    <w:rsid w:val="00735082"/>
    <w:rsid w:val="00735FE1"/>
    <w:rsid w:val="00737FD9"/>
    <w:rsid w:val="0074701E"/>
    <w:rsid w:val="00756763"/>
    <w:rsid w:val="007660B5"/>
    <w:rsid w:val="00770BA1"/>
    <w:rsid w:val="00786237"/>
    <w:rsid w:val="00792C52"/>
    <w:rsid w:val="0079474E"/>
    <w:rsid w:val="007A427F"/>
    <w:rsid w:val="007D0B14"/>
    <w:rsid w:val="007D0F92"/>
    <w:rsid w:val="007F4B81"/>
    <w:rsid w:val="008007D3"/>
    <w:rsid w:val="00831D9F"/>
    <w:rsid w:val="00832676"/>
    <w:rsid w:val="00837576"/>
    <w:rsid w:val="0085283C"/>
    <w:rsid w:val="00872B57"/>
    <w:rsid w:val="00875948"/>
    <w:rsid w:val="00877555"/>
    <w:rsid w:val="00890C26"/>
    <w:rsid w:val="00893F0D"/>
    <w:rsid w:val="00897C67"/>
    <w:rsid w:val="008A0326"/>
    <w:rsid w:val="008A63FD"/>
    <w:rsid w:val="008A65A5"/>
    <w:rsid w:val="008C7167"/>
    <w:rsid w:val="008D0C27"/>
    <w:rsid w:val="008D47C1"/>
    <w:rsid w:val="008E4D4B"/>
    <w:rsid w:val="008F00DE"/>
    <w:rsid w:val="0090146F"/>
    <w:rsid w:val="00904F52"/>
    <w:rsid w:val="0090698F"/>
    <w:rsid w:val="0091069D"/>
    <w:rsid w:val="00915E7C"/>
    <w:rsid w:val="00917A07"/>
    <w:rsid w:val="00922770"/>
    <w:rsid w:val="009275B5"/>
    <w:rsid w:val="00933330"/>
    <w:rsid w:val="00933F0B"/>
    <w:rsid w:val="009373CA"/>
    <w:rsid w:val="00971428"/>
    <w:rsid w:val="00984EBF"/>
    <w:rsid w:val="009854A1"/>
    <w:rsid w:val="009855FD"/>
    <w:rsid w:val="009870D3"/>
    <w:rsid w:val="0099385A"/>
    <w:rsid w:val="00993ECA"/>
    <w:rsid w:val="00995954"/>
    <w:rsid w:val="00997329"/>
    <w:rsid w:val="009A264F"/>
    <w:rsid w:val="009A3547"/>
    <w:rsid w:val="009A4686"/>
    <w:rsid w:val="009B2A7D"/>
    <w:rsid w:val="009B5D3A"/>
    <w:rsid w:val="009C6D19"/>
    <w:rsid w:val="009C7DCE"/>
    <w:rsid w:val="009D2BD7"/>
    <w:rsid w:val="009D3341"/>
    <w:rsid w:val="009D7395"/>
    <w:rsid w:val="009E11CA"/>
    <w:rsid w:val="009F2AB4"/>
    <w:rsid w:val="00A25445"/>
    <w:rsid w:val="00A53C31"/>
    <w:rsid w:val="00A57F3A"/>
    <w:rsid w:val="00A73FE8"/>
    <w:rsid w:val="00A75452"/>
    <w:rsid w:val="00A9227D"/>
    <w:rsid w:val="00A976DA"/>
    <w:rsid w:val="00AA1D9A"/>
    <w:rsid w:val="00AA1F22"/>
    <w:rsid w:val="00AB2F9B"/>
    <w:rsid w:val="00AB5E67"/>
    <w:rsid w:val="00AF70D8"/>
    <w:rsid w:val="00B01C21"/>
    <w:rsid w:val="00B161C5"/>
    <w:rsid w:val="00B27093"/>
    <w:rsid w:val="00B41240"/>
    <w:rsid w:val="00B60051"/>
    <w:rsid w:val="00B605E5"/>
    <w:rsid w:val="00B612CD"/>
    <w:rsid w:val="00B74149"/>
    <w:rsid w:val="00B74A8C"/>
    <w:rsid w:val="00B80099"/>
    <w:rsid w:val="00B903BE"/>
    <w:rsid w:val="00B9330F"/>
    <w:rsid w:val="00BA1843"/>
    <w:rsid w:val="00BA73A0"/>
    <w:rsid w:val="00BC1A1A"/>
    <w:rsid w:val="00BC703D"/>
    <w:rsid w:val="00BD25B7"/>
    <w:rsid w:val="00BD38DD"/>
    <w:rsid w:val="00BD4BC4"/>
    <w:rsid w:val="00C00CC0"/>
    <w:rsid w:val="00C05323"/>
    <w:rsid w:val="00C05425"/>
    <w:rsid w:val="00C1091F"/>
    <w:rsid w:val="00C13812"/>
    <w:rsid w:val="00C306FC"/>
    <w:rsid w:val="00C4261D"/>
    <w:rsid w:val="00C44AC5"/>
    <w:rsid w:val="00C52276"/>
    <w:rsid w:val="00C56447"/>
    <w:rsid w:val="00C56D9E"/>
    <w:rsid w:val="00C628C9"/>
    <w:rsid w:val="00C649A0"/>
    <w:rsid w:val="00C7243C"/>
    <w:rsid w:val="00C74EB9"/>
    <w:rsid w:val="00C76B1F"/>
    <w:rsid w:val="00C8393F"/>
    <w:rsid w:val="00C8595F"/>
    <w:rsid w:val="00C91E7A"/>
    <w:rsid w:val="00CA1843"/>
    <w:rsid w:val="00CA19F0"/>
    <w:rsid w:val="00CA432A"/>
    <w:rsid w:val="00CC2C1C"/>
    <w:rsid w:val="00CD7987"/>
    <w:rsid w:val="00CE43F1"/>
    <w:rsid w:val="00CE6AAE"/>
    <w:rsid w:val="00D06D34"/>
    <w:rsid w:val="00D12DA0"/>
    <w:rsid w:val="00D26909"/>
    <w:rsid w:val="00D30B52"/>
    <w:rsid w:val="00D35E84"/>
    <w:rsid w:val="00D424E0"/>
    <w:rsid w:val="00D4486D"/>
    <w:rsid w:val="00D6160E"/>
    <w:rsid w:val="00D95DE9"/>
    <w:rsid w:val="00D96D74"/>
    <w:rsid w:val="00DA012B"/>
    <w:rsid w:val="00DA03C6"/>
    <w:rsid w:val="00DA1B75"/>
    <w:rsid w:val="00DA36DC"/>
    <w:rsid w:val="00DA6370"/>
    <w:rsid w:val="00DB496F"/>
    <w:rsid w:val="00DB690A"/>
    <w:rsid w:val="00DF7055"/>
    <w:rsid w:val="00E07338"/>
    <w:rsid w:val="00E07498"/>
    <w:rsid w:val="00E4035E"/>
    <w:rsid w:val="00E43E37"/>
    <w:rsid w:val="00E5422B"/>
    <w:rsid w:val="00E6736E"/>
    <w:rsid w:val="00E675CD"/>
    <w:rsid w:val="00E67B16"/>
    <w:rsid w:val="00E74A61"/>
    <w:rsid w:val="00E81FA0"/>
    <w:rsid w:val="00E9222A"/>
    <w:rsid w:val="00E952F2"/>
    <w:rsid w:val="00EA5359"/>
    <w:rsid w:val="00EB070D"/>
    <w:rsid w:val="00EB3D60"/>
    <w:rsid w:val="00EC1335"/>
    <w:rsid w:val="00EC1AC9"/>
    <w:rsid w:val="00ED3041"/>
    <w:rsid w:val="00EE0B56"/>
    <w:rsid w:val="00EE71E0"/>
    <w:rsid w:val="00EF4921"/>
    <w:rsid w:val="00EF5F9B"/>
    <w:rsid w:val="00EF77A1"/>
    <w:rsid w:val="00F218E8"/>
    <w:rsid w:val="00F265F8"/>
    <w:rsid w:val="00F3089E"/>
    <w:rsid w:val="00F35EF5"/>
    <w:rsid w:val="00F37B5F"/>
    <w:rsid w:val="00F4095E"/>
    <w:rsid w:val="00F60F43"/>
    <w:rsid w:val="00F72122"/>
    <w:rsid w:val="00F80D66"/>
    <w:rsid w:val="00F95E51"/>
    <w:rsid w:val="00F965EB"/>
    <w:rsid w:val="00FA7561"/>
    <w:rsid w:val="00FC3D62"/>
    <w:rsid w:val="00FC6B79"/>
    <w:rsid w:val="00FD03CA"/>
    <w:rsid w:val="00FD1EC0"/>
    <w:rsid w:val="00FD43C7"/>
    <w:rsid w:val="00FD59E6"/>
    <w:rsid w:val="00FD673E"/>
    <w:rsid w:val="00FD7E20"/>
    <w:rsid w:val="00FE31F4"/>
    <w:rsid w:val="00FE6E67"/>
    <w:rsid w:val="00FF0136"/>
    <w:rsid w:val="00FF3DD1"/>
    <w:rsid w:val="00FF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B940F"/>
  <w15:chartTrackingRefBased/>
  <w15:docId w15:val="{192FCAEC-7907-4D11-91DA-12FBC681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23F1"/>
    <w:pPr>
      <w:spacing w:after="0" w:line="240" w:lineRule="auto"/>
      <w:jc w:val="both"/>
    </w:pPr>
    <w:rPr>
      <w:rFonts w:eastAsia="PMingLiU" w:cstheme="minorBidi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0B14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F95E51"/>
  </w:style>
  <w:style w:type="paragraph" w:styleId="ListParagraph">
    <w:name w:val="List Paragraph"/>
    <w:basedOn w:val="Normal"/>
    <w:uiPriority w:val="34"/>
    <w:qFormat/>
    <w:rsid w:val="00FF0136"/>
    <w:pPr>
      <w:ind w:left="720"/>
      <w:contextualSpacing/>
    </w:pPr>
  </w:style>
  <w:style w:type="table" w:styleId="TableGrid">
    <w:name w:val="Table Grid"/>
    <w:basedOn w:val="TableNormal"/>
    <w:uiPriority w:val="39"/>
    <w:rsid w:val="000B2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Wal12</b:Tag>
    <b:SourceType>Book</b:SourceType>
    <b:Guid>{B02AFA8F-6111-4645-A14C-1F25C074F4BD}</b:Guid>
    <b:Title>Probability &amp; Statistics for Engineers &amp; Scientists</b:Title>
    <b:Year>2012</b:Year>
    <b:City>Boston</b:City>
    <b:StateProvince>Massachusetts</b:StateProvince>
    <b:CountryRegion>USA</b:CountryRegion>
    <b:Publisher>Pearson Education, Inc.</b:Publisher>
    <b:StandardNumber>ISBN 10: 0-321-62911-6. ISBN 13: 978-0-321-62911-1</b:StandardNumber>
    <b:Pages>816</b:Pages>
    <b:Edition>9th</b:Edition>
    <b:Comments>Purchase at http://www.pearsonhighered.com/educator/product/Probability-and-Statistics-for-Engineers-and-Scientists/9780321629111.page</b:Comments>
    <b:Author>
      <b:Author>
        <b:NameList>
          <b:Person>
            <b:Last>Walpole</b:Last>
            <b:Middle>E.</b:Middle>
            <b:First>Ronald</b:First>
          </b:Person>
          <b:Person>
            <b:Last>Myers</b:Last>
            <b:Middle>H.</b:Middle>
            <b:First>Raymond</b:First>
          </b:Person>
          <b:Person>
            <b:Last>Myers</b:Last>
            <b:Middle>L.</b:Middle>
            <b:First>Sharon</b:First>
          </b:Person>
          <b:Person>
            <b:Last>Ye</b:Last>
            <b:First>Keying</b:First>
          </b:Person>
        </b:NameList>
      </b:Author>
      <b:Editor>
        <b:NameList>
          <b:Person>
            <b:Last>Lynch</b:Last>
            <b:First>Deirdre</b:First>
          </b:Person>
        </b:NameList>
      </b:Editor>
    </b:Author>
    <b:RefOrder>3</b:RefOrder>
  </b:Source>
  <b:Source>
    <b:Tag>LuongNguyen2013</b:Tag>
    <b:SourceType>Report</b:SourceType>
    <b:Guid>{E3281A98-2C94-4848-BA3B-A09F4DA282D7}</b:Guid>
    <b:Title>Set of quality criteria for evaluating hospital quality</b:Title>
    <b:Pages>131</b:Pages>
    <b:Author>
      <b:Author>
        <b:NameList>
          <b:Person>
            <b:Last>Luong</b:Last>
            <b:First>Ngoc-Khue</b:First>
          </b:Person>
          <b:Person>
            <b:Last>Nguyen</b:Last>
            <b:Middle>Thi</b:Middle>
            <b:First>Kim-Tien</b:First>
          </b:Person>
        </b:NameList>
      </b:Author>
    </b:Author>
    <b:City>Hanoi</b:City>
    <b:Publisher>Vietnam Ministry of Health</b:Publisher>
    <b:ThesisType>Circular</b:ThesisType>
    <b:Year>2013</b:Year>
    <b:StandardNumber>4858/QĐ-BYT</b:StandardNumber>
    <b:YearAccessed>2017</b:YearAccessed>
    <b:MonthAccessed>February</b:MonthAccessed>
    <b:DayAccessed>19</b:DayAccessed>
    <b:RefOrder>1</b:RefOrder>
  </b:Source>
  <b:Source>
    <b:Tag>Wikipedia2017KPI</b:Tag>
    <b:SourceType>InternetSite</b:SourceType>
    <b:Guid>{47008098-31B3-48A3-B232-ED49406C5326}</b:Guid>
    <b:Title>Performance indicator</b:Title>
    <b:Year>2017</b:Year>
    <b:InternetSiteTitle>Wikipedia website</b:InternetSiteTitle>
    <b:Month>February</b:Month>
    <b:Day>8</b:Day>
    <b:URL>https://en.wikipedia.org/wiki/Performance_indicator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2017</b:YearAccessed>
    <b:MonthAccessed>February</b:MonthAccessed>
    <b:DayAccessed>23</b:DayAccessed>
    <b:RefOrder>2</b:RefOrder>
  </b:Source>
  <b:Source>
    <b:Tag>Wikipedia2017Kaizen</b:Tag>
    <b:SourceType>InternetSite</b:SourceType>
    <b:Guid>{CFE89171-512D-4B71-B5EF-5C4CDCEA44E9}</b:Guid>
    <b:Author>
      <b:Author>
        <b:NameList>
          <b:Person>
            <b:Last>Wikipedia</b:Last>
          </b:Person>
        </b:NameList>
      </b:Author>
    </b:Author>
    <b:Title>Kaizen</b:Title>
    <b:InternetSiteTitle>Wikipedia website</b:InternetSiteTitle>
    <b:Year>2017</b:Year>
    <b:Month>February</b:Month>
    <b:Day>21</b:Day>
    <b:URL>https://en.wikipedia.org/wiki/Kaizen</b:URL>
    <b:ProductionCompany>Wikimedia Foundation</b:ProductionCompany>
    <b:YearAccessed>2017</b:YearAccessed>
    <b:MonthAccessed>February</b:MonthAccessed>
    <b:DayAccessed>23</b:DayAccessed>
    <b:RefOrder>4</b:RefOrder>
  </b:Source>
  <b:Source>
    <b:Tag>Wikipedia20175S</b:Tag>
    <b:SourceType>InternetSite</b:SourceType>
    <b:Guid>{03206DD8-7762-4AC2-8360-3D40FE052D25}</b:Guid>
    <b:Title>5S (methodology)</b:Title>
    <b:InternetSiteTitle>Wikipedia website</b:InternetSiteTitle>
    <b:Year>2017</b:Year>
    <b:Month>February</b:Month>
    <b:Day>10</b:Day>
    <b:URL>https://en.wikipedia.org/wiki/5S_(methodology)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2017</b:YearAccessed>
    <b:MonthAccessed>February</b:MonthAccessed>
    <b:DayAccessed>23</b:DayAccessed>
    <b:RefOrder>5</b:RefOrder>
  </b:Source>
  <b:Source>
    <b:Tag>Oja2004NTest</b:Tag>
    <b:SourceType>JournalArticle</b:SourceType>
    <b:Guid>{BA14B232-E01E-4E63-A8A3-AA052AE2AEA0}</b:Guid>
    <b:Title>Multivariate Nonparametric Tests</b:Title>
    <b:JournalName>Statistical Science</b:JournalName>
    <b:Year>2004</b:Year>
    <b:Pages>598-605</b:Pages>
    <b:Author>
      <b:Author>
        <b:NameList>
          <b:Person>
            <b:Last>Oja</b:Last>
            <b:First>Hannu</b:First>
          </b:Person>
          <b:Person>
            <b:Last>Randles</b:Last>
            <b:Middle>H.</b:Middle>
            <b:First>Ronald</b:First>
          </b:Person>
        </b:NameList>
      </b:Author>
      <b:Editor>
        <b:NameList>
          <b:Person>
            <b:Last>Casella</b:Last>
            <b:First>George</b:First>
          </b:Person>
        </b:NameList>
      </b:Editor>
    </b:Author>
    <b:Publisher>Institute of Mathematical Statistics</b:Publisher>
    <b:Volume>19</b:Volume>
    <b:Issue>4</b:Issue>
    <b:YearAccessed>2018</b:YearAccessed>
    <b:MonthAccessed>January</b:MonthAccessed>
    <b:DayAccessed>20</b:DayAccessed>
    <b:URL>http://projecteuclid.org/download/pdfview_1/euclid.ss/1113832724</b:URL>
    <b:DOI>10.1214/088342304000000558</b:DOI>
    <b:RefOrder>6</b:RefOrder>
  </b:Source>
</b:Sources>
</file>

<file path=customXml/itemProps1.xml><?xml version="1.0" encoding="utf-8"?>
<ds:datastoreItem xmlns:ds="http://schemas.openxmlformats.org/officeDocument/2006/customXml" ds:itemID="{CE39ABC0-2EE2-420F-9EC9-6FDEF0FF5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6</Pages>
  <Words>2515</Words>
  <Characters>14337</Characters>
  <Application>Microsoft Office Word</Application>
  <DocSecurity>0</DocSecurity>
  <Lines>119</Lines>
  <Paragraphs>33</Paragraphs>
  <ScaleCrop>false</ScaleCrop>
  <Company/>
  <LinksUpToDate>false</LinksUpToDate>
  <CharactersWithSpaces>16819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349</cp:revision>
  <dcterms:created xsi:type="dcterms:W3CDTF">2017-01-18T10:00:00Z</dcterms:created>
  <dcterms:modified xsi:type="dcterms:W3CDTF">2018-07-08T09:07:00Z</dcterms:modified>
</cp:coreProperties>
</file>