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257F" w14:textId="60780D3F" w:rsidR="00E75196" w:rsidRPr="00876410" w:rsidRDefault="00D56F27" w:rsidP="008764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short study on</w:t>
      </w:r>
      <w:r w:rsidR="008B3BAE" w:rsidRPr="00876410">
        <w:rPr>
          <w:b/>
          <w:bCs/>
          <w:sz w:val="32"/>
          <w:szCs w:val="32"/>
        </w:rPr>
        <w:t xml:space="preserve"> minima distribution</w:t>
      </w:r>
    </w:p>
    <w:p w14:paraId="315F23DD" w14:textId="0D950F14" w:rsidR="00DC36B8" w:rsidRDefault="00DC36B8"/>
    <w:p w14:paraId="2A703999" w14:textId="3EEF05B4" w:rsidR="00AA04D6" w:rsidRDefault="00AA04D6" w:rsidP="000E6370">
      <w:pPr>
        <w:jc w:val="center"/>
      </w:pPr>
      <w:r>
        <w:t>Loc Nguyen</w:t>
      </w:r>
    </w:p>
    <w:p w14:paraId="72BA9445" w14:textId="5D75F5FD" w:rsidR="00AA04D6" w:rsidRDefault="00AA04D6" w:rsidP="000E6370">
      <w:pPr>
        <w:jc w:val="center"/>
      </w:pPr>
      <w:r>
        <w:t>Loc Nguyen’s Academic Network, Vietnam</w:t>
      </w:r>
    </w:p>
    <w:p w14:paraId="116ACEB8" w14:textId="210E2C7C" w:rsidR="00AA04D6" w:rsidRDefault="00AA04D6" w:rsidP="000E6370">
      <w:pPr>
        <w:jc w:val="center"/>
      </w:pPr>
      <w:r>
        <w:t xml:space="preserve">Email: </w:t>
      </w:r>
      <w:r w:rsidRPr="000E6370">
        <w:t>ng_phloc@yahoo.com</w:t>
      </w:r>
    </w:p>
    <w:p w14:paraId="3C695E31" w14:textId="5BC45814" w:rsidR="00AA04D6" w:rsidRDefault="00AA04D6" w:rsidP="000E6370">
      <w:pPr>
        <w:jc w:val="center"/>
      </w:pPr>
      <w:r>
        <w:t xml:space="preserve">Homepage: </w:t>
      </w:r>
      <w:r w:rsidRPr="000E6370">
        <w:t>www.locnguyen.net</w:t>
      </w:r>
    </w:p>
    <w:p w14:paraId="0356F927" w14:textId="77777777" w:rsidR="00AA04D6" w:rsidRDefault="00AA04D6"/>
    <w:p w14:paraId="2516B0CF" w14:textId="031AAFD1" w:rsidR="00876410" w:rsidRPr="00876410" w:rsidRDefault="00876410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Abstract</w:t>
      </w:r>
    </w:p>
    <w:p w14:paraId="31D796AE" w14:textId="08148F9E" w:rsidR="00876410" w:rsidRDefault="00F61E37">
      <w:r>
        <w:t xml:space="preserve">Global optimization is </w:t>
      </w:r>
      <w:r w:rsidR="00101E72">
        <w:t>an</w:t>
      </w:r>
      <w:r>
        <w:t xml:space="preserve"> imperative development of local optimization because there are many problems in artificial intelligence and machine learning requires highly acute solutions</w:t>
      </w:r>
      <w:r w:rsidR="00023918">
        <w:t xml:space="preserve"> over entire domain</w:t>
      </w:r>
      <w:r>
        <w:t>.</w:t>
      </w:r>
      <w:r w:rsidR="009E19E9">
        <w:t xml:space="preserve"> There are many methods to resolve the global optimization, which can be classified into three groups such as analytic methods (purely mathematical methods), probabilistic methods</w:t>
      </w:r>
      <w:r w:rsidR="00BC4B64">
        <w:t>,</w:t>
      </w:r>
      <w:r w:rsidR="009E19E9">
        <w:t xml:space="preserve"> and heuristic methods.</w:t>
      </w:r>
      <w:r w:rsidR="00140CCA">
        <w:t xml:space="preserve"> Especially, heuristic methods like particle swarm optimization and ant bee colony </w:t>
      </w:r>
      <w:r w:rsidR="00A76FB7">
        <w:t xml:space="preserve">attract researchers because their effective and practical techniques which are easy to be implemented by computer programming languages. </w:t>
      </w:r>
      <w:r w:rsidR="00FC05A6">
        <w:t xml:space="preserve">However, these heuristic methods </w:t>
      </w:r>
      <w:r w:rsidR="000B6842">
        <w:t>are</w:t>
      </w:r>
      <w:r w:rsidR="00FC05A6">
        <w:t xml:space="preserve"> lacking in theoretical </w:t>
      </w:r>
      <w:r w:rsidR="000B6842">
        <w:t xml:space="preserve">mathematical </w:t>
      </w:r>
      <w:r w:rsidR="00FC05A6">
        <w:t xml:space="preserve">fundamental. Fortunately, </w:t>
      </w:r>
      <w:r w:rsidR="000B6842">
        <w:t>minima distribution establishes a strict mathematical relationship between optimized target function and its global minima.</w:t>
      </w:r>
      <w:r w:rsidR="00042963">
        <w:t xml:space="preserve"> In this research, </w:t>
      </w:r>
      <w:r w:rsidR="007538A4">
        <w:t>I try to study minima distribution and apply it into explaining convergence and convergence speed of optimization algorithms.</w:t>
      </w:r>
      <w:r w:rsidR="006C727E">
        <w:t xml:space="preserve"> Especially, </w:t>
      </w:r>
      <w:r w:rsidR="007B6A10">
        <w:t>weak conditions of convergence and monotonicity within minima distribution are drawn so as to be appropriate to practical optimization methods.</w:t>
      </w:r>
    </w:p>
    <w:p w14:paraId="17D65BF8" w14:textId="1C1085D2" w:rsidR="00046F8C" w:rsidRDefault="00046F8C">
      <w:r w:rsidRPr="00046F8C">
        <w:rPr>
          <w:b/>
          <w:bCs/>
        </w:rPr>
        <w:t>Keywords:</w:t>
      </w:r>
      <w:r>
        <w:t xml:space="preserve"> global optimization, minima distribution, particle swarm optimization, PSO.</w:t>
      </w:r>
    </w:p>
    <w:p w14:paraId="704F5E4B" w14:textId="77777777" w:rsidR="00F61E37" w:rsidRDefault="00F61E37"/>
    <w:p w14:paraId="615DCF8E" w14:textId="77777777" w:rsidR="00FE16A2" w:rsidRPr="00876410" w:rsidRDefault="00FE16A2" w:rsidP="00FE16A2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1. Introduction</w:t>
      </w:r>
    </w:p>
    <w:p w14:paraId="7FAE6B78" w14:textId="687ECF01" w:rsidR="00FE16A2" w:rsidRDefault="00A05C0B" w:rsidP="00E07C94">
      <w:r>
        <w:t xml:space="preserve">Given target function </w:t>
      </w:r>
      <w:r w:rsidRPr="00A05C0B">
        <w:rPr>
          <w:i/>
          <w:iCs/>
        </w:rPr>
        <w:t>f</w:t>
      </w:r>
      <w:r>
        <w:t>(</w:t>
      </w:r>
      <w:r w:rsidRPr="00A05C0B">
        <w:rPr>
          <w:i/>
          <w:iCs/>
        </w:rPr>
        <w:t>x</w:t>
      </w:r>
      <w:r>
        <w:t xml:space="preserve">) </w:t>
      </w:r>
      <w:r w:rsidR="009F58E4">
        <w:t xml:space="preserve">concerned </w:t>
      </w:r>
      <w:r w:rsidR="005D0E0C">
        <w:t>in</w:t>
      </w:r>
      <w:r>
        <w:t xml:space="preserve"> a compact set </w:t>
      </w:r>
      <w:r w:rsidRPr="00A05C0B">
        <w:rPr>
          <w:i/>
          <w:iCs/>
        </w:rPr>
        <w:t>X</w:t>
      </w:r>
      <w:r w:rsidR="009F58E4">
        <w:t xml:space="preserve"> </w:t>
      </w:r>
      <m:oMath>
        <m:r>
          <w:rPr>
            <w:rFonts w:ascii="Cambria Math" w:hAnsi="Cambria Math"/>
          </w:rPr>
          <m:t>⊂</m:t>
        </m:r>
      </m:oMath>
      <w:r w:rsidR="009F58E4">
        <w:t xml:space="preserve"> </w:t>
      </w:r>
      <w:r w:rsidR="009F58E4" w:rsidRPr="009F58E4">
        <w:rPr>
          <w:i/>
          <w:iCs/>
        </w:rPr>
        <w:t>R</w:t>
      </w:r>
      <w:r w:rsidR="009F58E4" w:rsidRPr="009F58E4">
        <w:rPr>
          <w:i/>
          <w:iCs/>
          <w:vertAlign w:val="superscript"/>
        </w:rPr>
        <w:t>n</w:t>
      </w:r>
      <w:r w:rsidR="009F58E4">
        <w:t xml:space="preserve"> where </w:t>
      </w:r>
      <w:r w:rsidR="009F58E4" w:rsidRPr="00A47FD6">
        <w:rPr>
          <w:i/>
          <w:iCs/>
        </w:rPr>
        <w:t>R</w:t>
      </w:r>
      <w:r w:rsidR="009F58E4" w:rsidRPr="00A47FD6">
        <w:rPr>
          <w:i/>
          <w:iCs/>
          <w:vertAlign w:val="superscript"/>
        </w:rPr>
        <w:t>n</w:t>
      </w:r>
      <w:r w:rsidR="009F58E4">
        <w:t xml:space="preserve"> is the </w:t>
      </w:r>
      <w:r w:rsidR="00A47FD6" w:rsidRPr="00A47FD6">
        <w:rPr>
          <w:i/>
          <w:iCs/>
        </w:rPr>
        <w:t>n</w:t>
      </w:r>
      <w:r w:rsidR="00A47FD6">
        <w:t>-dimension real field,</w:t>
      </w:r>
      <w:r>
        <w:t xml:space="preserve"> the optimization problem is how to find out its minimizer </w:t>
      </w:r>
      <w:r w:rsidRPr="00A05C0B">
        <w:rPr>
          <w:i/>
          <w:iCs/>
        </w:rPr>
        <w:t>x</w:t>
      </w:r>
      <w:r w:rsidRPr="00A05C0B">
        <w:rPr>
          <w:vertAlign w:val="superscript"/>
        </w:rPr>
        <w:t>*</w:t>
      </w:r>
      <w:r>
        <w:t xml:space="preserve"> as follows:</w:t>
      </w:r>
    </w:p>
    <w:p w14:paraId="476B4B69" w14:textId="4B78EF2E" w:rsidR="00A05C0B" w:rsidRPr="005D0E0C" w:rsidRDefault="00000000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2F5173DE" w14:textId="112CC641" w:rsidR="00101E72" w:rsidRDefault="005D0E0C" w:rsidP="00E07C94">
      <w:r>
        <w:t xml:space="preserve">Let </w:t>
      </w:r>
      <w:r w:rsidRPr="00BD2AD7">
        <w:rPr>
          <w:i/>
          <w:iCs/>
        </w:rPr>
        <w:t>f</w:t>
      </w:r>
      <w:r w:rsidRPr="00BD2AD7">
        <w:rPr>
          <w:vertAlign w:val="superscript"/>
        </w:rPr>
        <w:t>*</w:t>
      </w:r>
      <w:r>
        <w:t xml:space="preserve"> = </w:t>
      </w:r>
      <w:r w:rsidRPr="00BD2AD7">
        <w:rPr>
          <w:i/>
          <w:iCs/>
        </w:rPr>
        <w:t>f</w:t>
      </w:r>
      <w:r>
        <w:t>(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 xml:space="preserve">) and let 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 xml:space="preserve"> is the set of all 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>, the optimization problem is started with local optimization methods such as gradient descent and Newton-Raphson</w:t>
      </w:r>
      <w:r w:rsidR="00BD2AD7">
        <w:t xml:space="preserve"> given condition that </w:t>
      </w:r>
      <w:r w:rsidR="00BD2AD7" w:rsidRPr="002C7DE2">
        <w:rPr>
          <w:i/>
          <w:iCs/>
        </w:rPr>
        <w:t>f</w:t>
      </w:r>
      <w:r w:rsidR="00BD2AD7">
        <w:t>(</w:t>
      </w:r>
      <w:r w:rsidR="00BD2AD7" w:rsidRPr="002C7DE2">
        <w:rPr>
          <w:i/>
          <w:iCs/>
        </w:rPr>
        <w:t>x</w:t>
      </w:r>
      <w:r w:rsidR="00BD2AD7">
        <w:t xml:space="preserve">) is convex on entire </w:t>
      </w:r>
      <w:r w:rsidR="00BD2AD7" w:rsidRPr="00BD2AD7">
        <w:rPr>
          <w:i/>
          <w:iCs/>
        </w:rPr>
        <w:t>X</w:t>
      </w:r>
      <w:r w:rsidR="00BD2AD7">
        <w:t>.</w:t>
      </w:r>
      <w:r w:rsidR="0018097A">
        <w:t xml:space="preserve"> As a progressive development, global optimization concerns arbitrary </w:t>
      </w:r>
      <w:r w:rsidR="0018097A" w:rsidRPr="0018097A">
        <w:rPr>
          <w:i/>
          <w:iCs/>
        </w:rPr>
        <w:t>f</w:t>
      </w:r>
      <w:r w:rsidR="0018097A">
        <w:t>(</w:t>
      </w:r>
      <w:r w:rsidR="0018097A" w:rsidRPr="0018097A">
        <w:rPr>
          <w:i/>
          <w:iCs/>
        </w:rPr>
        <w:t>x</w:t>
      </w:r>
      <w:r w:rsidR="0018097A">
        <w:t>), which can be classified into three groups such as analytic</w:t>
      </w:r>
      <w:r w:rsidR="00615C9E">
        <w:t xml:space="preserve"> methods</w:t>
      </w:r>
      <w:r w:rsidR="0018097A">
        <w:t>, probabilistic methods, and heuristic methods</w:t>
      </w:r>
      <w:r w:rsidR="00F05640">
        <w:t>.</w:t>
      </w:r>
      <w:r w:rsidR="00480FAF">
        <w:t xml:space="preserve"> Some </w:t>
      </w:r>
      <w:r w:rsidR="00615C9E">
        <w:t xml:space="preserve">purely mathematical methods assert optimized solutions but there is a lack of </w:t>
      </w:r>
      <w:r w:rsidR="009C471C">
        <w:t xml:space="preserve">information about convergence process of </w:t>
      </w:r>
      <w:r w:rsidR="009C471C" w:rsidRPr="009C471C">
        <w:rPr>
          <w:i/>
          <w:iCs/>
        </w:rPr>
        <w:t>f</w:t>
      </w:r>
      <w:r w:rsidR="009C471C">
        <w:t>(</w:t>
      </w:r>
      <w:r w:rsidR="009C471C" w:rsidRPr="009C471C">
        <w:rPr>
          <w:i/>
          <w:iCs/>
        </w:rPr>
        <w:t>x</w:t>
      </w:r>
      <w:r w:rsidR="009C471C">
        <w:t xml:space="preserve">) to </w:t>
      </w:r>
      <w:r w:rsidR="009C471C" w:rsidRPr="009C471C">
        <w:rPr>
          <w:i/>
          <w:iCs/>
        </w:rPr>
        <w:t>f</w:t>
      </w:r>
      <w:r w:rsidR="009C471C" w:rsidRPr="009C471C">
        <w:rPr>
          <w:vertAlign w:val="superscript"/>
        </w:rPr>
        <w:t>*</w:t>
      </w:r>
      <w:r w:rsidR="009C471C">
        <w:t xml:space="preserve"> in optimization algorithms.</w:t>
      </w:r>
      <w:r w:rsidR="004433FB">
        <w:t xml:space="preserve"> Fortunately, </w:t>
      </w:r>
      <w:r w:rsidR="00101E72">
        <w:t xml:space="preserve">Luo </w:t>
      </w:r>
      <w:sdt>
        <w:sdtPr>
          <w:id w:val="1498925098"/>
          <w:citation/>
        </w:sdtPr>
        <w:sdtContent>
          <w:r w:rsidR="00101E72">
            <w:fldChar w:fldCharType="begin"/>
          </w:r>
          <w:r w:rsidR="00101E72">
            <w:instrText xml:space="preserve"> CITATION Luo19Minima \l 1033 </w:instrText>
          </w:r>
          <w:r w:rsidR="00101E72">
            <w:fldChar w:fldCharType="separate"/>
          </w:r>
          <w:r w:rsidR="00101E72">
            <w:rPr>
              <w:noProof/>
            </w:rPr>
            <w:t>(Luo, 2019)</w:t>
          </w:r>
          <w:r w:rsidR="00101E72">
            <w:fldChar w:fldCharType="end"/>
          </w:r>
        </w:sdtContent>
      </w:sdt>
      <w:r w:rsidR="00101E72">
        <w:t xml:space="preserve"> established the strict relationship between </w:t>
      </w:r>
      <w:r w:rsidR="00A05C0B">
        <w:t xml:space="preserve">the target function </w:t>
      </w:r>
      <w:r w:rsidR="00A05C0B" w:rsidRPr="00A05C0B">
        <w:rPr>
          <w:i/>
          <w:iCs/>
        </w:rPr>
        <w:t>f</w:t>
      </w:r>
      <w:r w:rsidR="00A05C0B">
        <w:t>(</w:t>
      </w:r>
      <w:r w:rsidR="00A05C0B" w:rsidRPr="00A05C0B">
        <w:rPr>
          <w:i/>
          <w:iCs/>
        </w:rPr>
        <w:t>x</w:t>
      </w:r>
      <w:r w:rsidR="00A05C0B">
        <w:t xml:space="preserve">) and its </w:t>
      </w:r>
      <w:r w:rsidR="00101E72">
        <w:t xml:space="preserve">minima </w:t>
      </w:r>
      <w:r w:rsidR="00101E72" w:rsidRPr="00A05C0B">
        <w:rPr>
          <w:i/>
          <w:iCs/>
        </w:rPr>
        <w:t>f</w:t>
      </w:r>
      <w:r w:rsidR="00101E72" w:rsidRPr="00A05C0B">
        <w:rPr>
          <w:vertAlign w:val="superscript"/>
        </w:rPr>
        <w:t>*</w:t>
      </w:r>
      <w:r w:rsidR="00A05C0B">
        <w:t xml:space="preserve"> when Luo defined the minima distribution </w:t>
      </w:r>
      <w:r w:rsidR="00A05C0B" w:rsidRPr="009E77DF">
        <w:rPr>
          <w:i/>
          <w:iCs/>
        </w:rPr>
        <w:t>m</w:t>
      </w:r>
      <w:r w:rsidR="00A05C0B" w:rsidRPr="009E77DF">
        <w:rPr>
          <w:vertAlign w:val="superscript"/>
        </w:rPr>
        <w:t>(</w:t>
      </w:r>
      <w:r w:rsidR="00A05C0B" w:rsidRPr="009E77DF">
        <w:rPr>
          <w:i/>
          <w:iCs/>
          <w:vertAlign w:val="superscript"/>
        </w:rPr>
        <w:t>k</w:t>
      </w:r>
      <w:r w:rsidR="00A05C0B" w:rsidRPr="009E77DF">
        <w:rPr>
          <w:vertAlign w:val="superscript"/>
        </w:rPr>
        <w:t>)</w:t>
      </w:r>
      <w:r w:rsidR="00A05C0B">
        <w:t>(</w:t>
      </w:r>
      <w:r w:rsidR="00A05C0B" w:rsidRPr="009E77DF">
        <w:rPr>
          <w:i/>
          <w:iCs/>
        </w:rPr>
        <w:t>x</w:t>
      </w:r>
      <w:r w:rsidR="00A05C0B">
        <w:t>) as follows</w:t>
      </w:r>
      <w:r w:rsidR="00DE2238">
        <w:t xml:space="preserve"> </w:t>
      </w:r>
      <w:sdt>
        <w:sdtPr>
          <w:id w:val="-299458798"/>
          <w:citation/>
        </w:sdtPr>
        <w:sdtContent>
          <w:r w:rsidR="00DE2238">
            <w:fldChar w:fldCharType="begin"/>
          </w:r>
          <w:r w:rsidR="00DE2238">
            <w:instrText xml:space="preserve">CITATION Luo19Minima \p 5 \l 1033 </w:instrText>
          </w:r>
          <w:r w:rsidR="00DE2238">
            <w:fldChar w:fldCharType="separate"/>
          </w:r>
          <w:r w:rsidR="00DE2238">
            <w:rPr>
              <w:noProof/>
            </w:rPr>
            <w:t>(Luo, 2019, p. 5)</w:t>
          </w:r>
          <w:r w:rsidR="00DE2238">
            <w:fldChar w:fldCharType="end"/>
          </w:r>
        </w:sdtContent>
      </w:sdt>
      <w:r w:rsidR="00A05C0B">
        <w:t>:</w:t>
      </w:r>
    </w:p>
    <w:p w14:paraId="2A37B8FD" w14:textId="48ECD93A" w:rsidR="00A05C0B" w:rsidRDefault="00000000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den>
          </m:f>
        </m:oMath>
      </m:oMathPara>
    </w:p>
    <w:p w14:paraId="66BE12A7" w14:textId="68E50479" w:rsidR="00A05C0B" w:rsidRDefault="00DE2238" w:rsidP="00E07C94">
      <w:r>
        <w:t xml:space="preserve">Function </w:t>
      </w:r>
      <w:r w:rsidRPr="00DE2238">
        <w:rPr>
          <w:rFonts w:cs="Times New Roman"/>
          <w:i/>
          <w:iCs/>
        </w:rPr>
        <w:t>τ</w:t>
      </w:r>
      <w:r>
        <w:t>(</w:t>
      </w:r>
      <w:r w:rsidRPr="00DE2238">
        <w:rPr>
          <w:i/>
          <w:iCs/>
        </w:rPr>
        <w:t>x</w:t>
      </w:r>
      <w:r>
        <w:t xml:space="preserve">) is defined as </w:t>
      </w:r>
      <w:r w:rsidRPr="00DE2238">
        <w:rPr>
          <w:rFonts w:cs="Times New Roman"/>
          <w:i/>
          <w:iCs/>
        </w:rPr>
        <w:t>τ</w:t>
      </w:r>
      <w:r>
        <w:t>(</w:t>
      </w:r>
      <w:r w:rsidRPr="00DE2238">
        <w:rPr>
          <w:i/>
          <w:iCs/>
        </w:rPr>
        <w:t>x</w:t>
      </w:r>
      <w:r>
        <w:t xml:space="preserve">) = </w:t>
      </w:r>
      <w:r w:rsidRPr="00DE2238">
        <w:rPr>
          <w:rFonts w:cs="Times New Roman"/>
          <w:i/>
          <w:iCs/>
        </w:rPr>
        <w:t>ρ</w:t>
      </w:r>
      <w:r>
        <w:t>(</w:t>
      </w:r>
      <w:r w:rsidRPr="00DE2238">
        <w:rPr>
          <w:i/>
          <w:iCs/>
        </w:rPr>
        <w:t>f</w:t>
      </w:r>
      <w:r>
        <w:t>(</w:t>
      </w:r>
      <w:r w:rsidRPr="00DE2238">
        <w:rPr>
          <w:i/>
          <w:iCs/>
        </w:rPr>
        <w:t>x</w:t>
      </w:r>
      <w:r>
        <w:t xml:space="preserve">)) where </w:t>
      </w:r>
      <w:r w:rsidRPr="00DE2238">
        <w:rPr>
          <w:rFonts w:cs="Times New Roman"/>
          <w:i/>
          <w:iCs/>
        </w:rPr>
        <w:t>ρ</w:t>
      </w:r>
      <w:r w:rsidR="00B80CA2">
        <w:rPr>
          <w:rFonts w:cs="Times New Roman"/>
        </w:rPr>
        <w:t>(</w:t>
      </w:r>
      <w:r w:rsidR="00B80CA2" w:rsidRPr="00B80CA2">
        <w:rPr>
          <w:rFonts w:cs="Times New Roman"/>
          <w:i/>
          <w:iCs/>
        </w:rPr>
        <w:t>y</w:t>
      </w:r>
      <w:r w:rsidR="00B80CA2">
        <w:rPr>
          <w:rFonts w:cs="Times New Roman"/>
        </w:rPr>
        <w:t>)</w:t>
      </w:r>
      <w:r>
        <w:t xml:space="preserve"> is positive and monotonically decreasing for </w:t>
      </w:r>
      <w:r w:rsidR="00B80CA2" w:rsidRPr="00383499">
        <w:rPr>
          <w:i/>
          <w:iCs/>
        </w:rPr>
        <w:t>y</w:t>
      </w:r>
      <w:r w:rsidR="00B80CA2">
        <w:t xml:space="preserve"> such that </w:t>
      </w:r>
      <w:r w:rsidR="00B80CA2" w:rsidRPr="00383499">
        <w:rPr>
          <w:i/>
          <w:iCs/>
        </w:rPr>
        <w:t>y</w:t>
      </w:r>
      <w:r w:rsidR="00B80CA2">
        <w:t xml:space="preserve"> = </w:t>
      </w:r>
      <w:r w:rsidR="00B80CA2" w:rsidRPr="00383499">
        <w:rPr>
          <w:i/>
          <w:iCs/>
        </w:rPr>
        <w:t>f</w:t>
      </w:r>
      <w:r w:rsidR="00B80CA2">
        <w:t>(</w:t>
      </w:r>
      <w:r w:rsidR="00B80CA2" w:rsidRPr="00383499">
        <w:rPr>
          <w:i/>
          <w:iCs/>
        </w:rPr>
        <w:t>x</w:t>
      </w:r>
      <w:r w:rsidR="00B80CA2">
        <w:t xml:space="preserve">) where </w:t>
      </w:r>
      <w:r w:rsidRPr="00383499">
        <w:rPr>
          <w:i/>
          <w:iCs/>
        </w:rPr>
        <w:t>x</w:t>
      </w:r>
      <w:r>
        <w:t xml:space="preserve"> belong</w:t>
      </w:r>
      <w:r w:rsidR="00B80CA2">
        <w:t>s to</w:t>
      </w:r>
      <w:r>
        <w:t xml:space="preserve"> </w:t>
      </w:r>
      <w:r w:rsidRPr="00383499">
        <w:rPr>
          <w:i/>
          <w:iCs/>
        </w:rPr>
        <w:t>X</w:t>
      </w:r>
      <w:r>
        <w:t xml:space="preserve">. </w:t>
      </w:r>
      <w:r w:rsidR="00E9239C">
        <w:t xml:space="preserve">Luo proved that the integral of the association of </w:t>
      </w:r>
      <w:r w:rsidR="00E9239C" w:rsidRPr="00A05C0B">
        <w:rPr>
          <w:i/>
          <w:iCs/>
        </w:rPr>
        <w:t>f</w:t>
      </w:r>
      <w:r w:rsidR="00E9239C">
        <w:t>(</w:t>
      </w:r>
      <w:r w:rsidR="00E9239C" w:rsidRPr="00A05C0B">
        <w:rPr>
          <w:i/>
          <w:iCs/>
        </w:rPr>
        <w:t>x</w:t>
      </w:r>
      <w:r w:rsidR="00E9239C">
        <w:t xml:space="preserve">) and </w:t>
      </w:r>
      <w:r w:rsidR="00E9239C" w:rsidRPr="009E77DF">
        <w:rPr>
          <w:i/>
          <w:iCs/>
        </w:rPr>
        <w:t>m</w:t>
      </w:r>
      <w:r w:rsidR="00E9239C" w:rsidRPr="009E77DF">
        <w:rPr>
          <w:vertAlign w:val="superscript"/>
        </w:rPr>
        <w:t>(</w:t>
      </w:r>
      <w:r w:rsidR="00E9239C" w:rsidRPr="009E77DF">
        <w:rPr>
          <w:i/>
          <w:iCs/>
          <w:vertAlign w:val="superscript"/>
        </w:rPr>
        <w:t>k</w:t>
      </w:r>
      <w:r w:rsidR="00E9239C" w:rsidRPr="009E77DF">
        <w:rPr>
          <w:vertAlign w:val="superscript"/>
        </w:rPr>
        <w:t>)</w:t>
      </w:r>
      <w:r w:rsidR="00E9239C">
        <w:t>(</w:t>
      </w:r>
      <w:r w:rsidR="00E9239C" w:rsidRPr="009E77DF">
        <w:rPr>
          <w:i/>
          <w:iCs/>
        </w:rPr>
        <w:t>x</w:t>
      </w:r>
      <w:r w:rsidR="00E9239C">
        <w:t xml:space="preserve">) which can be </w:t>
      </w:r>
      <w:r w:rsidR="00B41B8C">
        <w:t>understood</w:t>
      </w:r>
      <w:r w:rsidR="00E9239C">
        <w:t xml:space="preserve"> </w:t>
      </w:r>
      <w:r w:rsidR="00A079DC">
        <w:t>that</w:t>
      </w:r>
      <w:r w:rsidR="00E9239C">
        <w:t xml:space="preserve"> mean of </w:t>
      </w:r>
      <w:r w:rsidR="00E9239C" w:rsidRPr="002F2D11">
        <w:rPr>
          <w:i/>
          <w:iCs/>
        </w:rPr>
        <w:t>f</w:t>
      </w:r>
      <w:r w:rsidR="00E9239C">
        <w:t>(</w:t>
      </w:r>
      <w:r w:rsidR="00E9239C" w:rsidRPr="002F2D11">
        <w:rPr>
          <w:i/>
          <w:iCs/>
        </w:rPr>
        <w:t>x</w:t>
      </w:r>
      <w:r w:rsidR="00E9239C">
        <w:t xml:space="preserve">) </w:t>
      </w:r>
      <w:r w:rsidR="002F2D11">
        <w:t xml:space="preserve">within </w:t>
      </w:r>
      <w:r w:rsidR="00E9239C">
        <w:t xml:space="preserve">minima distribution will approach </w:t>
      </w:r>
      <w:r w:rsidR="00E9239C" w:rsidRPr="001C22E4">
        <w:rPr>
          <w:i/>
          <w:iCs/>
        </w:rPr>
        <w:t>f</w:t>
      </w:r>
      <w:r w:rsidR="00E9239C" w:rsidRPr="001C22E4">
        <w:rPr>
          <w:vertAlign w:val="superscript"/>
        </w:rPr>
        <w:t>*</w:t>
      </w:r>
      <w:r w:rsidR="00E9239C">
        <w:t>.</w:t>
      </w:r>
    </w:p>
    <w:p w14:paraId="21732AA6" w14:textId="4FE08C2B" w:rsidR="00E9239C" w:rsidRDefault="00000000" w:rsidP="00E07C9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259A7CC" w14:textId="5470068D" w:rsidR="009E0425" w:rsidRDefault="009E0425" w:rsidP="00E07C94">
      <w:r>
        <w:t xml:space="preserve">The equation </w:t>
      </w:r>
      <w:r w:rsidR="00E129B7">
        <w:t>above</w:t>
      </w:r>
      <w:r>
        <w:t xml:space="preserve"> specifies the convergence </w:t>
      </w:r>
      <w:r w:rsidR="00F9395E">
        <w:t>property</w:t>
      </w:r>
      <w:r>
        <w:t xml:space="preserve"> of optimization algorithms.</w:t>
      </w:r>
      <w:r w:rsidR="00F9395E">
        <w:t xml:space="preserve"> Luo also proposed the monotonicity property as the following ordered sequences</w:t>
      </w:r>
      <w:r w:rsidR="005B24A7">
        <w:t xml:space="preserve"> for all real </w:t>
      </w:r>
      <w:r w:rsidR="005B24A7" w:rsidRPr="005B24A7">
        <w:rPr>
          <w:i/>
          <w:iCs/>
        </w:rPr>
        <w:t>k</w:t>
      </w:r>
      <w:r w:rsidR="005B24A7">
        <w:t xml:space="preserve"> and real </w:t>
      </w:r>
      <w:r w:rsidR="005B24A7">
        <w:rPr>
          <w:rFonts w:cs="Times New Roman"/>
        </w:rPr>
        <w:t>Δ</w:t>
      </w:r>
      <w:r w:rsidR="005B24A7" w:rsidRPr="005B24A7">
        <w:rPr>
          <w:i/>
          <w:iCs/>
        </w:rPr>
        <w:t>k</w:t>
      </w:r>
      <w:r w:rsidR="005B24A7">
        <w:t xml:space="preserve"> &gt; 0</w:t>
      </w:r>
      <w:r w:rsidR="00F9395E">
        <w:t>.</w:t>
      </w:r>
    </w:p>
    <w:p w14:paraId="4E04AF38" w14:textId="0F595CAD" w:rsidR="00F9395E" w:rsidRDefault="00000000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k+∆k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F86D943" w14:textId="202D300F" w:rsidR="00F9395E" w:rsidRDefault="00E91ACB" w:rsidP="00E07C94">
      <w:r>
        <w:t xml:space="preserve">Based on monotonicity property, </w:t>
      </w:r>
      <w:r w:rsidR="004760D9">
        <w:t>monotonic shrinkage is derived as follows:</w:t>
      </w:r>
    </w:p>
    <w:p w14:paraId="689DDF19" w14:textId="34017359" w:rsidR="004760D9" w:rsidRPr="001663A3" w:rsidRDefault="008D38C6" w:rsidP="00E07C94">
      <m:oMathPara>
        <m:oMath>
          <m:r>
            <w:rPr>
              <w:rFonts w:ascii="Cambria Math" w:hAnsi="Cambria Math"/>
            </w:rPr>
            <m:t>X⊇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k+∆k</m:t>
                  </m:r>
                </m:e>
              </m:d>
            </m:sup>
          </m:sSubSup>
          <m:r>
            <w:rPr>
              <w:rFonts w:ascii="Cambria Math" w:hAnsi="Cambria Math"/>
            </w:rPr>
            <m:t>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6B2EC28" w14:textId="029382E2" w:rsidR="001663A3" w:rsidRDefault="001663A3" w:rsidP="00E07C94">
      <w:r>
        <w:t>Where</w:t>
      </w:r>
      <w:r w:rsidR="00F86297">
        <w:t xml:space="preserve"> </w:t>
      </w:r>
      <w:r w:rsidR="00F86297" w:rsidRPr="00F86297">
        <w:rPr>
          <w:i/>
          <w:iCs/>
        </w:rPr>
        <w:t>D</w:t>
      </w:r>
      <w:r w:rsidR="00F86297" w:rsidRPr="00F86297">
        <w:rPr>
          <w:i/>
          <w:iCs/>
          <w:vertAlign w:val="subscript"/>
        </w:rPr>
        <w:t>f</w:t>
      </w:r>
      <w:r w:rsidR="00F86297" w:rsidRPr="00F86297">
        <w:rPr>
          <w:vertAlign w:val="superscript"/>
        </w:rPr>
        <w:t>(</w:t>
      </w:r>
      <w:r w:rsidR="00F86297" w:rsidRPr="00F86297">
        <w:rPr>
          <w:i/>
          <w:iCs/>
          <w:vertAlign w:val="superscript"/>
        </w:rPr>
        <w:t>k</w:t>
      </w:r>
      <w:r w:rsidR="00F86297" w:rsidRPr="00F86297">
        <w:rPr>
          <w:vertAlign w:val="superscript"/>
        </w:rPr>
        <w:t>)</w:t>
      </w:r>
      <w:r w:rsidR="00F86297">
        <w:t xml:space="preserve"> is called significant set of </w:t>
      </w:r>
      <w:r w:rsidR="00F86297" w:rsidRPr="00F86297">
        <w:rPr>
          <w:i/>
          <w:iCs/>
        </w:rPr>
        <w:t>m</w:t>
      </w:r>
      <w:r w:rsidR="00F86297" w:rsidRPr="00F86297">
        <w:rPr>
          <w:vertAlign w:val="superscript"/>
        </w:rPr>
        <w:t>(</w:t>
      </w:r>
      <w:r w:rsidR="00F86297" w:rsidRPr="00F86297">
        <w:rPr>
          <w:i/>
          <w:iCs/>
          <w:vertAlign w:val="superscript"/>
        </w:rPr>
        <w:t>k</w:t>
      </w:r>
      <w:r w:rsidR="00F86297" w:rsidRPr="00F86297">
        <w:rPr>
          <w:vertAlign w:val="superscript"/>
        </w:rPr>
        <w:t>)</w:t>
      </w:r>
      <w:r w:rsidR="00F86297">
        <w:t>(</w:t>
      </w:r>
      <w:r w:rsidR="00F86297" w:rsidRPr="00F86297">
        <w:rPr>
          <w:i/>
          <w:iCs/>
        </w:rPr>
        <w:t>x</w:t>
      </w:r>
      <w:r w:rsidR="00F86297">
        <w:t>).</w:t>
      </w:r>
    </w:p>
    <w:p w14:paraId="1A1962D1" w14:textId="09405999" w:rsidR="001663A3" w:rsidRDefault="00000000" w:rsidP="00E07C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x∈X:f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e>
          </m:d>
        </m:oMath>
      </m:oMathPara>
    </w:p>
    <w:p w14:paraId="25AB05A0" w14:textId="43C90616" w:rsidR="00FE16A2" w:rsidRDefault="00902939" w:rsidP="00E07C94">
      <w:r>
        <w:t>Luo’s convergence condition</w:t>
      </w:r>
      <w:r w:rsidR="00E31D83">
        <w:t>s</w:t>
      </w:r>
      <w:r>
        <w:t xml:space="preserve"> </w:t>
      </w:r>
      <w:r w:rsidR="00E31D83">
        <w:t>are</w:t>
      </w:r>
      <w:r>
        <w:t xml:space="preserve"> strict </w:t>
      </w:r>
      <w:r w:rsidR="00E31D83">
        <w:t xml:space="preserve">because </w:t>
      </w:r>
      <w:r w:rsidR="00E31D83" w:rsidRPr="002409A0">
        <w:rPr>
          <w:rFonts w:cs="Times New Roman"/>
          <w:i/>
          <w:iCs/>
        </w:rPr>
        <w:t>τ</w:t>
      </w:r>
      <w:r w:rsidR="00E31D83">
        <w:t>(</w:t>
      </w:r>
      <w:r w:rsidR="00E31D83" w:rsidRPr="002409A0">
        <w:rPr>
          <w:i/>
          <w:iCs/>
        </w:rPr>
        <w:t>x</w:t>
      </w:r>
      <w:r w:rsidR="00E31D83">
        <w:t xml:space="preserve">) is defined based </w:t>
      </w:r>
      <w:r w:rsidR="00E31D83" w:rsidRPr="002409A0">
        <w:rPr>
          <w:rFonts w:cs="Times New Roman"/>
          <w:i/>
          <w:iCs/>
        </w:rPr>
        <w:t>ρ</w:t>
      </w:r>
      <w:r w:rsidR="00E31D83">
        <w:t>(</w:t>
      </w:r>
      <w:r w:rsidR="00585EDE" w:rsidRPr="00585EDE">
        <w:rPr>
          <w:i/>
          <w:iCs/>
        </w:rPr>
        <w:t>f</w:t>
      </w:r>
      <w:r w:rsidR="00585EDE">
        <w:t>(</w:t>
      </w:r>
      <w:r w:rsidR="00E31D83" w:rsidRPr="002409A0">
        <w:rPr>
          <w:i/>
          <w:iCs/>
        </w:rPr>
        <w:t>x</w:t>
      </w:r>
      <w:r w:rsidR="00E31D83">
        <w:t>)</w:t>
      </w:r>
      <w:r w:rsidR="00585EDE">
        <w:t>)</w:t>
      </w:r>
      <w:r w:rsidR="00E31D83">
        <w:t xml:space="preserve"> and in turn, </w:t>
      </w:r>
      <w:r w:rsidR="00E31D83" w:rsidRPr="002409A0">
        <w:rPr>
          <w:rFonts w:cs="Times New Roman"/>
          <w:i/>
          <w:iCs/>
        </w:rPr>
        <w:t>ρ</w:t>
      </w:r>
      <w:r w:rsidR="00E31D83">
        <w:rPr>
          <w:rFonts w:cs="Times New Roman"/>
        </w:rPr>
        <w:t>(</w:t>
      </w:r>
      <w:r w:rsidR="00585EDE" w:rsidRPr="00585EDE">
        <w:rPr>
          <w:i/>
          <w:iCs/>
        </w:rPr>
        <w:t>f</w:t>
      </w:r>
      <w:r w:rsidR="00585EDE">
        <w:t>(</w:t>
      </w:r>
      <w:r w:rsidR="00585EDE" w:rsidRPr="002409A0">
        <w:rPr>
          <w:i/>
          <w:iCs/>
        </w:rPr>
        <w:t>x</w:t>
      </w:r>
      <w:r w:rsidR="00585EDE">
        <w:t>)</w:t>
      </w:r>
      <w:r w:rsidR="00E31D83">
        <w:rPr>
          <w:rFonts w:cs="Times New Roman"/>
        </w:rPr>
        <w:t xml:space="preserve">) is </w:t>
      </w:r>
      <w:r>
        <w:t>monotonic</w:t>
      </w:r>
      <w:r w:rsidR="00E31D83">
        <w:t>ally decreasing</w:t>
      </w:r>
      <w:r>
        <w:t xml:space="preserve">. </w:t>
      </w:r>
      <w:r w:rsidR="004D2C57">
        <w:t xml:space="preserve">In some practical cases, convergence property can be achieved without concerning </w:t>
      </w:r>
      <w:r w:rsidR="00585EDE" w:rsidRPr="002409A0">
        <w:rPr>
          <w:rFonts w:cs="Times New Roman"/>
          <w:i/>
          <w:iCs/>
        </w:rPr>
        <w:t>ρ</w:t>
      </w:r>
      <w:r w:rsidR="00585EDE">
        <w:t>(</w:t>
      </w:r>
      <w:r w:rsidR="00585EDE" w:rsidRPr="00585EDE">
        <w:rPr>
          <w:i/>
          <w:iCs/>
        </w:rPr>
        <w:t>f</w:t>
      </w:r>
      <w:r w:rsidR="00585EDE">
        <w:t>(</w:t>
      </w:r>
      <w:r w:rsidR="00585EDE" w:rsidRPr="002409A0">
        <w:rPr>
          <w:i/>
          <w:iCs/>
        </w:rPr>
        <w:t>x</w:t>
      </w:r>
      <w:r w:rsidR="00585EDE">
        <w:t>))</w:t>
      </w:r>
      <w:r w:rsidR="004D2C57">
        <w:t xml:space="preserve">. </w:t>
      </w:r>
      <w:r w:rsidR="00E31D83">
        <w:t>Therefore</w:t>
      </w:r>
      <w:r>
        <w:t>,</w:t>
      </w:r>
      <w:r w:rsidR="00E31D83">
        <w:t xml:space="preserve"> in this research, I draw weaker conditions</w:t>
      </w:r>
      <w:r>
        <w:t xml:space="preserve"> </w:t>
      </w:r>
      <w:r w:rsidR="00E31D83">
        <w:t xml:space="preserve">for convergence property and monotonicity property. </w:t>
      </w:r>
      <w:r w:rsidR="003D66A8">
        <w:t>Section 2 draws weak conditions of convergence and monotonicity whereas section 3 continues to mention convergence speed.</w:t>
      </w:r>
      <w:r w:rsidR="00B04019">
        <w:t xml:space="preserve"> Section 4</w:t>
      </w:r>
      <w:r w:rsidR="00D7335A">
        <w:t xml:space="preserve"> describe</w:t>
      </w:r>
      <w:r w:rsidR="006F5210">
        <w:t>s</w:t>
      </w:r>
      <w:r w:rsidR="00D7335A">
        <w:t xml:space="preserve"> an experiment on convergence speed associated with particle swarm optimization (PSO) algorithm.</w:t>
      </w:r>
      <w:r w:rsidR="00164B3C">
        <w:t xml:space="preserve"> Section 5 is the conclusions.</w:t>
      </w:r>
    </w:p>
    <w:p w14:paraId="15F994EA" w14:textId="77777777" w:rsidR="00B04019" w:rsidRDefault="00B04019" w:rsidP="00E07C94"/>
    <w:p w14:paraId="7819121F" w14:textId="5FDCBEDD" w:rsidR="00E07C94" w:rsidRPr="00876410" w:rsidRDefault="00FE16A2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07C94" w:rsidRPr="00876410">
        <w:rPr>
          <w:b/>
          <w:bCs/>
          <w:sz w:val="28"/>
          <w:szCs w:val="28"/>
        </w:rPr>
        <w:t xml:space="preserve">. </w:t>
      </w:r>
      <w:r w:rsidR="00942203">
        <w:rPr>
          <w:b/>
          <w:bCs/>
          <w:sz w:val="28"/>
          <w:szCs w:val="28"/>
        </w:rPr>
        <w:t>Weak conditions of convergence and monotoni</w:t>
      </w:r>
      <w:r w:rsidR="00DF5116">
        <w:rPr>
          <w:b/>
          <w:bCs/>
          <w:sz w:val="28"/>
          <w:szCs w:val="28"/>
        </w:rPr>
        <w:t>ci</w:t>
      </w:r>
      <w:r w:rsidR="00942203">
        <w:rPr>
          <w:b/>
          <w:bCs/>
          <w:sz w:val="28"/>
          <w:szCs w:val="28"/>
        </w:rPr>
        <w:t>ty</w:t>
      </w:r>
    </w:p>
    <w:p w14:paraId="3B616769" w14:textId="59EEB54E" w:rsidR="002A2137" w:rsidRDefault="00DF5116" w:rsidP="00E07C94">
      <w:pPr>
        <w:rPr>
          <w:rFonts w:cs="Times New Roman"/>
        </w:rPr>
      </w:pPr>
      <w:r>
        <w:t xml:space="preserve">Two most important </w:t>
      </w:r>
      <w:r w:rsidR="00737A40">
        <w:t>properties</w:t>
      </w:r>
      <w:r>
        <w:t xml:space="preserve"> of minima distribution are convergence and monotoni</w:t>
      </w:r>
      <w:r w:rsidR="00463C3C">
        <w:t>ci</w:t>
      </w:r>
      <w:r>
        <w:t>ty.</w:t>
      </w:r>
      <w:r w:rsidR="00463C3C">
        <w:t xml:space="preserve"> Stability and shrinkage are derived from the two </w:t>
      </w:r>
      <w:r w:rsidR="00737A40">
        <w:t>properties</w:t>
      </w:r>
      <w:r w:rsidR="00463C3C">
        <w:t xml:space="preserve">. </w:t>
      </w:r>
      <w:r w:rsidR="004E3189">
        <w:t xml:space="preserve">As a summary, Luo </w:t>
      </w:r>
      <w:sdt>
        <w:sdtPr>
          <w:id w:val="-1429344674"/>
          <w:citation/>
        </w:sdtPr>
        <w:sdtContent>
          <w:r w:rsidR="004E3189">
            <w:fldChar w:fldCharType="begin"/>
          </w:r>
          <w:r w:rsidR="00101BB9">
            <w:instrText xml:space="preserve">CITATION Luo19Minima \p 5 \l 1033 </w:instrText>
          </w:r>
          <w:r w:rsidR="004E3189">
            <w:fldChar w:fldCharType="separate"/>
          </w:r>
          <w:r w:rsidR="00101BB9">
            <w:rPr>
              <w:noProof/>
            </w:rPr>
            <w:t>(Luo, 2019, p. 5)</w:t>
          </w:r>
          <w:r w:rsidR="004E3189">
            <w:fldChar w:fldCharType="end"/>
          </w:r>
        </w:sdtContent>
      </w:sdt>
      <w:r w:rsidR="00737A40">
        <w:t xml:space="preserve"> proposed </w:t>
      </w:r>
      <w:r w:rsidR="00E06FD6">
        <w:t xml:space="preserve">the </w:t>
      </w:r>
      <w:r w:rsidR="00737A40">
        <w:t>following condition for satisfying convergence and monotonicity of minima distribution</w:t>
      </w:r>
      <w:r w:rsidR="00E06FD6">
        <w:t>: “</w:t>
      </w:r>
      <w:r w:rsidR="0048357D">
        <w:t>Positive f</w:t>
      </w:r>
      <w:r w:rsidR="0052322D">
        <w:t xml:space="preserve">unction </w:t>
      </w:r>
      <w:r w:rsidR="0052322D" w:rsidRPr="0052322D">
        <w:rPr>
          <w:rFonts w:cs="Times New Roman"/>
          <w:i/>
          <w:iCs/>
        </w:rPr>
        <w:t>τ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 is defined based on function </w:t>
      </w:r>
      <w:r w:rsidR="0052322D" w:rsidRPr="0052322D">
        <w:rPr>
          <w:rFonts w:cs="Times New Roman"/>
          <w:i/>
          <w:iCs/>
        </w:rPr>
        <w:t>ρ</w:t>
      </w:r>
      <w:r w:rsidR="0052322D">
        <w:rPr>
          <w:rFonts w:cs="Times New Roman"/>
        </w:rPr>
        <w:t xml:space="preserve"> such that </w:t>
      </w:r>
      <w:r w:rsidR="0052322D" w:rsidRPr="0052322D">
        <w:rPr>
          <w:rFonts w:cs="Times New Roman"/>
          <w:i/>
          <w:iCs/>
        </w:rPr>
        <w:t>τ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 = </w:t>
      </w:r>
      <w:r w:rsidR="0052322D" w:rsidRPr="0052322D">
        <w:rPr>
          <w:rFonts w:cs="Times New Roman"/>
          <w:i/>
          <w:iCs/>
        </w:rPr>
        <w:t>ρ</w:t>
      </w:r>
      <w:r w:rsidR="0052322D">
        <w:t>(</w:t>
      </w:r>
      <w:r w:rsidR="0052322D" w:rsidRPr="0052322D">
        <w:rPr>
          <w:i/>
          <w:iCs/>
        </w:rPr>
        <w:t>f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)) </w:t>
      </w:r>
      <w:r w:rsidR="0052322D">
        <w:rPr>
          <w:rFonts w:cs="Times New Roman"/>
        </w:rPr>
        <w:t xml:space="preserve">where </w:t>
      </w:r>
      <w:r w:rsidR="0052322D" w:rsidRPr="0052322D">
        <w:rPr>
          <w:rFonts w:cs="Times New Roman"/>
          <w:i/>
          <w:iCs/>
        </w:rPr>
        <w:t>ρ</w:t>
      </w:r>
      <w:r w:rsidR="0052322D">
        <w:rPr>
          <w:rFonts w:cs="Times New Roman"/>
        </w:rPr>
        <w:t xml:space="preserve"> is monotonically decreasing </w:t>
      </w:r>
      <w:r w:rsidR="0030576B">
        <w:rPr>
          <w:rFonts w:cs="Times New Roman"/>
        </w:rPr>
        <w:t xml:space="preserve">and </w:t>
      </w:r>
      <w:r w:rsidR="0030576B" w:rsidRPr="0052322D">
        <w:rPr>
          <w:rFonts w:cs="Times New Roman"/>
          <w:i/>
          <w:iCs/>
        </w:rPr>
        <w:t xml:space="preserve">ρ </w:t>
      </w:r>
      <w:r w:rsidR="0030576B">
        <w:rPr>
          <w:rFonts w:cs="Times New Roman"/>
        </w:rPr>
        <w:t xml:space="preserve">is positive, for instance, </w:t>
      </w:r>
      <w:r w:rsidR="0030576B" w:rsidRPr="0052322D">
        <w:rPr>
          <w:rFonts w:cs="Times New Roman"/>
          <w:i/>
          <w:iCs/>
        </w:rPr>
        <w:t>ρ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) &gt; 0 for all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belonging </w:t>
      </w:r>
      <w:r w:rsidR="00383499">
        <w:rPr>
          <w:rFonts w:cs="Times New Roman"/>
        </w:rPr>
        <w:t xml:space="preserve">to </w:t>
      </w:r>
      <w:r w:rsidR="0030576B">
        <w:rPr>
          <w:rFonts w:cs="Times New Roman"/>
        </w:rPr>
        <w:t xml:space="preserve">the domain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such that 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 = </w:t>
      </w:r>
      <w:r w:rsidR="0030576B" w:rsidRPr="0030576B">
        <w:rPr>
          <w:rFonts w:cs="Times New Roman"/>
          <w:i/>
          <w:iCs/>
        </w:rPr>
        <w:t>f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>)</w:t>
      </w:r>
      <w:r w:rsidR="00E06FD6">
        <w:rPr>
          <w:rFonts w:cs="Times New Roman"/>
        </w:rPr>
        <w:t>”.</w:t>
      </w:r>
      <w:r w:rsidR="006E1B8C">
        <w:rPr>
          <w:rFonts w:cs="Times New Roman"/>
        </w:rPr>
        <w:t xml:space="preserve"> </w:t>
      </w:r>
      <w:r w:rsidR="00631B03">
        <w:t>However, it is not necessary to strictly defin</w:t>
      </w:r>
      <w:r w:rsidR="00533C52">
        <w:t>e</w:t>
      </w:r>
      <w:r w:rsidR="00631B03">
        <w:t xml:space="preserve"> </w:t>
      </w:r>
      <w:r w:rsidR="00533C52" w:rsidRPr="0052322D">
        <w:rPr>
          <w:rFonts w:cs="Times New Roman"/>
          <w:i/>
          <w:iCs/>
        </w:rPr>
        <w:t>τ</w:t>
      </w:r>
      <w:r w:rsidR="00533C52">
        <w:t>(</w:t>
      </w:r>
      <w:r w:rsidR="00533C52" w:rsidRPr="0052322D">
        <w:rPr>
          <w:i/>
          <w:iCs/>
        </w:rPr>
        <w:t>x</w:t>
      </w:r>
      <w:r w:rsidR="00533C52">
        <w:t xml:space="preserve">) based on </w:t>
      </w:r>
      <w:r w:rsidR="00533C52" w:rsidRPr="0052322D">
        <w:rPr>
          <w:rFonts w:cs="Times New Roman"/>
          <w:i/>
          <w:iCs/>
        </w:rPr>
        <w:t>ρ</w:t>
      </w:r>
      <w:r w:rsidR="00533C52">
        <w:rPr>
          <w:rFonts w:cs="Times New Roman"/>
        </w:rPr>
        <w:t xml:space="preserve"> and </w:t>
      </w:r>
      <w:r w:rsidR="00533C52" w:rsidRPr="00533C52">
        <w:rPr>
          <w:rFonts w:cs="Times New Roman"/>
          <w:i/>
          <w:iCs/>
        </w:rPr>
        <w:t>f</w:t>
      </w:r>
      <w:r w:rsidR="00533C52">
        <w:rPr>
          <w:rFonts w:cs="Times New Roman"/>
        </w:rPr>
        <w:t>(</w:t>
      </w:r>
      <w:r w:rsidR="00533C52" w:rsidRPr="00533C52">
        <w:rPr>
          <w:rFonts w:cs="Times New Roman"/>
          <w:i/>
          <w:iCs/>
        </w:rPr>
        <w:t>x</w:t>
      </w:r>
      <w:r w:rsidR="00533C52">
        <w:rPr>
          <w:rFonts w:cs="Times New Roman"/>
        </w:rPr>
        <w:t>)</w:t>
      </w:r>
      <w:r w:rsidR="00530A47">
        <w:rPr>
          <w:rFonts w:cs="Times New Roman"/>
        </w:rPr>
        <w:t xml:space="preserve"> for convergence</w:t>
      </w:r>
      <w:r w:rsidR="00533C52">
        <w:rPr>
          <w:rFonts w:cs="Times New Roman"/>
        </w:rPr>
        <w:t>.</w:t>
      </w:r>
      <w:r w:rsidR="00530A47">
        <w:rPr>
          <w:rFonts w:cs="Times New Roman"/>
        </w:rPr>
        <w:t xml:space="preserve"> </w:t>
      </w:r>
      <w:r w:rsidR="00B305E4">
        <w:rPr>
          <w:rFonts w:cs="Times New Roman"/>
        </w:rPr>
        <w:t>Following the proof</w:t>
      </w:r>
      <w:r w:rsidR="00B022AD">
        <w:rPr>
          <w:rFonts w:cs="Times New Roman"/>
        </w:rPr>
        <w:t>s</w:t>
      </w:r>
      <w:r w:rsidR="00B305E4">
        <w:rPr>
          <w:rFonts w:cs="Times New Roman"/>
        </w:rPr>
        <w:t xml:space="preserve"> of theorem 1 </w:t>
      </w:r>
      <w:r w:rsidR="006F5210">
        <w:rPr>
          <w:rFonts w:cs="Times New Roman"/>
        </w:rPr>
        <w:t>by Luo</w:t>
      </w:r>
      <w:r w:rsidR="00B305E4">
        <w:rPr>
          <w:rFonts w:cs="Times New Roman"/>
        </w:rPr>
        <w:t xml:space="preserve"> </w:t>
      </w:r>
      <w:sdt>
        <w:sdtPr>
          <w:rPr>
            <w:rFonts w:cs="Times New Roman"/>
          </w:rPr>
          <w:id w:val="-1528094764"/>
          <w:citation/>
        </w:sdtPr>
        <w:sdtContent>
          <w:r w:rsidR="00B305E4">
            <w:rPr>
              <w:rFonts w:cs="Times New Roman"/>
            </w:rPr>
            <w:fldChar w:fldCharType="begin"/>
          </w:r>
          <w:r w:rsidR="00B305E4">
            <w:rPr>
              <w:rFonts w:cs="Times New Roman"/>
            </w:rPr>
            <w:instrText xml:space="preserve">CITATION Luo19Minima \p 7 \l 1033 </w:instrText>
          </w:r>
          <w:r w:rsidR="00B305E4">
            <w:rPr>
              <w:rFonts w:cs="Times New Roman"/>
            </w:rPr>
            <w:fldChar w:fldCharType="separate"/>
          </w:r>
          <w:r w:rsidR="00B305E4" w:rsidRPr="00B305E4">
            <w:rPr>
              <w:rFonts w:cs="Times New Roman"/>
              <w:noProof/>
            </w:rPr>
            <w:t>(Luo, 2019, p. 7)</w:t>
          </w:r>
          <w:r w:rsidR="00B305E4">
            <w:rPr>
              <w:rFonts w:cs="Times New Roman"/>
            </w:rPr>
            <w:fldChar w:fldCharType="end"/>
          </w:r>
        </w:sdtContent>
      </w:sdt>
      <w:r w:rsidR="00B305E4">
        <w:rPr>
          <w:rFonts w:cs="Times New Roman"/>
        </w:rPr>
        <w:t>, a</w:t>
      </w:r>
      <w:r w:rsidR="00530A47">
        <w:rPr>
          <w:rFonts w:cs="Times New Roman"/>
        </w:rPr>
        <w:t xml:space="preserve"> </w:t>
      </w:r>
      <w:r w:rsidR="00530A47" w:rsidRPr="00A76686">
        <w:rPr>
          <w:rFonts w:cs="Times New Roman"/>
          <w:i/>
          <w:iCs/>
        </w:rPr>
        <w:t xml:space="preserve">weak </w:t>
      </w:r>
      <w:r w:rsidR="005D1BE7" w:rsidRPr="00A76686">
        <w:rPr>
          <w:rFonts w:cs="Times New Roman"/>
          <w:i/>
          <w:iCs/>
        </w:rPr>
        <w:t xml:space="preserve">convergence </w:t>
      </w:r>
      <w:r w:rsidR="00530A47" w:rsidRPr="00A76686">
        <w:rPr>
          <w:rFonts w:cs="Times New Roman"/>
          <w:i/>
          <w:iCs/>
        </w:rPr>
        <w:t>condition</w:t>
      </w:r>
      <w:r w:rsidR="00530A47">
        <w:rPr>
          <w:rFonts w:cs="Times New Roman"/>
        </w:rPr>
        <w:t xml:space="preserve"> is </w:t>
      </w:r>
      <w:r w:rsidR="002A2137">
        <w:rPr>
          <w:rFonts w:cs="Times New Roman"/>
        </w:rPr>
        <w:t>drawn</w:t>
      </w:r>
      <w:r w:rsidR="00B305E4">
        <w:rPr>
          <w:rFonts w:cs="Times New Roman"/>
        </w:rPr>
        <w:t xml:space="preserve"> </w:t>
      </w:r>
      <w:r w:rsidR="007A66D2">
        <w:rPr>
          <w:rFonts w:cs="Times New Roman"/>
        </w:rPr>
        <w:t>with two following requirements</w:t>
      </w:r>
      <w:r w:rsidR="002A2137">
        <w:rPr>
          <w:rFonts w:cs="Times New Roman"/>
        </w:rPr>
        <w:t>:</w:t>
      </w:r>
    </w:p>
    <w:p w14:paraId="63BE6350" w14:textId="725B11F4" w:rsidR="007626C6" w:rsidRPr="007626C6" w:rsidRDefault="00294792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>F</w:t>
      </w:r>
      <w:r w:rsidR="002A2137">
        <w:rPr>
          <w:rFonts w:cs="Times New Roman"/>
        </w:rPr>
        <w:t xml:space="preserve">unction </w:t>
      </w:r>
      <w:r w:rsidR="00530A47" w:rsidRPr="002A2137">
        <w:rPr>
          <w:rFonts w:cs="Times New Roman"/>
          <w:i/>
          <w:iCs/>
        </w:rPr>
        <w:t>τ</w:t>
      </w:r>
      <w:r w:rsidR="00530A47" w:rsidRPr="006F2AA4">
        <w:t>(</w:t>
      </w:r>
      <w:r w:rsidR="00530A47" w:rsidRPr="002A2137">
        <w:rPr>
          <w:i/>
          <w:iCs/>
        </w:rPr>
        <w:t>x</w:t>
      </w:r>
      <w:r w:rsidR="00530A47" w:rsidRPr="006F2AA4">
        <w:t>)</w:t>
      </w:r>
      <w:r w:rsidR="00530A47" w:rsidRPr="002A2137">
        <w:rPr>
          <w:i/>
          <w:iCs/>
        </w:rPr>
        <w:t xml:space="preserve"> </w:t>
      </w:r>
      <w:r w:rsidR="00530A47" w:rsidRPr="00A76686">
        <w:t>is positive</w:t>
      </w:r>
      <w:r w:rsidR="00530A47">
        <w:t xml:space="preserve"> for all </w:t>
      </w:r>
      <w:r w:rsidR="00530A47" w:rsidRPr="002A2137">
        <w:rPr>
          <w:i/>
          <w:iCs/>
        </w:rPr>
        <w:t>x</w:t>
      </w:r>
      <w:r w:rsidR="00530A47">
        <w:t xml:space="preserve"> belonging to domain </w:t>
      </w:r>
      <w:r w:rsidR="00530A47" w:rsidRPr="002A2137">
        <w:rPr>
          <w:i/>
          <w:iCs/>
        </w:rPr>
        <w:t>X</w:t>
      </w:r>
      <w:r w:rsidR="00A95062">
        <w:t>.</w:t>
      </w:r>
      <w:r w:rsidR="00FB34C5" w:rsidRPr="00FB34C5">
        <w:t xml:space="preserve"> </w:t>
      </w:r>
      <w:r w:rsidR="00FB34C5">
        <w:t xml:space="preserve">This requirement of positiveness can be understood that 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only </w:t>
      </w:r>
      <w:r w:rsidR="00A60FA6">
        <w:t xml:space="preserve">necessary to be </w:t>
      </w:r>
      <w:r w:rsidR="00FB34C5">
        <w:t xml:space="preserve">nonzero because 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positive if –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negative and nonzero, and vice versa</w:t>
      </w:r>
      <w:r w:rsidR="007A66D2">
        <w:t>.</w:t>
      </w:r>
    </w:p>
    <w:p w14:paraId="567D8099" w14:textId="6F38CB65" w:rsidR="002A2137" w:rsidRDefault="00F442C1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Given </w:t>
      </w:r>
      <w:r w:rsidR="00873E24">
        <w:t xml:space="preserve">any </w:t>
      </w:r>
      <w:r w:rsidR="00873E24" w:rsidRPr="002A2137">
        <w:rPr>
          <w:i/>
          <w:iCs/>
        </w:rPr>
        <w:t>x</w:t>
      </w:r>
      <w:r w:rsidR="00873E24">
        <w:t xml:space="preserve"> </w:t>
      </w:r>
      <w:r>
        <w:t xml:space="preserve">which is not a </w:t>
      </w:r>
      <w:r w:rsidR="00C714A6">
        <w:t>minimizer</w:t>
      </w:r>
      <w:r>
        <w:t xml:space="preserve"> of </w:t>
      </w:r>
      <w:r w:rsidRPr="00F442C1">
        <w:rPr>
          <w:i/>
          <w:iCs/>
        </w:rPr>
        <w:t>f</w:t>
      </w:r>
      <w:r>
        <w:t>(</w:t>
      </w:r>
      <w:r w:rsidRPr="00F442C1">
        <w:rPr>
          <w:i/>
          <w:iCs/>
        </w:rPr>
        <w:t>x</w:t>
      </w:r>
      <w:r>
        <w:t>)</w:t>
      </w:r>
      <w:r w:rsidR="00E62021">
        <w:t xml:space="preserve">, there always exists an open </w:t>
      </w:r>
      <w:r w:rsidR="002A2137">
        <w:t>set</w:t>
      </w:r>
      <w:r w:rsidR="00873E24">
        <w:t xml:space="preserve"> </w:t>
      </w:r>
      <w:r>
        <w:t xml:space="preserve">having nonzero Lebesgue measure such that </w:t>
      </w:r>
      <w:r w:rsidR="008C408C" w:rsidRPr="008C408C">
        <w:rPr>
          <w:rFonts w:cs="Times New Roman"/>
          <w:i/>
          <w:iCs/>
        </w:rPr>
        <w:t>τ</w:t>
      </w:r>
      <w:r w:rsidR="008C408C">
        <w:t>(</w:t>
      </w:r>
      <w:r w:rsidR="008C408C" w:rsidRPr="008C408C">
        <w:rPr>
          <w:i/>
          <w:iCs/>
        </w:rPr>
        <w:t>t</w:t>
      </w:r>
      <w:r w:rsidR="008C408C">
        <w:t xml:space="preserve">) &gt; </w:t>
      </w:r>
      <w:r w:rsidR="008C408C" w:rsidRPr="006F2AA4">
        <w:rPr>
          <w:rFonts w:cs="Times New Roman"/>
          <w:i/>
          <w:iCs/>
        </w:rPr>
        <w:t>τ</w:t>
      </w:r>
      <w:r w:rsidR="008C408C">
        <w:rPr>
          <w:rFonts w:cs="Times New Roman"/>
        </w:rPr>
        <w:t>(</w:t>
      </w:r>
      <w:r w:rsidR="008C408C" w:rsidRPr="008C408C">
        <w:rPr>
          <w:rFonts w:cs="Times New Roman"/>
          <w:i/>
          <w:iCs/>
        </w:rPr>
        <w:t>x</w:t>
      </w:r>
      <w:r w:rsidR="008C408C">
        <w:rPr>
          <w:rFonts w:cs="Times New Roman"/>
        </w:rPr>
        <w:t xml:space="preserve">) for all </w:t>
      </w:r>
      <w:r w:rsidR="008C408C" w:rsidRPr="002A5288">
        <w:rPr>
          <w:rFonts w:cs="Times New Roman"/>
          <w:i/>
          <w:iCs/>
        </w:rPr>
        <w:t>t</w:t>
      </w:r>
      <w:r w:rsidR="008C408C">
        <w:rPr>
          <w:rFonts w:cs="Times New Roman"/>
        </w:rPr>
        <w:t xml:space="preserve"> belonging to this open set</w:t>
      </w:r>
      <w:r w:rsidR="00E63BDE">
        <w:t>.</w:t>
      </w:r>
      <w:r w:rsidR="00B33F02">
        <w:t xml:space="preserve"> This requirement asserts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=0,∀x∉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60FA6">
        <w:t xml:space="preserve"> given positive </w:t>
      </w:r>
      <w:r w:rsidR="00A60FA6" w:rsidRPr="00A60FA6">
        <w:rPr>
          <w:rFonts w:cs="Times New Roman"/>
          <w:i/>
          <w:iCs/>
        </w:rPr>
        <w:t>τ</w:t>
      </w:r>
      <w:r w:rsidR="00A60FA6">
        <w:t>(</w:t>
      </w:r>
      <w:r w:rsidR="00A60FA6" w:rsidRPr="00A60FA6">
        <w:rPr>
          <w:i/>
          <w:iCs/>
        </w:rPr>
        <w:t>x</w:t>
      </w:r>
      <w:r w:rsidR="00A60FA6">
        <w:t>).</w:t>
      </w:r>
    </w:p>
    <w:p w14:paraId="684B6FE9" w14:textId="2C34703C" w:rsidR="002A5288" w:rsidRDefault="00E2241B" w:rsidP="002A2137">
      <w:r>
        <w:t>The convergence property with t</w:t>
      </w:r>
      <w:r w:rsidR="00E63BDE">
        <w:t xml:space="preserve">his condition </w:t>
      </w:r>
      <w:r w:rsidR="00530A47">
        <w:t xml:space="preserve">is easily proved by </w:t>
      </w:r>
      <w:r w:rsidR="00CC0A97">
        <w:t xml:space="preserve">similar </w:t>
      </w:r>
      <w:r w:rsidR="00530A47">
        <w:t xml:space="preserve">proofs </w:t>
      </w:r>
      <w:r w:rsidR="00803E67">
        <w:t xml:space="preserve">of theorem 1 </w:t>
      </w:r>
      <w:r w:rsidR="002E795D">
        <w:t>(vi, vii) and theorem 2</w:t>
      </w:r>
      <w:r w:rsidR="00F81AD3">
        <w:t xml:space="preserve"> </w:t>
      </w:r>
      <w:sdt>
        <w:sdtPr>
          <w:id w:val="1750384410"/>
          <w:citation/>
        </w:sdtPr>
        <w:sdtContent>
          <w:r w:rsidR="00F81AD3">
            <w:fldChar w:fldCharType="begin"/>
          </w:r>
          <w:r w:rsidR="00F81AD3">
            <w:instrText xml:space="preserve">CITATION Luo19Minima \p 7-8 \l 1033 </w:instrText>
          </w:r>
          <w:r w:rsidR="00F81AD3">
            <w:fldChar w:fldCharType="separate"/>
          </w:r>
          <w:r w:rsidR="00F81AD3">
            <w:rPr>
              <w:noProof/>
            </w:rPr>
            <w:t>(Luo, 2019, pp. 7-8)</w:t>
          </w:r>
          <w:r w:rsidR="00F81AD3">
            <w:fldChar w:fldCharType="end"/>
          </w:r>
        </w:sdtContent>
      </w:sdt>
      <w:r w:rsidR="002E795D">
        <w:t>.</w:t>
      </w:r>
      <w:r w:rsidR="00DF58A7">
        <w:t xml:space="preserve"> </w:t>
      </w:r>
      <w:r w:rsidR="00B95DAA">
        <w:t xml:space="preserve">Of course, if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>) is defined as</w:t>
      </w:r>
      <w:r w:rsidR="00B95DAA" w:rsidRPr="002A2137">
        <w:rPr>
          <w:rFonts w:cs="Times New Roman"/>
        </w:rPr>
        <w:t xml:space="preserve">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 = </w:t>
      </w:r>
      <w:r w:rsidR="00B95DAA" w:rsidRPr="002A2137">
        <w:rPr>
          <w:rFonts w:cs="Times New Roman"/>
          <w:i/>
          <w:iCs/>
        </w:rPr>
        <w:t>ρ</w:t>
      </w:r>
      <w:r w:rsidR="00B95DAA">
        <w:t>(</w:t>
      </w:r>
      <w:r w:rsidR="00B95DAA" w:rsidRPr="002A2137">
        <w:rPr>
          <w:i/>
          <w:iCs/>
        </w:rPr>
        <w:t>f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)) </w:t>
      </w:r>
      <w:r w:rsidR="00B95DAA" w:rsidRPr="002A2137">
        <w:rPr>
          <w:rFonts w:cs="Times New Roman"/>
        </w:rPr>
        <w:t xml:space="preserve">where </w:t>
      </w:r>
      <w:r w:rsidR="00B95DAA" w:rsidRPr="002A2137">
        <w:rPr>
          <w:rFonts w:cs="Times New Roman"/>
          <w:i/>
          <w:iCs/>
        </w:rPr>
        <w:t>ρ</w:t>
      </w:r>
      <w:r w:rsidR="00B95DAA" w:rsidRPr="002A2137">
        <w:rPr>
          <w:rFonts w:cs="Times New Roman"/>
        </w:rPr>
        <w:t xml:space="preserve"> is monotonically decreasing and </w:t>
      </w:r>
      <w:r w:rsidR="00B95DAA" w:rsidRPr="002A2137">
        <w:rPr>
          <w:rFonts w:cs="Times New Roman"/>
          <w:i/>
          <w:iCs/>
        </w:rPr>
        <w:t xml:space="preserve">ρ </w:t>
      </w:r>
      <w:r w:rsidR="00B95DAA" w:rsidRPr="002A2137">
        <w:rPr>
          <w:rFonts w:cs="Times New Roman"/>
        </w:rPr>
        <w:t>is positive, the weak convergence condition is satisfied</w:t>
      </w:r>
      <w:r w:rsidR="00B95DAA">
        <w:t>.</w:t>
      </w:r>
      <w:r w:rsidR="00F91B00">
        <w:t xml:space="preserve"> This condition is useful in </w:t>
      </w:r>
      <w:r w:rsidR="00D46B1B">
        <w:t xml:space="preserve">practical </w:t>
      </w:r>
      <w:r w:rsidR="00F91B00">
        <w:t xml:space="preserve">cases that </w:t>
      </w:r>
      <w:r w:rsidR="00F91B00" w:rsidRPr="002A2137">
        <w:rPr>
          <w:rFonts w:cs="Times New Roman"/>
          <w:i/>
          <w:iCs/>
        </w:rPr>
        <w:t>τ</w:t>
      </w:r>
      <w:r w:rsidR="00F91B00">
        <w:t>(</w:t>
      </w:r>
      <w:r w:rsidR="00F91B00" w:rsidRPr="002A2137">
        <w:rPr>
          <w:i/>
          <w:iCs/>
        </w:rPr>
        <w:t>x</w:t>
      </w:r>
      <w:r w:rsidR="00F91B00">
        <w:t xml:space="preserve">) is defined as a </w:t>
      </w:r>
      <w:r w:rsidR="004D6B59">
        <w:t xml:space="preserve">nonconstant, </w:t>
      </w:r>
      <w:r w:rsidR="00F91B00">
        <w:t>positive</w:t>
      </w:r>
      <w:r w:rsidR="004D6B59">
        <w:t xml:space="preserve">, and </w:t>
      </w:r>
      <w:r w:rsidR="00C714A6">
        <w:t xml:space="preserve">differentiable </w:t>
      </w:r>
      <w:r w:rsidR="00F91B00">
        <w:t>function</w:t>
      </w:r>
      <w:r w:rsidR="004D6B59">
        <w:t xml:space="preserve"> </w:t>
      </w:r>
      <w:r w:rsidR="008A2FBD">
        <w:t>such</w:t>
      </w:r>
      <w:r w:rsidR="00EC00E5">
        <w:t xml:space="preserve"> that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,∀x∈X</m:t>
        </m:r>
      </m:oMath>
      <w:r w:rsidR="004D6B59">
        <w:t xml:space="preserve"> </w:t>
      </w:r>
      <w:r w:rsidR="00F56D75">
        <w:t xml:space="preserve">or </w:t>
      </w:r>
      <w:r w:rsidR="00F56D75" w:rsidRPr="002A2137">
        <w:rPr>
          <w:rFonts w:cs="Times New Roman"/>
          <w:i/>
          <w:iCs/>
        </w:rPr>
        <w:t>τ</w:t>
      </w:r>
      <w:r w:rsidR="00F56D75">
        <w:t>(</w:t>
      </w:r>
      <w:r w:rsidR="00F56D75" w:rsidRPr="002A2137">
        <w:rPr>
          <w:i/>
          <w:iCs/>
        </w:rPr>
        <w:t>x</w:t>
      </w:r>
      <w:r w:rsidR="00F56D75">
        <w:t xml:space="preserve">) </w:t>
      </w:r>
      <w:r w:rsidR="004D6B59">
        <w:t xml:space="preserve">has no </w:t>
      </w:r>
      <w:r w:rsidR="0007550A">
        <w:t>actual</w:t>
      </w:r>
      <w:r w:rsidR="004D6B59">
        <w:t xml:space="preserve"> minimizer</w:t>
      </w:r>
      <w:r w:rsidR="0007550A">
        <w:t xml:space="preserve"> with note that some infima </w:t>
      </w:r>
      <w:r w:rsidR="00607B69">
        <w:t>may</w:t>
      </w:r>
      <w:r w:rsidR="0007550A">
        <w:t xml:space="preserve"> not </w:t>
      </w:r>
      <w:r w:rsidR="00607B69">
        <w:t xml:space="preserve">be </w:t>
      </w:r>
      <w:r w:rsidR="00C6165F">
        <w:t xml:space="preserve">actual </w:t>
      </w:r>
      <w:r w:rsidR="0007550A">
        <w:t>minima</w:t>
      </w:r>
      <w:r w:rsidR="00792CBC">
        <w:t xml:space="preserve">, for example, </w:t>
      </w:r>
      <w:r w:rsidR="0035223D" w:rsidRPr="002A2137">
        <w:rPr>
          <w:rFonts w:cs="Times New Roman"/>
          <w:i/>
          <w:iCs/>
        </w:rPr>
        <w:t>τ</w:t>
      </w:r>
      <w:r w:rsidR="0035223D">
        <w:t>(</w:t>
      </w:r>
      <w:r w:rsidR="0035223D" w:rsidRPr="002A2137">
        <w:rPr>
          <w:i/>
          <w:iCs/>
        </w:rPr>
        <w:t>x</w:t>
      </w:r>
      <w:r w:rsidR="0035223D">
        <w:t>) = exp(–</w:t>
      </w:r>
      <w:r w:rsidR="0035223D">
        <w:rPr>
          <w:i/>
          <w:iCs/>
        </w:rPr>
        <w:t>x</w:t>
      </w:r>
      <w:r w:rsidR="0035223D">
        <w:t xml:space="preserve">), </w:t>
      </w:r>
      <w:r w:rsidR="00792CBC" w:rsidRPr="002A2137">
        <w:rPr>
          <w:rFonts w:cs="Times New Roman"/>
          <w:i/>
          <w:iCs/>
        </w:rPr>
        <w:t>τ</w:t>
      </w:r>
      <w:r w:rsidR="00792CBC">
        <w:t>(</w:t>
      </w:r>
      <w:r w:rsidR="00792CBC" w:rsidRPr="002A2137">
        <w:rPr>
          <w:i/>
          <w:iCs/>
        </w:rPr>
        <w:t>x</w:t>
      </w:r>
      <w:r w:rsidR="00792CBC">
        <w:t>) = exp(–</w:t>
      </w:r>
      <w:r w:rsidR="00792CBC" w:rsidRPr="00792CBC">
        <w:rPr>
          <w:i/>
          <w:iCs/>
        </w:rPr>
        <w:t>x</w:t>
      </w:r>
      <w:r w:rsidR="00792CBC" w:rsidRPr="00792CBC">
        <w:rPr>
          <w:vertAlign w:val="superscript"/>
        </w:rPr>
        <w:t>2</w:t>
      </w:r>
      <w:r w:rsidR="00792CBC">
        <w:t>)</w:t>
      </w:r>
      <w:r w:rsidR="0035223D">
        <w:t xml:space="preserve">, </w:t>
      </w:r>
      <w:r w:rsidR="0006698C" w:rsidRPr="002A2137">
        <w:rPr>
          <w:rFonts w:cs="Times New Roman"/>
          <w:i/>
          <w:iCs/>
        </w:rPr>
        <w:t>τ</w:t>
      </w:r>
      <w:r w:rsidR="0006698C">
        <w:t>(</w:t>
      </w:r>
      <w:r w:rsidR="0006698C" w:rsidRPr="002A2137">
        <w:rPr>
          <w:i/>
          <w:iCs/>
        </w:rPr>
        <w:t>x</w:t>
      </w:r>
      <w:r w:rsidR="0006698C">
        <w:t>) = exp(</w:t>
      </w:r>
      <w:r w:rsidR="0006698C" w:rsidRPr="0006698C">
        <w:rPr>
          <w:i/>
          <w:iCs/>
        </w:rPr>
        <w:t>x</w:t>
      </w:r>
      <w:r w:rsidR="0006698C">
        <w:t>)</w:t>
      </w:r>
      <w:r w:rsidR="007F36D9">
        <w:t xml:space="preserve">, </w:t>
      </w:r>
      <w:r w:rsidR="0035223D">
        <w:t>etc.</w:t>
      </w:r>
      <w:r w:rsidR="00C714A6">
        <w:t xml:space="preserve"> </w:t>
      </w:r>
      <w:r w:rsidR="008F1BE9">
        <w:t>Therefore</w:t>
      </w:r>
      <w:r w:rsidR="00C714A6">
        <w:t xml:space="preserve">, if positive function </w:t>
      </w:r>
      <w:r w:rsidR="00C714A6" w:rsidRPr="002A2137">
        <w:rPr>
          <w:rFonts w:cs="Times New Roman"/>
          <w:i/>
          <w:iCs/>
        </w:rPr>
        <w:t>τ</w:t>
      </w:r>
      <w:r w:rsidR="00C714A6">
        <w:t>(</w:t>
      </w:r>
      <w:r w:rsidR="00C714A6" w:rsidRPr="002A2137">
        <w:rPr>
          <w:i/>
          <w:iCs/>
        </w:rPr>
        <w:t>x</w:t>
      </w:r>
      <w:r w:rsidR="00C714A6">
        <w:t xml:space="preserve">) is </w:t>
      </w:r>
      <w:r w:rsidR="00C94783">
        <w:t>continuous</w:t>
      </w:r>
      <w:r w:rsidR="00C714A6">
        <w:t xml:space="preserve">, the </w:t>
      </w:r>
      <w:r w:rsidR="00C714A6" w:rsidRPr="00C714A6">
        <w:rPr>
          <w:rFonts w:cs="Times New Roman"/>
        </w:rPr>
        <w:t>weak convergence condition</w:t>
      </w:r>
      <w:r w:rsidR="00C714A6">
        <w:rPr>
          <w:rFonts w:cs="Times New Roman"/>
        </w:rPr>
        <w:t xml:space="preserve"> only requires that </w:t>
      </w:r>
      <w:r w:rsidR="00C714A6">
        <w:t xml:space="preserve">any </w:t>
      </w:r>
      <w:r w:rsidR="00C714A6" w:rsidRPr="002A2137">
        <w:rPr>
          <w:i/>
          <w:iCs/>
        </w:rPr>
        <w:t>x</w:t>
      </w:r>
      <w:r w:rsidR="00C714A6">
        <w:t xml:space="preserve"> which is not a minimizer of </w:t>
      </w:r>
      <w:r w:rsidR="00C714A6" w:rsidRPr="00F442C1">
        <w:rPr>
          <w:i/>
          <w:iCs/>
        </w:rPr>
        <w:t>f</w:t>
      </w:r>
      <w:r w:rsidR="00C714A6">
        <w:t>(</w:t>
      </w:r>
      <w:r w:rsidR="00C714A6" w:rsidRPr="00F442C1">
        <w:rPr>
          <w:i/>
          <w:iCs/>
        </w:rPr>
        <w:t>x</w:t>
      </w:r>
      <w:r w:rsidR="00C714A6">
        <w:t xml:space="preserve">) is not a minimizer of </w:t>
      </w:r>
      <w:r w:rsidR="00C714A6" w:rsidRPr="002A2137">
        <w:rPr>
          <w:rFonts w:cs="Times New Roman"/>
          <w:i/>
          <w:iCs/>
        </w:rPr>
        <w:t>τ</w:t>
      </w:r>
      <w:r w:rsidR="00C714A6">
        <w:t>(</w:t>
      </w:r>
      <w:r w:rsidR="00C714A6" w:rsidRPr="002A2137">
        <w:rPr>
          <w:i/>
          <w:iCs/>
        </w:rPr>
        <w:t>x</w:t>
      </w:r>
      <w:r w:rsidR="00C714A6">
        <w:t>)</w:t>
      </w:r>
      <w:r w:rsidR="00A546F7">
        <w:t xml:space="preserve"> too</w:t>
      </w:r>
      <w:r w:rsidR="00815DDD">
        <w:t>.</w:t>
      </w:r>
    </w:p>
    <w:p w14:paraId="6882E042" w14:textId="3C99F0E1" w:rsidR="00737A40" w:rsidRDefault="00DF58A7" w:rsidP="002A5288">
      <w:pPr>
        <w:ind w:firstLine="360"/>
      </w:pPr>
      <w:r>
        <w:t xml:space="preserve">Within the weak convergence condition, theorem 3 for nonnegativity </w:t>
      </w:r>
      <w:sdt>
        <w:sdtPr>
          <w:id w:val="1883668710"/>
          <w:citation/>
        </w:sdtPr>
        <w:sdtContent>
          <w:r>
            <w:fldChar w:fldCharType="begin"/>
          </w:r>
          <w:r>
            <w:instrText xml:space="preserve">CITATION Luo19Minima \p 8 \l 1033 </w:instrText>
          </w:r>
          <w:r>
            <w:fldChar w:fldCharType="separate"/>
          </w:r>
          <w:r>
            <w:rPr>
              <w:noProof/>
            </w:rPr>
            <w:t>(Luo, 2019, p. 8)</w:t>
          </w:r>
          <w:r>
            <w:fldChar w:fldCharType="end"/>
          </w:r>
        </w:sdtContent>
      </w:sdt>
      <w:r>
        <w:t xml:space="preserve"> is </w:t>
      </w:r>
      <w:r w:rsidR="00A41439">
        <w:t xml:space="preserve">still </w:t>
      </w:r>
      <w:r>
        <w:t>obtained</w:t>
      </w:r>
      <w:r w:rsidR="00F4474B">
        <w:t xml:space="preserve"> because </w:t>
      </w:r>
      <w:r w:rsidR="00F4474B" w:rsidRPr="002A2137">
        <w:rPr>
          <w:rFonts w:cs="Times New Roman"/>
          <w:i/>
          <w:iCs/>
        </w:rPr>
        <w:t>τ</w:t>
      </w:r>
      <w:r w:rsidR="00F4474B" w:rsidRPr="006F2AA4">
        <w:t>(</w:t>
      </w:r>
      <w:r w:rsidR="00F4474B" w:rsidRPr="002A2137">
        <w:rPr>
          <w:i/>
          <w:iCs/>
        </w:rPr>
        <w:t>x</w:t>
      </w:r>
      <w:r w:rsidR="00F4474B" w:rsidRPr="006F2AA4">
        <w:t>)</w:t>
      </w:r>
      <w:r w:rsidR="00F4474B" w:rsidRPr="002A2137">
        <w:rPr>
          <w:i/>
          <w:iCs/>
        </w:rPr>
        <w:t xml:space="preserve"> </w:t>
      </w:r>
      <w:r w:rsidR="00F4474B">
        <w:t>is positive.</w:t>
      </w:r>
    </w:p>
    <w:p w14:paraId="27FF8D7A" w14:textId="3EF1FB1A" w:rsidR="00DF58A7" w:rsidRPr="00533C52" w:rsidRDefault="00000000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29EF95C" w14:textId="6282DFD0" w:rsidR="00770C6A" w:rsidRDefault="00217E9C" w:rsidP="00770C6A">
      <w:r>
        <w:t xml:space="preserve">Monotonicity can be achieved if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</w:t>
      </w:r>
      <w:r w:rsidR="00C534DE">
        <w:t xml:space="preserve">with regard to </w:t>
      </w:r>
      <w:r w:rsidR="00C534DE" w:rsidRPr="00C534DE">
        <w:rPr>
          <w:i/>
          <w:iCs/>
        </w:rPr>
        <w:t>k</w:t>
      </w:r>
      <w:r w:rsidR="00C534DE">
        <w:t xml:space="preserve"> </w:t>
      </w:r>
      <w:r>
        <w:t>is greater than or equal to 0.</w:t>
      </w:r>
      <w:r w:rsidR="00770C6A" w:rsidRPr="00770C6A">
        <w:t xml:space="preserve"> </w:t>
      </w:r>
      <w:r w:rsidR="00770C6A">
        <w:t xml:space="preserve">Suppose </w:t>
      </w:r>
      <w:r w:rsidR="00770C6A">
        <w:rPr>
          <w:i/>
          <w:iCs/>
        </w:rPr>
        <w:t>m</w:t>
      </w:r>
      <w:r w:rsidR="00770C6A" w:rsidRPr="00770C6A">
        <w:rPr>
          <w:vertAlign w:val="superscript"/>
        </w:rPr>
        <w:t>(</w:t>
      </w:r>
      <w:r w:rsidR="00770C6A" w:rsidRPr="00770C6A">
        <w:rPr>
          <w:i/>
          <w:iCs/>
          <w:vertAlign w:val="superscript"/>
        </w:rPr>
        <w:t>k</w:t>
      </w:r>
      <w:r w:rsidR="00770C6A" w:rsidRPr="00770C6A">
        <w:rPr>
          <w:vertAlign w:val="superscript"/>
        </w:rPr>
        <w:t>)</w:t>
      </w:r>
      <w:r w:rsidR="00770C6A">
        <w:t>(</w:t>
      </w:r>
      <w:r w:rsidR="00770C6A" w:rsidRPr="00DD4523">
        <w:rPr>
          <w:i/>
          <w:iCs/>
        </w:rPr>
        <w:t>x</w:t>
      </w:r>
      <w:r w:rsidR="00770C6A">
        <w:t xml:space="preserve">) </w:t>
      </w:r>
      <w:r w:rsidR="00C534DE">
        <w:t>is</w:t>
      </w:r>
      <w:r w:rsidR="00770C6A">
        <w:t xml:space="preserve"> differentiable, we have</w:t>
      </w:r>
      <w:r w:rsidR="00635AFD">
        <w:t>:</w:t>
      </w:r>
    </w:p>
    <w:p w14:paraId="37D12839" w14:textId="35917E34" w:rsidR="00770C6A" w:rsidRDefault="00000000" w:rsidP="00770C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5241C1" w14:textId="592B4103" w:rsidR="00631B03" w:rsidRDefault="00614464" w:rsidP="00E07C94">
      <w:r>
        <w:t xml:space="preserve">Suppose </w:t>
      </w:r>
      <w:r w:rsidR="00B61800">
        <w:t xml:space="preserve">positive function </w:t>
      </w:r>
      <w:r w:rsidR="008432B5" w:rsidRPr="0052322D">
        <w:rPr>
          <w:rFonts w:cs="Times New Roman"/>
          <w:i/>
          <w:iCs/>
        </w:rPr>
        <w:t>τ</w:t>
      </w:r>
      <w:r w:rsidRPr="00614464">
        <w:rPr>
          <w:rFonts w:cs="Times New Roman"/>
          <w:i/>
          <w:iCs/>
          <w:vertAlign w:val="superscript"/>
        </w:rPr>
        <w:t>k</w:t>
      </w:r>
      <w:r w:rsidR="008432B5">
        <w:t>(</w:t>
      </w:r>
      <w:r w:rsidR="008432B5" w:rsidRPr="0052322D">
        <w:rPr>
          <w:i/>
          <w:iCs/>
        </w:rPr>
        <w:t>x</w:t>
      </w:r>
      <w:r w:rsidR="008432B5">
        <w:t xml:space="preserve">) is </w:t>
      </w:r>
      <w:r>
        <w:t xml:space="preserve">differentiable with regard to </w:t>
      </w:r>
      <w:r w:rsidRPr="00614464">
        <w:rPr>
          <w:i/>
          <w:iCs/>
        </w:rPr>
        <w:t>k</w:t>
      </w:r>
      <w:r>
        <w:t xml:space="preserve"> and its derivatives with regard to </w:t>
      </w:r>
      <w:r w:rsidRPr="004A7428">
        <w:rPr>
          <w:i/>
          <w:iCs/>
        </w:rPr>
        <w:t>k</w:t>
      </w:r>
      <w:r>
        <w:t xml:space="preserve"> is </w:t>
      </w:r>
      <w:r w:rsidR="00661353">
        <w:t>formulated</w:t>
      </w:r>
      <w:r>
        <w:t xml:space="preserve"> as follows:</w:t>
      </w:r>
    </w:p>
    <w:p w14:paraId="164706B5" w14:textId="3DD91323" w:rsidR="00527FB9" w:rsidRDefault="00000000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E361E21" w14:textId="5977FACC" w:rsidR="00175228" w:rsidRDefault="00175228" w:rsidP="00E07C94">
      <w:r>
        <w:t xml:space="preserve">In </w:t>
      </w:r>
      <w:r w:rsidR="00F74051">
        <w:t>other words</w:t>
      </w:r>
      <w:r>
        <w:t xml:space="preserve">, </w:t>
      </w:r>
      <w:r w:rsidRPr="00175228">
        <w:rPr>
          <w:i/>
          <w:iCs/>
        </w:rPr>
        <w:t>g</w:t>
      </w:r>
      <w:r>
        <w:t>(</w:t>
      </w:r>
      <w:r w:rsidRPr="00175228">
        <w:rPr>
          <w:i/>
          <w:iCs/>
        </w:rPr>
        <w:t>x</w:t>
      </w:r>
      <w:r>
        <w:t>) is</w:t>
      </w:r>
      <w:r w:rsidR="00F74051">
        <w:t xml:space="preserve"> specified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E56FC1" w14:paraId="6039EAE5" w14:textId="77777777" w:rsidTr="001F2978">
        <w:tc>
          <w:tcPr>
            <w:tcW w:w="4845" w:type="pct"/>
          </w:tcPr>
          <w:p w14:paraId="475EA544" w14:textId="0752D0B6" w:rsidR="00E56FC1" w:rsidRDefault="00E56FC1" w:rsidP="00D93C7C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55" w:type="pct"/>
            <w:vAlign w:val="center"/>
          </w:tcPr>
          <w:p w14:paraId="14F6EEF5" w14:textId="49670DC0" w:rsidR="00E56FC1" w:rsidRDefault="00E56FC1" w:rsidP="00D93C7C">
            <w:pPr>
              <w:jc w:val="right"/>
            </w:pPr>
            <w:r>
              <w:t>(</w:t>
            </w:r>
            <w:r w:rsidR="00CA227A">
              <w:t>2</w:t>
            </w:r>
            <w:r>
              <w:t>.1)</w:t>
            </w:r>
          </w:p>
        </w:tc>
      </w:tr>
    </w:tbl>
    <w:p w14:paraId="65659316" w14:textId="762CEB6B" w:rsidR="00FB375C" w:rsidRDefault="00FB375C" w:rsidP="00E07C94">
      <w:r>
        <w:t>Following the proof of theorem 1 (v)</w:t>
      </w:r>
      <w:r w:rsidR="0031636D">
        <w:t xml:space="preserve"> </w:t>
      </w:r>
      <w:r w:rsidR="00A41439">
        <w:t xml:space="preserve">by Luo </w:t>
      </w:r>
      <w:sdt>
        <w:sdtPr>
          <w:id w:val="1957449327"/>
          <w:citation/>
        </w:sdtPr>
        <w:sdtContent>
          <w:r w:rsidR="0031636D">
            <w:fldChar w:fldCharType="begin"/>
          </w:r>
          <w:r w:rsidR="0031636D">
            <w:instrText xml:space="preserve">CITATION Luo19Minima \p 7 \l 1033 </w:instrText>
          </w:r>
          <w:r w:rsidR="0031636D">
            <w:fldChar w:fldCharType="separate"/>
          </w:r>
          <w:r w:rsidR="0031636D">
            <w:rPr>
              <w:noProof/>
            </w:rPr>
            <w:t>(Luo, 2019, p. 7)</w:t>
          </w:r>
          <w:r w:rsidR="0031636D">
            <w:fldChar w:fldCharType="end"/>
          </w:r>
        </w:sdtContent>
      </w:sdt>
      <w: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2C606E" w14:paraId="20625070" w14:textId="77777777" w:rsidTr="001F2978">
        <w:tc>
          <w:tcPr>
            <w:tcW w:w="4845" w:type="pct"/>
          </w:tcPr>
          <w:p w14:paraId="7B886AC7" w14:textId="7F0A6860" w:rsidR="002C606E" w:rsidRDefault="00000000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B755C4A" w14:textId="0EF6BEAF" w:rsidR="002C606E" w:rsidRDefault="002C606E" w:rsidP="000319E9">
            <w:pPr>
              <w:jc w:val="right"/>
            </w:pPr>
            <w:r>
              <w:t>(</w:t>
            </w:r>
            <w:r w:rsidR="00CA227A">
              <w:t>2</w:t>
            </w:r>
            <w:r>
              <w:t>.2)</w:t>
            </w:r>
          </w:p>
        </w:tc>
      </w:tr>
    </w:tbl>
    <w:p w14:paraId="48980DB0" w14:textId="6BEE0E5A" w:rsidR="003E6F72" w:rsidRDefault="003E6F72" w:rsidP="00E07C94">
      <w:r>
        <w:t>Where</w:t>
      </w:r>
      <w:r w:rsidR="00B22C77">
        <w:t>:</w:t>
      </w:r>
    </w:p>
    <w:p w14:paraId="1BB10F80" w14:textId="4316B543" w:rsidR="003E6F72" w:rsidRPr="005D6F9A" w:rsidRDefault="00000000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389492" w14:textId="51A90A89" w:rsidR="00C813CE" w:rsidRDefault="00D6513E" w:rsidP="00E07C94">
      <w:r>
        <w:t>Therefore, we obtain</w:t>
      </w:r>
      <w:r w:rsidR="0031636D">
        <w:t xml:space="preserve"> </w:t>
      </w:r>
      <w:sdt>
        <w:sdtPr>
          <w:id w:val="867724612"/>
          <w:citation/>
        </w:sdtPr>
        <w:sdtContent>
          <w:r w:rsidR="0031636D">
            <w:fldChar w:fldCharType="begin"/>
          </w:r>
          <w:r w:rsidR="0031636D">
            <w:instrText xml:space="preserve">CITATION Luo19Minima \p 9 \l 1033 </w:instrText>
          </w:r>
          <w:r w:rsidR="0031636D">
            <w:fldChar w:fldCharType="separate"/>
          </w:r>
          <w:r w:rsidR="0031636D">
            <w:rPr>
              <w:noProof/>
            </w:rPr>
            <w:t>(Luo, 2019, p. 9)</w:t>
          </w:r>
          <w:r w:rsidR="0031636D">
            <w:fldChar w:fldCharType="end"/>
          </w:r>
        </w:sdtContent>
      </w:sdt>
      <w: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060B9F" w14:paraId="63D75EE7" w14:textId="77777777" w:rsidTr="001F2978">
        <w:tc>
          <w:tcPr>
            <w:tcW w:w="4845" w:type="pct"/>
          </w:tcPr>
          <w:p w14:paraId="33C48A69" w14:textId="278E9162" w:rsidR="00060B9F" w:rsidRDefault="00000000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fg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15FE9CF0" w14:textId="6D75D377" w:rsidR="00060B9F" w:rsidRDefault="00584404" w:rsidP="000319E9">
            <w:pPr>
              <w:jc w:val="right"/>
            </w:pPr>
            <w:r>
              <w:t>(</w:t>
            </w:r>
            <w:r w:rsidR="00CA227A">
              <w:t>2</w:t>
            </w:r>
            <w:r>
              <w:t>.</w:t>
            </w:r>
            <w:r w:rsidR="002C606E">
              <w:t>3</w:t>
            </w:r>
            <w:r>
              <w:t>)</w:t>
            </w:r>
          </w:p>
        </w:tc>
      </w:tr>
    </w:tbl>
    <w:p w14:paraId="2442DA7C" w14:textId="7510F601" w:rsidR="00060B9F" w:rsidRDefault="002C4B64" w:rsidP="00E07C94">
      <w:r>
        <w:t>Where</w:t>
      </w:r>
      <w:r w:rsidR="00E37A84">
        <w:t>:</w:t>
      </w:r>
    </w:p>
    <w:p w14:paraId="6F5709C9" w14:textId="0A525E78" w:rsidR="002C4B64" w:rsidRPr="00EF21C3" w:rsidRDefault="00000000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3C351" w14:textId="32709253" w:rsidR="008D5554" w:rsidRDefault="00D77FE0" w:rsidP="00E07C94">
      <w:r>
        <w:t xml:space="preserve">According to </w:t>
      </w:r>
      <w:r w:rsidRPr="00D77FE0">
        <w:t>Gurland’s inequality</w:t>
      </w:r>
      <w:r>
        <w:t xml:space="preserve"> </w:t>
      </w:r>
      <w:sdt>
        <w:sdtPr>
          <w:id w:val="-1015300993"/>
          <w:citation/>
        </w:sdtPr>
        <w:sdtContent>
          <w:r>
            <w:fldChar w:fldCharType="begin"/>
          </w:r>
          <w:r>
            <w:instrText xml:space="preserve">CITATION Luo19Minima \p 6 \l 1033 </w:instrText>
          </w:r>
          <w:r>
            <w:fldChar w:fldCharType="separate"/>
          </w:r>
          <w:r>
            <w:rPr>
              <w:noProof/>
            </w:rPr>
            <w:t>(Luo, 2019, p. 6)</w:t>
          </w:r>
          <w:r>
            <w:fldChar w:fldCharType="end"/>
          </w:r>
        </w:sdtContent>
      </w:sdt>
      <w:r>
        <w:t>,</w:t>
      </w:r>
      <w:r w:rsidR="0063690F">
        <w:t xml:space="preserve"> if </w:t>
      </w:r>
      <w:r w:rsidR="00042280">
        <w:rPr>
          <w:i/>
          <w:iCs/>
        </w:rPr>
        <w:t>f</w:t>
      </w:r>
      <w:r w:rsidR="0063690F">
        <w:t>(</w:t>
      </w:r>
      <w:r w:rsidR="00042280">
        <w:rPr>
          <w:i/>
          <w:iCs/>
        </w:rPr>
        <w:t>x</w:t>
      </w:r>
      <w:r w:rsidR="0063690F">
        <w:t xml:space="preserve">) </w:t>
      </w:r>
      <w:r w:rsidR="00042280">
        <w:t xml:space="preserve">and </w:t>
      </w:r>
      <w:r w:rsidR="00042280" w:rsidRPr="003861B0">
        <w:rPr>
          <w:i/>
          <w:iCs/>
        </w:rPr>
        <w:t>g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are inversely proportional, for instance, </w:t>
      </w:r>
      <w:r w:rsidR="00042280" w:rsidRPr="00042280">
        <w:rPr>
          <w:i/>
          <w:iCs/>
        </w:rPr>
        <w:t>f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</w:t>
      </w:r>
      <w:r w:rsidR="002856A6">
        <w:t xml:space="preserve">is nonincreasing </w:t>
      </w:r>
      <w:r w:rsidR="00042280">
        <w:t xml:space="preserve">and </w:t>
      </w:r>
      <w:r w:rsidR="00042280" w:rsidRPr="009B1AF6">
        <w:rPr>
          <w:i/>
          <w:iCs/>
        </w:rPr>
        <w:t>g</w:t>
      </w:r>
      <w:r w:rsidR="00042280">
        <w:t>(</w:t>
      </w:r>
      <w:r w:rsidR="00042280" w:rsidRPr="009B1AF6">
        <w:rPr>
          <w:i/>
          <w:iCs/>
        </w:rPr>
        <w:t>x</w:t>
      </w:r>
      <w:r w:rsidR="00042280">
        <w:t>) is non</w:t>
      </w:r>
      <w:r w:rsidR="009B1AF6">
        <w:t xml:space="preserve">decreasing in every </w:t>
      </w:r>
      <w:r w:rsidR="003861B0">
        <w:t>open set</w:t>
      </w:r>
      <w:r w:rsidR="009B1AF6">
        <w:t xml:space="preserve">, and vice versa </w:t>
      </w:r>
      <w:r w:rsidR="009358AC">
        <w:t xml:space="preserve">then, 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y</w:t>
      </w:r>
      <w:r w:rsidR="00E45116" w:rsidRPr="00E45116">
        <w:rPr>
          <w:i/>
          <w:iCs/>
        </w:rPr>
        <w:t>g</w:t>
      </w:r>
      <w:r w:rsidR="00E45116">
        <w:t xml:space="preserve">) </w:t>
      </w:r>
      <w:r w:rsidR="009C40D2">
        <w:rPr>
          <w:rFonts w:cs="Times New Roman"/>
        </w:rPr>
        <w:t>≤</w:t>
      </w:r>
      <w:r w:rsidR="00E45116">
        <w:t xml:space="preserve"> 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y</w:t>
      </w:r>
      <w:r w:rsidR="00E45116">
        <w:t>))(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g</w:t>
      </w:r>
      <w:r w:rsidR="00E45116">
        <w:t>)).</w:t>
      </w:r>
      <w:r w:rsidR="00255032">
        <w:t xml:space="preserve"> As a result, </w:t>
      </w:r>
      <w:r w:rsidR="007E5578">
        <w:t xml:space="preserve">a </w:t>
      </w:r>
      <w:r w:rsidR="007E5578" w:rsidRPr="00464628">
        <w:rPr>
          <w:i/>
          <w:iCs/>
        </w:rPr>
        <w:t>weak monotonicity</w:t>
      </w:r>
      <w:r w:rsidR="007E5578" w:rsidRPr="00464628">
        <w:rPr>
          <w:rFonts w:cs="Times New Roman"/>
          <w:i/>
          <w:iCs/>
        </w:rPr>
        <w:t xml:space="preserve"> condition</w:t>
      </w:r>
      <w:r w:rsidR="007E5578">
        <w:rPr>
          <w:rFonts w:cs="Times New Roman"/>
        </w:rPr>
        <w:t xml:space="preserve"> is </w:t>
      </w:r>
      <w:r w:rsidR="00AA3E49">
        <w:rPr>
          <w:rFonts w:cs="Times New Roman"/>
        </w:rPr>
        <w:t xml:space="preserve">drawn </w:t>
      </w:r>
      <w:r w:rsidR="007E5578">
        <w:rPr>
          <w:rFonts w:cs="Times New Roman"/>
        </w:rPr>
        <w:t xml:space="preserve">that </w:t>
      </w:r>
      <w:r w:rsidR="007804A9">
        <w:rPr>
          <w:rFonts w:cs="Times New Roman"/>
        </w:rPr>
        <w:t xml:space="preserve">function </w:t>
      </w:r>
      <w:r w:rsidR="009A3E8F" w:rsidRPr="0052322D">
        <w:rPr>
          <w:rFonts w:cs="Times New Roman"/>
          <w:i/>
          <w:iCs/>
        </w:rPr>
        <w:t>τ</w:t>
      </w:r>
      <w:r w:rsidR="009A3E8F">
        <w:t>(</w:t>
      </w:r>
      <w:r w:rsidR="009A3E8F" w:rsidRPr="0052322D">
        <w:rPr>
          <w:i/>
          <w:iCs/>
        </w:rPr>
        <w:t>x</w:t>
      </w:r>
      <w:r w:rsidR="009A3E8F">
        <w:t xml:space="preserve">) is defined </w:t>
      </w:r>
      <w:r w:rsidR="003C24ED">
        <w:t>such</w:t>
      </w:r>
      <w:r w:rsidR="007E3F4E">
        <w:t xml:space="preserve"> that </w:t>
      </w:r>
      <w:r w:rsidR="003C24ED">
        <w:rPr>
          <w:i/>
          <w:iCs/>
        </w:rPr>
        <w:t>f</w:t>
      </w:r>
      <w:r w:rsidR="003C24ED">
        <w:t>(</w:t>
      </w:r>
      <w:r w:rsidR="003C24ED">
        <w:rPr>
          <w:i/>
          <w:iCs/>
        </w:rPr>
        <w:t>x</w:t>
      </w:r>
      <w:r w:rsidR="003C24ED">
        <w:t xml:space="preserve">) and </w:t>
      </w:r>
      <w:r w:rsidR="003C24ED" w:rsidRPr="003861B0">
        <w:rPr>
          <w:i/>
          <w:iCs/>
        </w:rPr>
        <w:t>g</w:t>
      </w:r>
      <w:r w:rsidR="003C24ED">
        <w:t>(</w:t>
      </w:r>
      <w:r w:rsidR="003C24ED" w:rsidRPr="00042280">
        <w:rPr>
          <w:i/>
          <w:iCs/>
        </w:rPr>
        <w:t>x</w:t>
      </w:r>
      <w:r w:rsidR="003C24ED">
        <w:t>) are inversely proportional</w:t>
      </w:r>
      <w:r w:rsidR="000F3938">
        <w:t xml:space="preserve"> where </w:t>
      </w:r>
      <w:r w:rsidR="000F3938" w:rsidRPr="0064061E">
        <w:rPr>
          <w:i/>
          <w:iCs/>
        </w:rPr>
        <w:t>g</w:t>
      </w:r>
      <w:r w:rsidR="000F3938">
        <w:t>(</w:t>
      </w:r>
      <w:r w:rsidR="000F3938" w:rsidRPr="0064061E">
        <w:rPr>
          <w:i/>
          <w:iCs/>
        </w:rPr>
        <w:t>x</w:t>
      </w:r>
      <w:r w:rsidR="000F3938">
        <w:t xml:space="preserve">) is specified by equation </w:t>
      </w:r>
      <w:r w:rsidR="001D5846">
        <w:t>2</w:t>
      </w:r>
      <w:r w:rsidR="000F3938">
        <w:t>.1</w:t>
      </w:r>
      <w:r w:rsidR="008D1509">
        <w:t>.</w:t>
      </w:r>
      <w:r w:rsidR="00FE056D">
        <w:t xml:space="preserve"> </w:t>
      </w:r>
      <w:r w:rsidR="001F0898">
        <w:t xml:space="preserve">Note that </w:t>
      </w:r>
      <w:r w:rsidR="00FC254A">
        <w:rPr>
          <w:rFonts w:cs="Times New Roman"/>
        </w:rPr>
        <w:t xml:space="preserve">the </w:t>
      </w:r>
      <w:r w:rsidR="00FC254A" w:rsidRPr="00FC254A">
        <w:t>weak monotonicity</w:t>
      </w:r>
      <w:r w:rsidR="00FC254A" w:rsidRPr="00FC254A">
        <w:rPr>
          <w:rFonts w:cs="Times New Roman"/>
        </w:rPr>
        <w:t xml:space="preserve"> condition follows the weak convergence condition</w:t>
      </w:r>
      <w:r w:rsidR="001F0898">
        <w:t>.</w:t>
      </w:r>
    </w:p>
    <w:p w14:paraId="4F95A186" w14:textId="7BBE0457" w:rsidR="00F74051" w:rsidRDefault="00F74051" w:rsidP="00F74051">
      <w:pPr>
        <w:ind w:firstLine="360"/>
      </w:pPr>
      <w:r>
        <w:t xml:space="preserve">Because the target function </w:t>
      </w:r>
      <w:r w:rsidRPr="00101E72">
        <w:rPr>
          <w:i/>
          <w:iCs/>
        </w:rPr>
        <w:t>f</w:t>
      </w:r>
      <w:r>
        <w:t>(</w:t>
      </w:r>
      <w:r w:rsidRPr="00101E72">
        <w:rPr>
          <w:i/>
          <w:iCs/>
        </w:rPr>
        <w:t>x</w:t>
      </w:r>
      <w:r>
        <w:t xml:space="preserve">) is too complicated to determine whether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and </w:t>
      </w:r>
      <w:r w:rsidRPr="003861B0">
        <w:rPr>
          <w:i/>
          <w:iCs/>
        </w:rPr>
        <w:t>g</w:t>
      </w:r>
      <w:r>
        <w:t>(</w:t>
      </w:r>
      <w:r w:rsidRPr="00042280">
        <w:rPr>
          <w:i/>
          <w:iCs/>
        </w:rPr>
        <w:t>x</w:t>
      </w:r>
      <w:r>
        <w:t xml:space="preserve">) are inversely proportional, we concern the case that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can be specified as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= </w:t>
      </w:r>
      <w:r w:rsidRPr="00F74051">
        <w:rPr>
          <w:i/>
          <w:iCs/>
        </w:rPr>
        <w:t>h</w:t>
      </w:r>
      <w:r>
        <w:t>(</w:t>
      </w:r>
      <w:r w:rsidRPr="00F74051">
        <w:rPr>
          <w:i/>
          <w:iCs/>
        </w:rPr>
        <w:t>y</w:t>
      </w:r>
      <w:r>
        <w:t xml:space="preserve">) where </w:t>
      </w:r>
      <w:r w:rsidR="00E63BF1">
        <w:rPr>
          <w:i/>
          <w:iCs/>
        </w:rPr>
        <w:t>y</w:t>
      </w:r>
      <w:r>
        <w:t xml:space="preserve"> = </w:t>
      </w:r>
      <w:r w:rsidRPr="00F74051">
        <w:rPr>
          <w:i/>
          <w:iCs/>
        </w:rPr>
        <w:t>f</w:t>
      </w:r>
      <w:r>
        <w:t>(</w:t>
      </w:r>
      <w:r w:rsidRPr="00F74051">
        <w:rPr>
          <w:i/>
          <w:iCs/>
        </w:rPr>
        <w:t>x</w:t>
      </w:r>
      <w:r>
        <w:t xml:space="preserve">). In other words, </w:t>
      </w:r>
      <w:r w:rsidR="007938D3">
        <w:t xml:space="preserve">if </w:t>
      </w:r>
      <w:r w:rsidR="007938D3" w:rsidRPr="007938D3">
        <w:rPr>
          <w:i/>
          <w:iCs/>
        </w:rPr>
        <w:t>g</w:t>
      </w:r>
      <w:r w:rsidR="007938D3">
        <w:t xml:space="preserve"> is</w:t>
      </w:r>
      <w:r>
        <w:t xml:space="preserve"> </w:t>
      </w:r>
      <w:r w:rsidR="007938D3">
        <w:t xml:space="preserve">function of </w:t>
      </w:r>
      <w:r w:rsidR="007938D3" w:rsidRPr="007938D3">
        <w:rPr>
          <w:i/>
          <w:iCs/>
        </w:rPr>
        <w:t>f</w:t>
      </w:r>
      <w:r w:rsidR="007938D3">
        <w:t>(</w:t>
      </w:r>
      <w:r w:rsidR="007938D3" w:rsidRPr="007938D3">
        <w:rPr>
          <w:i/>
          <w:iCs/>
        </w:rPr>
        <w:t>x</w:t>
      </w:r>
      <w:r w:rsidR="007938D3">
        <w:t>),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F7091D" w14:paraId="0D78CB50" w14:textId="77777777" w:rsidTr="001F2978">
        <w:tc>
          <w:tcPr>
            <w:tcW w:w="4625" w:type="pct"/>
          </w:tcPr>
          <w:p w14:paraId="351F4AE7" w14:textId="2EC84CAB" w:rsidR="00F7091D" w:rsidRDefault="00000000" w:rsidP="00D93C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0C8961C7" w14:textId="64E21884" w:rsidR="00F7091D" w:rsidRDefault="00F7091D" w:rsidP="00D93C7C">
            <w:pPr>
              <w:jc w:val="right"/>
            </w:pPr>
            <w:r>
              <w:t>(</w:t>
            </w:r>
            <w:r w:rsidR="00CA227A">
              <w:t>2</w:t>
            </w:r>
            <w:r>
              <w:t>.4)</w:t>
            </w:r>
          </w:p>
        </w:tc>
      </w:tr>
    </w:tbl>
    <w:p w14:paraId="2F2B82D2" w14:textId="0E01E633" w:rsidR="00E63BF1" w:rsidRDefault="00E63BF1" w:rsidP="00E63BF1">
      <w:r>
        <w:t>Where:</w:t>
      </w:r>
    </w:p>
    <w:p w14:paraId="33467C3F" w14:textId="37D2A89A" w:rsidR="00E63BF1" w:rsidRPr="00EF21C3" w:rsidRDefault="00000000" w:rsidP="00E63BF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499C41" w14:textId="3F297BF1" w:rsidR="007938D3" w:rsidRDefault="00FE75F1" w:rsidP="007938D3">
      <w:r>
        <w:t xml:space="preserve">Given </w:t>
      </w:r>
      <w:r w:rsidRPr="00FE75F1">
        <w:rPr>
          <w:i/>
          <w:iCs/>
        </w:rPr>
        <w:t>y</w:t>
      </w:r>
      <w:r>
        <w:t xml:space="preserve"> and </w:t>
      </w:r>
      <w:r w:rsidRPr="00FE75F1">
        <w:rPr>
          <w:i/>
          <w:iCs/>
        </w:rPr>
        <w:t>h</w:t>
      </w:r>
      <w:r>
        <w:t>(</w:t>
      </w:r>
      <w:r w:rsidRPr="00FE75F1">
        <w:rPr>
          <w:i/>
          <w:iCs/>
        </w:rPr>
        <w:t>y</w:t>
      </w:r>
      <w:r>
        <w:t xml:space="preserve">) where </w:t>
      </w:r>
      <w:r w:rsidRPr="00E477A7">
        <w:rPr>
          <w:i/>
          <w:iCs/>
        </w:rPr>
        <w:t>y</w:t>
      </w:r>
      <w:r>
        <w:t xml:space="preserve"> is increasing, the </w:t>
      </w:r>
      <w:r w:rsidRPr="00FE75F1">
        <w:t>weak monotonicity</w:t>
      </w:r>
      <w:r w:rsidRPr="00FE75F1">
        <w:rPr>
          <w:rFonts w:cs="Times New Roman"/>
        </w:rPr>
        <w:t xml:space="preserve"> condition</w:t>
      </w:r>
      <w:r>
        <w:rPr>
          <w:rFonts w:cs="Times New Roman"/>
        </w:rPr>
        <w:t xml:space="preserve"> is simplified that function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</w:t>
      </w:r>
      <w:r w:rsidR="00AA3E49" w:rsidRPr="00FC254A">
        <w:rPr>
          <w:rFonts w:cs="Times New Roman"/>
        </w:rPr>
        <w:t>follow</w:t>
      </w:r>
      <w:r w:rsidR="00AA3E49">
        <w:rPr>
          <w:rFonts w:cs="Times New Roman"/>
        </w:rPr>
        <w:t>ing</w:t>
      </w:r>
      <w:r w:rsidR="00AA3E49" w:rsidRPr="00FC254A">
        <w:rPr>
          <w:rFonts w:cs="Times New Roman"/>
        </w:rPr>
        <w:t xml:space="preserve"> the weak convergence condition</w:t>
      </w:r>
      <w:r w:rsidR="00AA3E49">
        <w:t xml:space="preserve"> </w:t>
      </w:r>
      <w:r>
        <w:t xml:space="preserve">is defined such that </w:t>
      </w:r>
      <w:r w:rsidR="003474DE">
        <w:rPr>
          <w:i/>
          <w:iCs/>
        </w:rPr>
        <w:t>h</w:t>
      </w:r>
      <w:r>
        <w:t>(</w:t>
      </w:r>
      <w:r>
        <w:rPr>
          <w:i/>
          <w:iCs/>
        </w:rPr>
        <w:t>y</w:t>
      </w:r>
      <w:r>
        <w:t xml:space="preserve">) is nonincreasing function with regard to </w:t>
      </w:r>
      <w:r w:rsidRPr="00E477A7">
        <w:rPr>
          <w:i/>
          <w:iCs/>
        </w:rPr>
        <w:t>y</w:t>
      </w:r>
      <w:r>
        <w:t>.</w:t>
      </w:r>
    </w:p>
    <w:p w14:paraId="1586987A" w14:textId="29AC3615" w:rsidR="00FE75F1" w:rsidRDefault="00514B27" w:rsidP="00892AA0">
      <w:pPr>
        <w:ind w:firstLine="360"/>
      </w:pPr>
      <w:r>
        <w:t xml:space="preserve">As usual, </w:t>
      </w:r>
      <w:r w:rsidRPr="00514B27">
        <w:rPr>
          <w:rFonts w:cs="Times New Roman"/>
          <w:i/>
          <w:iCs/>
        </w:rPr>
        <w:t>τ</w:t>
      </w:r>
      <w:r w:rsidRPr="00514B27">
        <w:rPr>
          <w:i/>
          <w:iCs/>
          <w:vertAlign w:val="superscript"/>
        </w:rPr>
        <w:t>k</w:t>
      </w:r>
      <w:r>
        <w:t>(</w:t>
      </w:r>
      <w:r w:rsidRPr="00514B27">
        <w:rPr>
          <w:i/>
          <w:iCs/>
        </w:rPr>
        <w:t>x</w:t>
      </w:r>
      <w:r>
        <w:t xml:space="preserve">) is the </w:t>
      </w:r>
      <w:r w:rsidRPr="00514B27">
        <w:rPr>
          <w:i/>
          <w:iCs/>
        </w:rPr>
        <w:t>k</w:t>
      </w:r>
      <w:r w:rsidRPr="00514B27">
        <w:rPr>
          <w:i/>
          <w:iCs/>
          <w:vertAlign w:val="superscript"/>
        </w:rPr>
        <w:t>th</w:t>
      </w:r>
      <w:r>
        <w:t xml:space="preserve">-power function of </w:t>
      </w:r>
      <w:r w:rsidRPr="00D124F7">
        <w:rPr>
          <w:rFonts w:cs="Times New Roman"/>
          <w:i/>
          <w:iCs/>
        </w:rPr>
        <w:t>τ</w:t>
      </w:r>
      <w:r>
        <w:t>(</w:t>
      </w:r>
      <w:r w:rsidRPr="00D124F7">
        <w:rPr>
          <w:i/>
          <w:iCs/>
        </w:rPr>
        <w:t>x</w:t>
      </w:r>
      <w:r>
        <w:t xml:space="preserve">) as </w:t>
      </w:r>
      <w:r w:rsidR="00D124F7" w:rsidRPr="00514B27">
        <w:rPr>
          <w:rFonts w:cs="Times New Roman"/>
          <w:i/>
          <w:iCs/>
        </w:rPr>
        <w:t>τ</w:t>
      </w:r>
      <w:r w:rsidR="00D124F7" w:rsidRPr="00514B27">
        <w:rPr>
          <w:i/>
          <w:iCs/>
          <w:vertAlign w:val="superscript"/>
        </w:rPr>
        <w:t>k</w:t>
      </w:r>
      <w:r w:rsidR="00D124F7">
        <w:t>(</w:t>
      </w:r>
      <w:r w:rsidR="00D124F7" w:rsidRPr="00514B27">
        <w:rPr>
          <w:i/>
          <w:iCs/>
        </w:rPr>
        <w:t>x</w:t>
      </w:r>
      <w:r w:rsidR="00D124F7">
        <w:t>) = (</w:t>
      </w:r>
      <w:r w:rsidR="00D124F7" w:rsidRPr="00D124F7">
        <w:rPr>
          <w:rFonts w:cs="Times New Roman"/>
          <w:i/>
          <w:iCs/>
        </w:rPr>
        <w:t>τ</w:t>
      </w:r>
      <w:r w:rsidR="00D124F7">
        <w:t>(</w:t>
      </w:r>
      <w:r w:rsidR="00D124F7" w:rsidRPr="00D124F7">
        <w:rPr>
          <w:i/>
          <w:iCs/>
        </w:rPr>
        <w:t>x</w:t>
      </w:r>
      <w:r w:rsidR="00D124F7">
        <w:t>))</w:t>
      </w:r>
      <w:r w:rsidR="00D124F7" w:rsidRPr="00D124F7">
        <w:rPr>
          <w:i/>
          <w:iCs/>
          <w:vertAlign w:val="superscript"/>
        </w:rPr>
        <w:t>k</w:t>
      </w:r>
      <w:r w:rsidR="00D124F7">
        <w:t>.</w:t>
      </w:r>
      <w:r w:rsidR="008223A5">
        <w:t xml:space="preserve"> </w:t>
      </w:r>
      <w:r w:rsidR="00C02E98">
        <w:t xml:space="preserve">Let </w:t>
      </w:r>
      <w:r w:rsidR="00C02E98" w:rsidRPr="00E26698">
        <w:rPr>
          <w:i/>
          <w:iCs/>
        </w:rPr>
        <w:t>k</w:t>
      </w:r>
      <w:r w:rsidR="00C02E98">
        <w:t xml:space="preserve"> denote knowledge amount of any optimization algorithms, now </w:t>
      </w:r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r w:rsidR="008223A5">
        <w:t>(</w:t>
      </w:r>
      <w:r w:rsidR="008223A5" w:rsidRPr="00514B27">
        <w:rPr>
          <w:i/>
          <w:iCs/>
        </w:rPr>
        <w:t>x</w:t>
      </w:r>
      <w:r w:rsidR="008223A5">
        <w:t xml:space="preserve">) is generalized as </w:t>
      </w:r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r w:rsidR="008223A5">
        <w:t>(</w:t>
      </w:r>
      <w:r w:rsidR="008223A5" w:rsidRPr="00514B27">
        <w:rPr>
          <w:i/>
          <w:iCs/>
        </w:rPr>
        <w:t>x</w:t>
      </w:r>
      <w:r w:rsidR="008223A5">
        <w:t xml:space="preserve">) = </w:t>
      </w:r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>(</w:t>
      </w:r>
      <w:r w:rsidR="008223A5" w:rsidRPr="008223A5">
        <w:rPr>
          <w:i/>
          <w:iCs/>
        </w:rPr>
        <w:t>x</w:t>
      </w:r>
      <w:r w:rsidR="008223A5">
        <w:t xml:space="preserve">)) where </w:t>
      </w:r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 xml:space="preserve">) is called </w:t>
      </w:r>
      <w:r w:rsidR="00C02E98">
        <w:t>knowledge</w:t>
      </w:r>
      <w:r w:rsidR="008223A5">
        <w:t xml:space="preserve"> function </w:t>
      </w:r>
      <w:r w:rsidR="00AD5A6B">
        <w:t>for</w:t>
      </w:r>
      <w:r w:rsidR="008223A5">
        <w:t xml:space="preserve"> </w:t>
      </w:r>
      <w:r w:rsidR="008223A5" w:rsidRPr="008223A5">
        <w:rPr>
          <w:rFonts w:cs="Times New Roman"/>
          <w:i/>
          <w:iCs/>
        </w:rPr>
        <w:t>τ</w:t>
      </w:r>
      <w:r w:rsidR="0006785B">
        <w:t xml:space="preserve"> which has </w:t>
      </w:r>
      <w:r w:rsidR="00F0746F">
        <w:t>two</w:t>
      </w:r>
      <w:r w:rsidR="0006785B">
        <w:t xml:space="preserve"> properties as follows:</w:t>
      </w:r>
    </w:p>
    <w:p w14:paraId="646198D9" w14:textId="750A33F1" w:rsidR="0006785B" w:rsidRDefault="00000000" w:rsidP="007938D3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&lt;1</m:t>
                </m:r>
              </m:e>
            </m:mr>
          </m:m>
        </m:oMath>
      </m:oMathPara>
    </w:p>
    <w:p w14:paraId="665C43D7" w14:textId="65ABCE38" w:rsidR="00060B9F" w:rsidRDefault="00AD5A6B" w:rsidP="00E07C94">
      <w:r>
        <w:t xml:space="preserve">Note, the </w:t>
      </w:r>
      <w:r w:rsidR="00FB7E99">
        <w:t xml:space="preserve">knowledge </w:t>
      </w:r>
      <w:r>
        <w:t xml:space="preserve">function </w:t>
      </w:r>
      <w:r w:rsidRPr="008223A5">
        <w:rPr>
          <w:i/>
          <w:iCs/>
        </w:rPr>
        <w:t>w</w:t>
      </w:r>
      <w:r w:rsidRPr="008223A5">
        <w:rPr>
          <w:i/>
          <w:iCs/>
          <w:vertAlign w:val="subscript"/>
        </w:rPr>
        <w:t>k</w:t>
      </w:r>
      <w:r>
        <w:t>(</w:t>
      </w:r>
      <w:r w:rsidRPr="008223A5">
        <w:rPr>
          <w:rFonts w:cs="Times New Roman"/>
          <w:i/>
          <w:iCs/>
        </w:rPr>
        <w:t>τ</w:t>
      </w:r>
      <w:r>
        <w:t xml:space="preserve">) is function of </w:t>
      </w:r>
      <w:r w:rsidRPr="007A4945">
        <w:rPr>
          <w:i/>
          <w:iCs/>
        </w:rPr>
        <w:t>k</w:t>
      </w:r>
      <w:r>
        <w:t xml:space="preserve">, which is determined based on the value </w:t>
      </w:r>
      <w:r w:rsidRPr="007A4945">
        <w:rPr>
          <w:rFonts w:cs="Times New Roman"/>
          <w:i/>
          <w:iCs/>
        </w:rPr>
        <w:t>τ</w:t>
      </w:r>
      <w:r>
        <w:t>(</w:t>
      </w:r>
      <w:r w:rsidRPr="007A4945">
        <w:rPr>
          <w:i/>
          <w:iCs/>
        </w:rPr>
        <w:t>x</w:t>
      </w:r>
      <w:r>
        <w:t>).</w:t>
      </w:r>
      <w:r w:rsidR="00532640">
        <w:t xml:space="preserve"> </w:t>
      </w:r>
      <w:r w:rsidR="004B6685">
        <w:t xml:space="preserve">The first property implies that </w:t>
      </w:r>
      <w:r w:rsidR="004B6685" w:rsidRPr="008223A5">
        <w:rPr>
          <w:i/>
          <w:iCs/>
        </w:rPr>
        <w:t>w</w:t>
      </w:r>
      <w:r w:rsidR="004B6685" w:rsidRPr="008223A5">
        <w:rPr>
          <w:i/>
          <w:iCs/>
          <w:vertAlign w:val="subscript"/>
        </w:rPr>
        <w:t>k</w:t>
      </w:r>
      <w:r w:rsidR="004B6685">
        <w:t>(</w:t>
      </w:r>
      <w:r w:rsidR="004B6685" w:rsidRPr="008223A5">
        <w:rPr>
          <w:rFonts w:cs="Times New Roman"/>
          <w:i/>
          <w:iCs/>
        </w:rPr>
        <w:t>τ</w:t>
      </w:r>
      <w:r w:rsidR="004B6685">
        <w:t xml:space="preserve">) is a </w:t>
      </w:r>
      <w:r w:rsidR="004B6685" w:rsidRPr="005F0F07">
        <w:t>homomorphism</w:t>
      </w:r>
      <w:r w:rsidR="004B6685">
        <w:t xml:space="preserve"> </w:t>
      </w:r>
      <w:r w:rsidR="00541A73">
        <w:t>with regard to</w:t>
      </w:r>
      <w:r w:rsidR="004B6685">
        <w:t xml:space="preserve"> multiplication. </w:t>
      </w:r>
      <w:r w:rsidR="00532640">
        <w:t xml:space="preserve">In </w:t>
      </w:r>
      <w:r w:rsidR="00532640">
        <w:lastRenderedPageBreak/>
        <w:t>trivial case</w:t>
      </w:r>
      <w:r w:rsidR="00892AA0">
        <w:t>s</w:t>
      </w:r>
      <w:r w:rsidR="00532640">
        <w:t xml:space="preserve">, </w:t>
      </w:r>
      <w:r w:rsidR="00892AA0">
        <w:t xml:space="preserve">we have </w:t>
      </w:r>
      <w:r w:rsidR="00532640" w:rsidRPr="008223A5">
        <w:rPr>
          <w:i/>
          <w:iCs/>
        </w:rPr>
        <w:t>w</w:t>
      </w:r>
      <w:r w:rsidR="00532640" w:rsidRPr="008223A5">
        <w:rPr>
          <w:i/>
          <w:iCs/>
          <w:vertAlign w:val="subscript"/>
        </w:rPr>
        <w:t>k</w:t>
      </w:r>
      <w:r w:rsidR="00532640">
        <w:t>(</w:t>
      </w:r>
      <w:r w:rsidR="00532640" w:rsidRPr="008223A5">
        <w:rPr>
          <w:rFonts w:cs="Times New Roman"/>
          <w:i/>
          <w:iCs/>
        </w:rPr>
        <w:t>τ</w:t>
      </w:r>
      <w:r w:rsidR="00532640">
        <w:t>) = (</w:t>
      </w:r>
      <w:r w:rsidR="00532640" w:rsidRPr="00D124F7">
        <w:rPr>
          <w:rFonts w:cs="Times New Roman"/>
          <w:i/>
          <w:iCs/>
        </w:rPr>
        <w:t>τ</w:t>
      </w:r>
      <w:r w:rsidR="00532640">
        <w:t>(</w:t>
      </w:r>
      <w:r w:rsidR="00532640" w:rsidRPr="00D124F7">
        <w:rPr>
          <w:i/>
          <w:iCs/>
        </w:rPr>
        <w:t>x</w:t>
      </w:r>
      <w:r w:rsidR="00532640">
        <w:t>))</w:t>
      </w:r>
      <w:r w:rsidR="00532640" w:rsidRPr="00D124F7">
        <w:rPr>
          <w:i/>
          <w:iCs/>
          <w:vertAlign w:val="superscript"/>
        </w:rPr>
        <w:t>k</w:t>
      </w:r>
      <w:r w:rsidR="00892AA0">
        <w:t xml:space="preserve">, </w:t>
      </w:r>
      <w:r w:rsidR="00532640">
        <w:t xml:space="preserve"> </w:t>
      </w:r>
      <w:r w:rsidR="00892AA0" w:rsidRPr="008223A5">
        <w:rPr>
          <w:i/>
          <w:iCs/>
        </w:rPr>
        <w:t>w</w:t>
      </w:r>
      <w:r w:rsidR="00892AA0" w:rsidRPr="008223A5">
        <w:rPr>
          <w:i/>
          <w:iCs/>
          <w:vertAlign w:val="subscript"/>
        </w:rPr>
        <w:t>k</w:t>
      </w:r>
      <w:r w:rsidR="00892AA0">
        <w:t>(</w:t>
      </w:r>
      <w:r w:rsidR="00892AA0" w:rsidRPr="008223A5">
        <w:rPr>
          <w:rFonts w:cs="Times New Roman"/>
          <w:i/>
          <w:iCs/>
        </w:rPr>
        <w:t>τ</w:t>
      </w:r>
      <w:r w:rsidR="00892AA0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89261D">
        <w:t>, etc</w:t>
      </w:r>
      <w:r w:rsidR="00892AA0">
        <w:t xml:space="preserve">. </w:t>
      </w:r>
      <w:r w:rsidR="00B15518">
        <w:t xml:space="preserve">With the </w:t>
      </w:r>
      <w:r w:rsidR="00F0746F">
        <w:t>two</w:t>
      </w:r>
      <w:r w:rsidR="00B15518">
        <w:t xml:space="preserve"> properties</w:t>
      </w:r>
      <w:r w:rsidR="00585682">
        <w:t xml:space="preserve"> of </w:t>
      </w:r>
      <w:r w:rsidR="00585682" w:rsidRPr="008223A5">
        <w:rPr>
          <w:i/>
          <w:iCs/>
        </w:rPr>
        <w:t>w</w:t>
      </w:r>
      <w:r w:rsidR="00585682" w:rsidRPr="008223A5">
        <w:rPr>
          <w:i/>
          <w:iCs/>
          <w:vertAlign w:val="subscript"/>
        </w:rPr>
        <w:t>k</w:t>
      </w:r>
      <w:r w:rsidR="00585682">
        <w:t>(</w:t>
      </w:r>
      <w:r w:rsidR="00585682" w:rsidRPr="008223A5">
        <w:rPr>
          <w:rFonts w:cs="Times New Roman"/>
          <w:i/>
          <w:iCs/>
        </w:rPr>
        <w:t>τ</w:t>
      </w:r>
      <w:r w:rsidR="00585682">
        <w:t>)</w:t>
      </w:r>
      <w:r w:rsidR="00B15518">
        <w:t>, it is easy to assert the weak convergence condition by the</w:t>
      </w:r>
      <w:r w:rsidR="00B15518" w:rsidRPr="00B15518">
        <w:t xml:space="preserve"> </w:t>
      </w:r>
      <w:r w:rsidR="00B15518">
        <w:t>proofs of theorem 1 (vi, vii)</w:t>
      </w:r>
      <w:r w:rsidR="00FE7CA0">
        <w:t xml:space="preserve"> </w:t>
      </w:r>
      <w:r w:rsidR="0054329C">
        <w:t xml:space="preserve">by Luo </w:t>
      </w:r>
      <w:sdt>
        <w:sdtPr>
          <w:id w:val="-834688605"/>
          <w:citation/>
        </w:sdtPr>
        <w:sdtContent>
          <w:r w:rsidR="00FE7CA0">
            <w:fldChar w:fldCharType="begin"/>
          </w:r>
          <w:r w:rsidR="00FE7CA0">
            <w:instrText xml:space="preserve">CITATION Luo19Minima \p 7 \l 1033 </w:instrText>
          </w:r>
          <w:r w:rsidR="00FE7CA0">
            <w:fldChar w:fldCharType="separate"/>
          </w:r>
          <w:r w:rsidR="00FE7CA0">
            <w:rPr>
              <w:noProof/>
            </w:rPr>
            <w:t>(Luo, 2019, p. 7)</w:t>
          </w:r>
          <w:r w:rsidR="00FE7CA0">
            <w:fldChar w:fldCharType="end"/>
          </w:r>
        </w:sdtContent>
      </w:sdt>
      <w:r w:rsidR="00B15518">
        <w:t>.</w:t>
      </w:r>
      <w:r w:rsidR="003C1858">
        <w:t xml:space="preserve"> </w:t>
      </w:r>
      <w:r w:rsidR="00FE056D">
        <w:t>Based on two weak conditions of convergence and monotonicity, convergence speed is proposed in the next section.</w:t>
      </w:r>
    </w:p>
    <w:p w14:paraId="0EB24AA6" w14:textId="15EABC07" w:rsidR="00D77FE0" w:rsidRDefault="00D77FE0" w:rsidP="00E07C94"/>
    <w:p w14:paraId="23B5BAC7" w14:textId="036982B1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07C94" w:rsidRPr="00876410">
        <w:rPr>
          <w:b/>
          <w:bCs/>
          <w:sz w:val="28"/>
          <w:szCs w:val="28"/>
        </w:rPr>
        <w:t>. Convergence speed</w:t>
      </w:r>
    </w:p>
    <w:p w14:paraId="57799F5D" w14:textId="5DAE7E1F" w:rsidR="00E07C94" w:rsidRDefault="00432DEC" w:rsidP="00E07C94">
      <w:r>
        <w:t xml:space="preserve">For all real </w:t>
      </w:r>
      <w:r w:rsidRPr="00432DEC">
        <w:rPr>
          <w:i/>
          <w:iCs/>
        </w:rPr>
        <w:t>k</w:t>
      </w:r>
      <w:r>
        <w:t xml:space="preserve"> and real </w:t>
      </w:r>
      <w:r>
        <w:rPr>
          <w:rFonts w:cs="Times New Roman"/>
        </w:rPr>
        <w:t>Δ</w:t>
      </w:r>
      <w:r w:rsidRPr="00432DEC">
        <w:rPr>
          <w:rFonts w:cs="Times New Roman"/>
          <w:i/>
          <w:iCs/>
        </w:rPr>
        <w:t>k</w:t>
      </w:r>
      <w:r>
        <w:rPr>
          <w:rFonts w:cs="Times New Roman"/>
        </w:rPr>
        <w:t xml:space="preserve"> &gt; 0</w:t>
      </w:r>
      <w:r>
        <w:t xml:space="preserve">, </w:t>
      </w:r>
      <w:r w:rsidR="0087350F">
        <w:t xml:space="preserve">two successive </w:t>
      </w:r>
      <w:r w:rsidR="00E709B2">
        <w:t>integrals</w:t>
      </w:r>
      <w:r w:rsidR="0087350F">
        <w:t xml:space="preserve"> </w:t>
      </w:r>
      <w:r w:rsidR="00274E1B">
        <w:t xml:space="preserve">within the weak convergence condition </w:t>
      </w:r>
      <w:r w:rsidR="0087350F">
        <w:t>are determined as follows</w:t>
      </w:r>
      <w:r>
        <w:t>:</w:t>
      </w:r>
    </w:p>
    <w:p w14:paraId="7860B0F8" w14:textId="41F0469D" w:rsidR="00432DEC" w:rsidRDefault="00000000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,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1899DA" w14:textId="6FF3AA48" w:rsidR="00432DEC" w:rsidRDefault="008269AA" w:rsidP="00E07C94">
      <w:r>
        <w:t xml:space="preserve">Convergence speed is defined as the </w:t>
      </w:r>
      <w:r w:rsidR="00695A68">
        <w:t xml:space="preserve">absolute </w:t>
      </w:r>
      <w:r>
        <w:t>differential of two successive integrals as follows</w:t>
      </w:r>
      <w:r w:rsidR="00DD4523">
        <w:t>:</w:t>
      </w:r>
    </w:p>
    <w:p w14:paraId="469E0B4A" w14:textId="60FAB083" w:rsidR="008269AA" w:rsidRDefault="00000000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func>
            </m:e>
          </m:d>
        </m:oMath>
      </m:oMathPara>
    </w:p>
    <w:p w14:paraId="4E2866C5" w14:textId="7C21A8F4" w:rsidR="000729B3" w:rsidRDefault="000729B3" w:rsidP="00E07C94">
      <w:r>
        <w:t xml:space="preserve">It is easy to recognize that the convergence speed is the absolute value of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specified by equation </w:t>
      </w:r>
      <w:r w:rsidR="001D5846">
        <w:t>2</w:t>
      </w:r>
      <w:r>
        <w:t>.</w:t>
      </w:r>
      <w:r w:rsidR="00483AD8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435210" w14:paraId="6E407E92" w14:textId="77777777" w:rsidTr="001F2978">
        <w:tc>
          <w:tcPr>
            <w:tcW w:w="4845" w:type="pct"/>
          </w:tcPr>
          <w:p w14:paraId="56BD6445" w14:textId="48A56DC5" w:rsidR="00435210" w:rsidRDefault="00000000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ABC8B80" w14:textId="573CB183" w:rsidR="00435210" w:rsidRDefault="00435210" w:rsidP="000319E9">
            <w:pPr>
              <w:jc w:val="right"/>
            </w:pPr>
            <w:r>
              <w:t>(</w:t>
            </w:r>
            <w:r w:rsidR="00CA227A">
              <w:t>3</w:t>
            </w:r>
            <w:r>
              <w:t>.1)</w:t>
            </w:r>
          </w:p>
        </w:tc>
      </w:tr>
    </w:tbl>
    <w:p w14:paraId="6BC148FF" w14:textId="74BCFE48" w:rsidR="000729B3" w:rsidRDefault="005F2141" w:rsidP="00E07C94">
      <w:r>
        <w:t xml:space="preserve">Note, </w:t>
      </w:r>
      <w:r w:rsidRPr="005F2141">
        <w:rPr>
          <w:i/>
          <w:iCs/>
        </w:rPr>
        <w:t>g</w:t>
      </w:r>
      <w:r>
        <w:t>(</w:t>
      </w:r>
      <w:r w:rsidRPr="005F2141">
        <w:rPr>
          <w:i/>
          <w:iCs/>
        </w:rPr>
        <w:t>x</w:t>
      </w:r>
      <w:r>
        <w:t xml:space="preserve">) is defined by equation </w:t>
      </w:r>
      <w:r w:rsidR="00CA227A">
        <w:t>2</w:t>
      </w:r>
      <w:r>
        <w:t xml:space="preserve">.1. </w:t>
      </w:r>
      <w:r w:rsidR="007A2CB1">
        <w:t xml:space="preserve">The magnitude of </w:t>
      </w:r>
      <w:r w:rsidR="007A2CB1" w:rsidRPr="007A2CB1">
        <w:rPr>
          <w:i/>
          <w:iCs/>
        </w:rPr>
        <w:t>c</w:t>
      </w:r>
      <w:r w:rsidR="007A2CB1" w:rsidRPr="00EF3210">
        <w:rPr>
          <w:rFonts w:cs="Times New Roman"/>
          <w:i/>
          <w:iCs/>
          <w:vertAlign w:val="subscript"/>
        </w:rPr>
        <w:t>τ</w:t>
      </w:r>
      <w:r w:rsidR="007A2CB1">
        <w:t xml:space="preserve"> is proportional to the difference between </w:t>
      </w:r>
      <w:r w:rsidR="003008F7">
        <w:rPr>
          <w:i/>
          <w:iCs/>
        </w:rPr>
        <w:t>f</w:t>
      </w:r>
      <w:r w:rsidR="003008F7" w:rsidRPr="003008F7">
        <w:t>(</w:t>
      </w:r>
      <w:r w:rsidR="003008F7">
        <w:rPr>
          <w:i/>
          <w:iCs/>
        </w:rPr>
        <w:t>x</w:t>
      </w:r>
      <w:r w:rsidR="003008F7" w:rsidRPr="003008F7">
        <w:t>)</w:t>
      </w:r>
      <w:r w:rsidR="007A2CB1">
        <w:t xml:space="preserve"> and </w:t>
      </w:r>
      <w:r w:rsidR="007A2CB1" w:rsidRPr="007A2CB1">
        <w:rPr>
          <w:i/>
          <w:iCs/>
        </w:rPr>
        <w:t>g</w:t>
      </w:r>
      <w:r w:rsidR="007A2CB1">
        <w:t>(</w:t>
      </w:r>
      <w:r w:rsidR="00345B25">
        <w:rPr>
          <w:i/>
          <w:iCs/>
        </w:rPr>
        <w:t>x</w:t>
      </w:r>
      <w:r w:rsidR="007A2CB1">
        <w:t>)</w:t>
      </w:r>
      <w:r w:rsidR="003302B2">
        <w:t xml:space="preserve"> which is </w:t>
      </w:r>
      <w:r w:rsidR="001E3F88">
        <w:t>represented</w:t>
      </w:r>
      <w:r w:rsidR="003302B2">
        <w:t xml:space="preserve"> by the following derivative:</w:t>
      </w:r>
    </w:p>
    <w:p w14:paraId="7E7828E2" w14:textId="3481F8B0" w:rsidR="003302B2" w:rsidRPr="00C66F32" w:rsidRDefault="00000000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846169B" w14:textId="428AFB16" w:rsidR="00C66F32" w:rsidRPr="00C66F32" w:rsidRDefault="00483AD8" w:rsidP="00E07C94">
      <w:r>
        <w:t xml:space="preserve">Here we </w:t>
      </w:r>
      <w:r w:rsidR="00026F76">
        <w:t xml:space="preserve">can </w:t>
      </w:r>
      <w:r>
        <w:t xml:space="preserve">ignore the target function </w:t>
      </w:r>
      <w:r w:rsidRPr="00483AD8">
        <w:rPr>
          <w:i/>
          <w:iCs/>
        </w:rPr>
        <w:t>f</w:t>
      </w:r>
      <w:r>
        <w:t>(</w:t>
      </w:r>
      <w:r w:rsidRPr="00483AD8">
        <w:rPr>
          <w:i/>
          <w:iCs/>
        </w:rPr>
        <w:t>x</w:t>
      </w:r>
      <w:r>
        <w:t xml:space="preserve">) because it is not parameter for optimization </w:t>
      </w:r>
      <w:r w:rsidR="00A11E96">
        <w:t>algorithms</w:t>
      </w:r>
      <w:r>
        <w:t>. Therefore</w:t>
      </w:r>
      <w:r w:rsidR="00C66F32">
        <w:t xml:space="preserve">, let </w:t>
      </w:r>
      <w:r w:rsidR="00C66F32" w:rsidRPr="00EF3210">
        <w:rPr>
          <w:i/>
          <w:iCs/>
        </w:rPr>
        <w:t>Q</w:t>
      </w:r>
      <w:r w:rsidR="00424C7A">
        <w:rPr>
          <w:rFonts w:cs="Times New Roman"/>
          <w:i/>
          <w:iCs/>
          <w:vertAlign w:val="subscript"/>
        </w:rPr>
        <w:t>τ</w:t>
      </w:r>
      <w:r w:rsidR="00C66F32">
        <w:t xml:space="preserve"> be the metric that measures the convergence speed, which is defined as follows</w:t>
      </w:r>
      <w:r w:rsidR="00346C9E"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5828D6" w14:paraId="2FA98F80" w14:textId="77777777" w:rsidTr="001F2978">
        <w:tc>
          <w:tcPr>
            <w:tcW w:w="4845" w:type="pct"/>
          </w:tcPr>
          <w:p w14:paraId="48E7784B" w14:textId="05D5651D" w:rsidR="005828D6" w:rsidRDefault="00000000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72FEAFC2" w14:textId="25DBC5FC" w:rsidR="005828D6" w:rsidRDefault="005828D6" w:rsidP="000319E9">
            <w:pPr>
              <w:jc w:val="right"/>
            </w:pPr>
            <w:r>
              <w:t>(</w:t>
            </w:r>
            <w:r w:rsidR="00CA227A">
              <w:t>3</w:t>
            </w:r>
            <w:r>
              <w:t>.2)</w:t>
            </w:r>
          </w:p>
        </w:tc>
      </w:tr>
    </w:tbl>
    <w:p w14:paraId="7384E0FB" w14:textId="180108E1" w:rsidR="00AC4F11" w:rsidRDefault="00C66F32" w:rsidP="00E07C94">
      <w:pPr>
        <w:rPr>
          <w:rFonts w:cs="Times New Roman"/>
        </w:rPr>
      </w:pPr>
      <w:r>
        <w:t xml:space="preserve">Actually, </w:t>
      </w:r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r w:rsidR="00F47293">
        <w:t xml:space="preserve"> i</w:t>
      </w:r>
      <w:r w:rsidR="003B279C">
        <w:t xml:space="preserve">s absolutely slope of function </w:t>
      </w:r>
      <w:r w:rsidR="003B279C" w:rsidRPr="003B279C">
        <w:rPr>
          <w:i/>
          <w:iCs/>
        </w:rPr>
        <w:t>g</w:t>
      </w:r>
      <w:r w:rsidR="003B279C">
        <w:t>.</w:t>
      </w:r>
      <w:r w:rsidR="006B7F41">
        <w:t xml:space="preserve"> The steeper</w:t>
      </w:r>
      <w:r w:rsidR="00F47293">
        <w:t xml:space="preserve"> </w:t>
      </w:r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r w:rsidR="006B7F41">
        <w:t xml:space="preserve"> is, the larger </w:t>
      </w:r>
      <w:r w:rsidR="006B7F41" w:rsidRPr="007A2CB1">
        <w:rPr>
          <w:i/>
          <w:iCs/>
        </w:rPr>
        <w:t>c</w:t>
      </w:r>
      <w:r w:rsidR="006B7F41" w:rsidRPr="00EF3210">
        <w:rPr>
          <w:rFonts w:cs="Times New Roman"/>
          <w:i/>
          <w:iCs/>
          <w:vertAlign w:val="subscript"/>
        </w:rPr>
        <w:t>τ</w:t>
      </w:r>
      <w:r w:rsidR="006B7F41">
        <w:t xml:space="preserve"> is, which in turn, the faster convergence speed. </w:t>
      </w:r>
      <w:r w:rsidR="004F486C">
        <w:t xml:space="preserve">For example, if the definition of function </w:t>
      </w:r>
      <w:r w:rsidR="004F486C" w:rsidRPr="004F486C">
        <w:rPr>
          <w:rFonts w:cs="Times New Roman"/>
          <w:i/>
          <w:iCs/>
        </w:rPr>
        <w:t>τ</w:t>
      </w:r>
      <w:r w:rsidR="004F486C">
        <w:t xml:space="preserve"> is associated with normal distribution given mean </w:t>
      </w:r>
      <w:r w:rsidR="00506155" w:rsidRPr="00506155">
        <w:rPr>
          <w:rFonts w:cs="Times New Roman"/>
        </w:rPr>
        <w:t>0</w:t>
      </w:r>
      <w:r w:rsidR="004F486C">
        <w:rPr>
          <w:rFonts w:cs="Times New Roman"/>
        </w:rPr>
        <w:t xml:space="preserve"> </w:t>
      </w:r>
      <w:r w:rsidR="004F486C">
        <w:t xml:space="preserve">and variance </w:t>
      </w:r>
      <w:r w:rsidR="00506155" w:rsidRPr="00506155">
        <w:rPr>
          <w:rFonts w:cs="Times New Roman"/>
        </w:rPr>
        <w:t>1</w:t>
      </w:r>
      <w:r w:rsidR="004F486C">
        <w:rPr>
          <w:rFonts w:cs="Times New Roman"/>
        </w:rPr>
        <w:t>, it becomes:</w:t>
      </w:r>
    </w:p>
    <w:p w14:paraId="14FFFFCD" w14:textId="05C647C6" w:rsidR="004F486C" w:rsidRPr="00DD7B43" w:rsidRDefault="00000000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93486BD" w14:textId="2F30ED19" w:rsidR="00DD7B43" w:rsidRDefault="00DD7B43" w:rsidP="00E07C94">
      <w:r>
        <w:t>Therefore,</w:t>
      </w:r>
    </w:p>
    <w:p w14:paraId="0304AE1B" w14:textId="5ABD6ACF" w:rsidR="00DD7B43" w:rsidRPr="008678E9" w:rsidRDefault="00000000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16C6BB8" w14:textId="620C8E05" w:rsidR="008678E9" w:rsidRDefault="00000000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2E21B53" w14:textId="1A886ED4" w:rsidR="00F41C4A" w:rsidRDefault="00F41C4A" w:rsidP="00F41C4A">
      <w:pPr>
        <w:rPr>
          <w:rFonts w:cs="Times New Roman"/>
        </w:rPr>
      </w:pPr>
      <w:r>
        <w:t xml:space="preserve">If the definition of function </w:t>
      </w:r>
      <w:r w:rsidRPr="004F486C">
        <w:rPr>
          <w:rFonts w:cs="Times New Roman"/>
          <w:i/>
          <w:iCs/>
        </w:rPr>
        <w:t>τ</w:t>
      </w:r>
      <w:r>
        <w:t xml:space="preserve"> is associated with Gumbel distribution for extreme value given location parameter </w:t>
      </w:r>
      <w:r w:rsidRPr="00506155">
        <w:rPr>
          <w:rFonts w:cs="Times New Roman"/>
        </w:rPr>
        <w:t>0</w:t>
      </w:r>
      <w:r>
        <w:rPr>
          <w:rFonts w:cs="Times New Roman"/>
        </w:rPr>
        <w:t xml:space="preserve"> </w:t>
      </w:r>
      <w:r>
        <w:t xml:space="preserve">and scale </w:t>
      </w:r>
      <w:r>
        <w:rPr>
          <w:rFonts w:cs="Times New Roman"/>
        </w:rPr>
        <w:t>parameter 1, it becomes:</w:t>
      </w:r>
    </w:p>
    <w:p w14:paraId="173F3864" w14:textId="060F4421" w:rsidR="00F41C4A" w:rsidRPr="000113FA" w:rsidRDefault="00000000" w:rsidP="00F41C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</m:oMath>
      </m:oMathPara>
    </w:p>
    <w:p w14:paraId="0D7939BE" w14:textId="77777777" w:rsidR="000113FA" w:rsidRDefault="000113FA" w:rsidP="000113FA">
      <w:r>
        <w:t>Therefore,</w:t>
      </w:r>
    </w:p>
    <w:p w14:paraId="7EA8D788" w14:textId="286BD5CF" w:rsidR="000113FA" w:rsidRPr="008678E9" w:rsidRDefault="00000000" w:rsidP="000113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</m:oMath>
      </m:oMathPara>
    </w:p>
    <w:p w14:paraId="2E616E60" w14:textId="16A9E7C4" w:rsidR="000113FA" w:rsidRDefault="00000000" w:rsidP="000113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D6BA929" w14:textId="05852B44" w:rsidR="00E3768C" w:rsidRDefault="009249C8" w:rsidP="00E07C94">
      <w:pPr>
        <w:rPr>
          <w:rFonts w:cs="Times New Roman"/>
        </w:rPr>
      </w:pPr>
      <w:r>
        <w:t xml:space="preserve">Obviously, convergence speed of </w:t>
      </w:r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G</w:t>
      </w:r>
      <w:r>
        <w:t>(</w:t>
      </w:r>
      <w:r w:rsidRPr="009249C8">
        <w:rPr>
          <w:i/>
          <w:iCs/>
        </w:rPr>
        <w:t>x</w:t>
      </w:r>
      <w:r>
        <w:t xml:space="preserve">) is faster than </w:t>
      </w:r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N</w:t>
      </w:r>
      <w:r>
        <w:t>(</w:t>
      </w:r>
      <w:r w:rsidRPr="009249C8">
        <w:rPr>
          <w:i/>
          <w:iCs/>
        </w:rPr>
        <w:t>x</w:t>
      </w:r>
      <w:r>
        <w:t xml:space="preserve">) because </w:t>
      </w:r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G</w:t>
      </w:r>
      <w:r>
        <w:t>(</w:t>
      </w:r>
      <w:r w:rsidR="00711FB6">
        <w:rPr>
          <w:i/>
          <w:iCs/>
        </w:rPr>
        <w:t>x</w:t>
      </w:r>
      <w:r>
        <w:t xml:space="preserve">) is steeper than </w:t>
      </w:r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N</w:t>
      </w:r>
      <w:r>
        <w:t>(</w:t>
      </w:r>
      <w:r w:rsidR="00711FB6">
        <w:rPr>
          <w:i/>
          <w:iCs/>
        </w:rPr>
        <w:t>x</w:t>
      </w:r>
      <w:r>
        <w:t>).</w:t>
      </w:r>
      <w:r w:rsidR="002D0B56">
        <w:t xml:space="preserve"> </w:t>
      </w:r>
      <w:r w:rsidR="00E77394">
        <w:t xml:space="preserve">Given normal distribution with mean </w:t>
      </w:r>
      <w:r w:rsidR="00E77394" w:rsidRPr="00AD5B02">
        <w:rPr>
          <w:rFonts w:cs="Times New Roman"/>
          <w:i/>
          <w:iCs/>
        </w:rPr>
        <w:t>μ</w:t>
      </w:r>
      <w:r w:rsidR="00E77394">
        <w:t xml:space="preserve"> and variance </w:t>
      </w:r>
      <w:r w:rsidR="00E77394" w:rsidRPr="00AD5B02">
        <w:rPr>
          <w:rFonts w:cs="Times New Roman"/>
          <w:i/>
          <w:iCs/>
        </w:rPr>
        <w:t>σ</w:t>
      </w:r>
      <w:r w:rsidR="00E77394" w:rsidRPr="00AD5B02">
        <w:rPr>
          <w:vertAlign w:val="superscript"/>
        </w:rPr>
        <w:t>2</w:t>
      </w:r>
      <w:r w:rsidR="00E77394">
        <w:t xml:space="preserve"> then, </w:t>
      </w:r>
      <w:r w:rsidR="002D0B56" w:rsidRPr="002D0B56">
        <w:rPr>
          <w:rFonts w:cs="Times New Roman"/>
          <w:i/>
          <w:iCs/>
        </w:rPr>
        <w:t>τ</w:t>
      </w:r>
      <w:r w:rsidR="00E77394" w:rsidRPr="00270D40">
        <w:rPr>
          <w:rFonts w:cs="Times New Roman"/>
          <w:i/>
          <w:iCs/>
          <w:vertAlign w:val="subscript"/>
        </w:rPr>
        <w:t>N</w:t>
      </w:r>
      <w:r w:rsidR="00E77394">
        <w:rPr>
          <w:rFonts w:cs="Times New Roman"/>
        </w:rPr>
        <w:t>(</w:t>
      </w:r>
      <w:r w:rsidR="002D0B56">
        <w:rPr>
          <w:rFonts w:cs="Times New Roman"/>
          <w:i/>
          <w:iCs/>
        </w:rPr>
        <w:t>x</w:t>
      </w:r>
      <w:r w:rsidR="00E77394">
        <w:rPr>
          <w:rFonts w:cs="Times New Roman"/>
        </w:rPr>
        <w:t>) is redefined as follows:</w:t>
      </w:r>
    </w:p>
    <w:p w14:paraId="05540E84" w14:textId="034B1908" w:rsidR="0037790D" w:rsidRDefault="00000000" w:rsidP="003779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67616A" w14:textId="5825A538" w:rsidR="009249C8" w:rsidRPr="00AD5B02" w:rsidRDefault="00017ADA" w:rsidP="00E07C94">
      <w:pPr>
        <w:rPr>
          <w:rFonts w:cs="Times New Roman"/>
        </w:rPr>
      </w:pPr>
      <w:r>
        <w:t>V</w:t>
      </w:r>
      <w:r w:rsidR="00AD5B02">
        <w:t xml:space="preserve">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r</w:t>
      </w:r>
      <w:r w:rsidR="00AD5B02">
        <w:t xml:space="preserve">eflects the </w:t>
      </w:r>
      <w:r w:rsidR="0038717B">
        <w:t>slope</w:t>
      </w:r>
      <w:r w:rsidR="00AD5B02">
        <w:t xml:space="preserve"> of </w:t>
      </w:r>
      <w:r w:rsid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r w:rsidR="00AD5B02">
        <w:rPr>
          <w:rFonts w:cs="Times New Roman"/>
        </w:rPr>
        <w:t>(</w:t>
      </w:r>
      <w:r w:rsidR="00031EB1">
        <w:rPr>
          <w:rFonts w:cs="Times New Roman"/>
          <w:i/>
          <w:iCs/>
        </w:rPr>
        <w:t>x</w:t>
      </w:r>
      <w:r w:rsidR="00AD5B02">
        <w:rPr>
          <w:rFonts w:cs="Times New Roman"/>
        </w:rPr>
        <w:t xml:space="preserve">). Therefore, the smaller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</w:t>
      </w:r>
      <w:r w:rsidR="00AD5B02">
        <w:rPr>
          <w:rFonts w:cs="Times New Roman"/>
        </w:rPr>
        <w:t xml:space="preserve">is, the steeper </w:t>
      </w:r>
      <w:r w:rsidR="00AD5B02">
        <w:t xml:space="preserve">function </w:t>
      </w:r>
      <w:r w:rsidR="00031EB1" w:rsidRP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r w:rsidR="00AD5B02">
        <w:rPr>
          <w:rFonts w:cs="Times New Roman"/>
        </w:rPr>
        <w:t>(</w:t>
      </w:r>
      <w:r w:rsidR="00EA5073">
        <w:rPr>
          <w:rFonts w:cs="Times New Roman"/>
          <w:i/>
          <w:iCs/>
        </w:rPr>
        <w:t>y</w:t>
      </w:r>
      <w:r w:rsidR="00AD5B02">
        <w:rPr>
          <w:rFonts w:cs="Times New Roman"/>
        </w:rPr>
        <w:t>) is.</w:t>
      </w:r>
      <w:r>
        <w:rPr>
          <w:rFonts w:cs="Times New Roman"/>
        </w:rPr>
        <w:t xml:space="preserve"> The next section describes an experiment with varying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rPr>
          <w:rFonts w:cs="Times New Roman"/>
        </w:rPr>
        <w:t>.</w:t>
      </w:r>
    </w:p>
    <w:p w14:paraId="62EEA4DC" w14:textId="77777777" w:rsidR="00AD5B02" w:rsidRDefault="00AD5B02" w:rsidP="00E07C94"/>
    <w:p w14:paraId="0A09E4A0" w14:textId="59A082C2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07C94" w:rsidRPr="00876410">
        <w:rPr>
          <w:b/>
          <w:bCs/>
          <w:sz w:val="28"/>
          <w:szCs w:val="28"/>
        </w:rPr>
        <w:t xml:space="preserve">. Experiment </w:t>
      </w:r>
      <w:r w:rsidR="008F64E7">
        <w:rPr>
          <w:b/>
          <w:bCs/>
          <w:sz w:val="28"/>
          <w:szCs w:val="28"/>
        </w:rPr>
        <w:t xml:space="preserve">with </w:t>
      </w:r>
      <w:r w:rsidR="00AB7437">
        <w:rPr>
          <w:b/>
          <w:bCs/>
          <w:sz w:val="28"/>
          <w:szCs w:val="28"/>
        </w:rPr>
        <w:t xml:space="preserve">PSO algorithm </w:t>
      </w:r>
    </w:p>
    <w:p w14:paraId="30297EFF" w14:textId="24B82A57" w:rsidR="00E07C94" w:rsidRDefault="004A5935" w:rsidP="00E07C94">
      <w:r>
        <w:t xml:space="preserve">In this research, convergence speed of minima distribution is </w:t>
      </w:r>
      <w:r w:rsidR="0063530B">
        <w:t>concerned</w:t>
      </w:r>
      <w:r>
        <w:t xml:space="preserve">, which </w:t>
      </w:r>
      <w:r w:rsidR="008812A5">
        <w:t xml:space="preserve">in turn derives the conclusion that function </w:t>
      </w:r>
      <w:r w:rsidR="0063530B">
        <w:rPr>
          <w:rFonts w:cs="Times New Roman"/>
          <w:i/>
          <w:iCs/>
        </w:rPr>
        <w:t>g</w:t>
      </w:r>
      <w:r w:rsidR="0063530B" w:rsidRPr="0063530B">
        <w:rPr>
          <w:rFonts w:cs="Times New Roman"/>
        </w:rPr>
        <w:t>(</w:t>
      </w:r>
      <w:r w:rsidR="0063530B">
        <w:rPr>
          <w:rFonts w:cs="Times New Roman"/>
          <w:i/>
          <w:iCs/>
        </w:rPr>
        <w:t>x</w:t>
      </w:r>
      <w:r w:rsidR="0063530B" w:rsidRPr="0063530B">
        <w:rPr>
          <w:rFonts w:cs="Times New Roman"/>
        </w:rPr>
        <w:t>)</w:t>
      </w:r>
      <w:r w:rsidR="003C10D8">
        <w:t xml:space="preserve"> </w:t>
      </w:r>
      <w:r w:rsidR="0063530B">
        <w:t xml:space="preserve">extracted from the derivative of </w:t>
      </w:r>
      <w:r w:rsidR="0063530B" w:rsidRPr="0063530B">
        <w:rPr>
          <w:rFonts w:cs="Times New Roman"/>
          <w:i/>
          <w:iCs/>
        </w:rPr>
        <w:t>τ</w:t>
      </w:r>
      <w:r w:rsidR="0063530B" w:rsidRPr="0063530B">
        <w:rPr>
          <w:i/>
          <w:iCs/>
          <w:vertAlign w:val="superscript"/>
        </w:rPr>
        <w:t>k</w:t>
      </w:r>
      <w:r w:rsidR="0063530B">
        <w:t>(</w:t>
      </w:r>
      <w:r w:rsidR="0063530B" w:rsidRPr="0063530B">
        <w:rPr>
          <w:i/>
          <w:iCs/>
        </w:rPr>
        <w:t>x</w:t>
      </w:r>
      <w:r w:rsidR="0063530B">
        <w:t xml:space="preserve">) </w:t>
      </w:r>
      <w:r w:rsidR="008812A5">
        <w:t>should be steeper in order to improve the convergence speed.</w:t>
      </w:r>
      <w:r w:rsidR="006B4931">
        <w:t xml:space="preserve"> In particle swarm optimization (PSO) algorithm, movement of particles obey</w:t>
      </w:r>
      <w:r w:rsidR="00EF25C4">
        <w:t>s</w:t>
      </w:r>
      <w:r w:rsidR="006B4931">
        <w:t xml:space="preserve"> normal distribution.</w:t>
      </w:r>
      <w:r w:rsidR="00D21F33">
        <w:t xml:space="preserve"> Therefore, </w:t>
      </w:r>
      <w:r w:rsidR="00D21F33">
        <w:rPr>
          <w:rFonts w:cs="Times New Roman"/>
        </w:rPr>
        <w:t xml:space="preserve">this section describes an experiment </w:t>
      </w:r>
      <w:r w:rsidR="004E2ADC">
        <w:rPr>
          <w:rFonts w:cs="Times New Roman"/>
        </w:rPr>
        <w:t>by</w:t>
      </w:r>
      <w:r w:rsidR="00D21F33">
        <w:rPr>
          <w:rFonts w:cs="Times New Roman"/>
        </w:rPr>
        <w:t xml:space="preserve"> varying variance </w:t>
      </w:r>
      <w:r w:rsidR="00D53B67" w:rsidRPr="00D53B67">
        <w:rPr>
          <w:rFonts w:cs="Times New Roman"/>
        </w:rPr>
        <w:t>of such</w:t>
      </w:r>
      <w:r w:rsidR="00D53B67">
        <w:rPr>
          <w:rFonts w:cs="Times New Roman"/>
          <w:i/>
          <w:iCs/>
        </w:rPr>
        <w:t xml:space="preserve"> </w:t>
      </w:r>
      <w:r w:rsidR="00D53B67">
        <w:rPr>
          <w:rFonts w:cs="Times New Roman"/>
        </w:rPr>
        <w:t>normal distribution</w:t>
      </w:r>
      <w:r w:rsidR="004E2ADC">
        <w:rPr>
          <w:rFonts w:cs="Times New Roman"/>
        </w:rPr>
        <w:t xml:space="preserve"> with note that </w:t>
      </w:r>
      <w:r w:rsidR="00E85EE1" w:rsidRPr="008F23EC">
        <w:rPr>
          <w:rFonts w:cs="Times New Roman"/>
          <w:i/>
          <w:iCs/>
        </w:rPr>
        <w:t>τ</w:t>
      </w:r>
      <w:r w:rsidR="00E85EE1">
        <w:t>(</w:t>
      </w:r>
      <w:r w:rsidR="00E85EE1" w:rsidRPr="008F23EC">
        <w:rPr>
          <w:i/>
          <w:iCs/>
        </w:rPr>
        <w:t>x</w:t>
      </w:r>
      <w:r w:rsidR="00E85EE1">
        <w:t>) here is associated with the PSO normal distribution</w:t>
      </w:r>
      <w:r w:rsidR="00D21F33">
        <w:rPr>
          <w:rFonts w:cs="Times New Roman"/>
        </w:rPr>
        <w:t>.</w:t>
      </w:r>
      <w:r w:rsidR="00CA7338">
        <w:rPr>
          <w:rFonts w:cs="Times New Roman"/>
        </w:rPr>
        <w:t xml:space="preserve"> </w:t>
      </w:r>
      <w:r w:rsidR="00440AB0">
        <w:rPr>
          <w:rFonts w:cs="Times New Roman"/>
        </w:rPr>
        <w:t xml:space="preserve">The iterative </w:t>
      </w:r>
      <w:r w:rsidR="00CA7338">
        <w:t xml:space="preserve">PSO </w:t>
      </w:r>
      <w:r w:rsidR="00440AB0">
        <w:t xml:space="preserve">algorithm </w:t>
      </w:r>
      <w:sdt>
        <w:sdtPr>
          <w:id w:val="2093745420"/>
          <w:citation/>
        </w:sdtPr>
        <w:sdtContent>
          <w:r w:rsidR="00440AB0">
            <w:fldChar w:fldCharType="begin"/>
          </w:r>
          <w:r w:rsidR="00440AB0">
            <w:instrText xml:space="preserve"> CITATION Poli2007 \l 1033 </w:instrText>
          </w:r>
          <w:r w:rsidR="00440AB0">
            <w:fldChar w:fldCharType="separate"/>
          </w:r>
          <w:r w:rsidR="00440AB0">
            <w:rPr>
              <w:noProof/>
            </w:rPr>
            <w:t>(Poli, Kennedy, &amp; Blackwell, 2007)</w:t>
          </w:r>
          <w:r w:rsidR="00440AB0">
            <w:fldChar w:fldCharType="end"/>
          </w:r>
        </w:sdtContent>
      </w:sdt>
      <w:r w:rsidR="00440AB0">
        <w:t xml:space="preserve"> </w:t>
      </w:r>
      <w:r w:rsidR="00CA7338">
        <w:t xml:space="preserve">was developed by </w:t>
      </w:r>
      <w:r w:rsidR="00CA7338" w:rsidRPr="00650488">
        <w:t>James Kennedy</w:t>
      </w:r>
      <w:r w:rsidR="00CA7338">
        <w:t xml:space="preserve"> and </w:t>
      </w:r>
      <w:r w:rsidR="00CA7338" w:rsidRPr="00016116">
        <w:t>Russell C. Eberhart</w:t>
      </w:r>
      <w:r w:rsidR="00440AB0">
        <w:t xml:space="preserve"> updates velocities and positions of particles at each iteration</w:t>
      </w:r>
      <w:r w:rsidR="00FA0028">
        <w:t xml:space="preserve"> as follows:</w:t>
      </w:r>
    </w:p>
    <w:p w14:paraId="483D1363" w14:textId="4BC5A956" w:rsidR="00FA0028" w:rsidRPr="00957425" w:rsidRDefault="00000000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162C5FF" w14:textId="6F6E9A02" w:rsidR="00957425" w:rsidRDefault="00000000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392F109" w14:textId="3FD4267A" w:rsidR="00737574" w:rsidRDefault="00957425" w:rsidP="00737574">
      <w:r>
        <w:t xml:space="preserve">Note,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="00A95D4B">
        <w:rPr>
          <w:rFonts w:ascii="TimesNewRomanPSMT" w:hAnsi="TimesNewRomanPSMT"/>
          <w:color w:val="000000"/>
          <w:szCs w:val="24"/>
        </w:rPr>
        <w:t xml:space="preserve">are </w:t>
      </w:r>
      <w:r>
        <w:rPr>
          <w:rFonts w:ascii="TimesNewRomanPSMT" w:hAnsi="TimesNewRomanPSMT"/>
          <w:color w:val="000000"/>
          <w:szCs w:val="24"/>
        </w:rPr>
        <w:t xml:space="preserve">current position and best position of particle </w:t>
      </w:r>
      <w:r w:rsidR="00214D04">
        <w:rPr>
          <w:rFonts w:ascii="TimesNewRomanPSMT" w:hAnsi="TimesNewRomanPSMT"/>
          <w:i/>
          <w:iCs/>
          <w:color w:val="000000"/>
          <w:szCs w:val="24"/>
        </w:rPr>
        <w:t>i</w:t>
      </w:r>
      <w:r w:rsidR="00A95D4B">
        <w:rPr>
          <w:rFonts w:ascii="TimesNewRomanPSMT" w:hAnsi="TimesNewRomanPSMT"/>
          <w:color w:val="000000"/>
          <w:szCs w:val="24"/>
        </w:rPr>
        <w:t xml:space="preserve">, respectively </w:t>
      </w:r>
      <w:r>
        <w:rPr>
          <w:rFonts w:ascii="TimesNewRomanPSMT" w:hAnsi="TimesNewRomanPSMT"/>
          <w:color w:val="000000"/>
          <w:szCs w:val="24"/>
        </w:rPr>
        <w:t xml:space="preserve">whereas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="00623C1F">
        <w:rPr>
          <w:rFonts w:ascii="TimesNewRomanPSMT" w:hAnsi="TimesNewRomanPSMT"/>
          <w:color w:val="000000"/>
          <w:szCs w:val="24"/>
        </w:rPr>
        <w:t>is</w:t>
      </w:r>
      <w:r>
        <w:rPr>
          <w:rFonts w:ascii="TimesNewRomanPSMT" w:hAnsi="TimesNewRomanPSMT"/>
          <w:color w:val="000000"/>
          <w:szCs w:val="24"/>
        </w:rPr>
        <w:t xml:space="preserve"> the </w:t>
      </w:r>
      <w:r w:rsidRPr="00214D04">
        <w:rPr>
          <w:rFonts w:ascii="TimesNewRomanPSMT" w:hAnsi="TimesNewRomanPSMT"/>
          <w:color w:val="000000"/>
          <w:szCs w:val="24"/>
        </w:rPr>
        <w:t>global best position</w:t>
      </w:r>
      <w:r>
        <w:rPr>
          <w:rFonts w:ascii="TimesNewRomanPSMT" w:hAnsi="TimesNewRomanPSMT"/>
          <w:color w:val="000000"/>
          <w:szCs w:val="24"/>
        </w:rPr>
        <w:t xml:space="preserve"> over entire swarm of particles.</w:t>
      </w:r>
      <w:r w:rsidR="001F4E7B" w:rsidRPr="001F4E7B">
        <w:t xml:space="preserve"> </w:t>
      </w:r>
      <w:r w:rsidR="005B7311">
        <w:t xml:space="preserve">Functions </w:t>
      </w:r>
      <w:r w:rsidR="005B7311" w:rsidRPr="00AF63D8">
        <w:rPr>
          <w:i/>
          <w:iCs/>
        </w:rPr>
        <w:t>U</w:t>
      </w:r>
      <w:r w:rsidR="005B7311">
        <w:t xml:space="preserve">(0, </w:t>
      </w:r>
      <w:r w:rsidR="005B7311" w:rsidRPr="00AF63D8">
        <w:rPr>
          <w:rFonts w:cs="Times New Roman"/>
          <w:i/>
          <w:iCs/>
        </w:rPr>
        <w:t>ϕ</w:t>
      </w:r>
      <w:r w:rsidR="005B7311" w:rsidRPr="00AF63D8">
        <w:rPr>
          <w:vertAlign w:val="subscript"/>
        </w:rPr>
        <w:t>1</w:t>
      </w:r>
      <w:r w:rsidR="005B7311">
        <w:t xml:space="preserve">) and </w:t>
      </w:r>
      <w:r w:rsidR="005B7311" w:rsidRPr="00AF63D8">
        <w:rPr>
          <w:i/>
          <w:iCs/>
        </w:rPr>
        <w:t>U</w:t>
      </w:r>
      <w:r w:rsidR="005B7311">
        <w:t xml:space="preserve">(0, </w:t>
      </w:r>
      <w:r w:rsidR="005B7311" w:rsidRPr="00AF63D8">
        <w:rPr>
          <w:rFonts w:cs="Times New Roman"/>
          <w:i/>
          <w:iCs/>
        </w:rPr>
        <w:t>ϕ</w:t>
      </w:r>
      <w:r w:rsidR="005B7311">
        <w:rPr>
          <w:vertAlign w:val="subscript"/>
        </w:rPr>
        <w:t>2</w:t>
      </w:r>
      <w:r w:rsidR="005B7311">
        <w:t xml:space="preserve">) generate random vectors whose elements are random numbers in the ranges [0, </w:t>
      </w:r>
      <w:r w:rsidR="005B7311" w:rsidRPr="00AF63D8">
        <w:rPr>
          <w:rFonts w:cs="Times New Roman"/>
          <w:i/>
          <w:iCs/>
        </w:rPr>
        <w:t>ϕ</w:t>
      </w:r>
      <w:r w:rsidR="005B7311" w:rsidRPr="00AF63D8">
        <w:rPr>
          <w:vertAlign w:val="subscript"/>
        </w:rPr>
        <w:t>1</w:t>
      </w:r>
      <w:r w:rsidR="005B7311">
        <w:t xml:space="preserve">] and [0, </w:t>
      </w:r>
      <w:r w:rsidR="005B7311" w:rsidRPr="00AF63D8">
        <w:rPr>
          <w:rFonts w:cs="Times New Roman"/>
          <w:i/>
          <w:iCs/>
        </w:rPr>
        <w:t>ϕ</w:t>
      </w:r>
      <w:r w:rsidR="005B7311">
        <w:rPr>
          <w:vertAlign w:val="subscript"/>
        </w:rPr>
        <w:t>2</w:t>
      </w:r>
      <w:r w:rsidR="005B7311">
        <w:t>]</w:t>
      </w:r>
      <w:r w:rsidR="007C2500">
        <w:t>, respectively,</w:t>
      </w:r>
      <w:r w:rsidR="003A7924">
        <w:t xml:space="preserve"> where </w:t>
      </w:r>
      <w:r w:rsidR="00E421C6" w:rsidRPr="00AF63D8">
        <w:rPr>
          <w:rFonts w:cs="Times New Roman"/>
          <w:i/>
          <w:iCs/>
        </w:rPr>
        <w:t>ϕ</w:t>
      </w:r>
      <w:r w:rsidR="00E421C6" w:rsidRPr="00AF63D8">
        <w:rPr>
          <w:vertAlign w:val="subscript"/>
        </w:rPr>
        <w:t>1</w:t>
      </w:r>
      <w:r w:rsidR="00E421C6">
        <w:t xml:space="preserve"> and </w:t>
      </w:r>
      <w:r w:rsidR="00E421C6" w:rsidRPr="00AF63D8">
        <w:rPr>
          <w:rFonts w:cs="Times New Roman"/>
          <w:i/>
          <w:iCs/>
        </w:rPr>
        <w:t>ϕ</w:t>
      </w:r>
      <w:r w:rsidR="00E421C6">
        <w:rPr>
          <w:vertAlign w:val="subscript"/>
        </w:rPr>
        <w:t>2</w:t>
      </w:r>
      <w:r w:rsidR="00E421C6">
        <w:t xml:space="preserve"> </w:t>
      </w:r>
      <w:r w:rsidR="007C2500">
        <w:t>are parameters</w:t>
      </w:r>
      <w:r w:rsidR="005B7311">
        <w:t xml:space="preserve">. </w:t>
      </w:r>
      <w:r w:rsidR="00022D4A">
        <w:t xml:space="preserve">The operator </w:t>
      </w:r>
      <m:oMath>
        <m:r>
          <w:rPr>
            <w:rFonts w:ascii="Cambria Math" w:hAnsi="Cambria Math"/>
          </w:rPr>
          <m:t>⨂</m:t>
        </m:r>
      </m:oMath>
      <w:r w:rsidR="00022D4A">
        <w:t xml:space="preserve"> denotes component-wise multiplication of two points </w:t>
      </w:r>
      <w:sdt>
        <w:sdtPr>
          <w:id w:val="293256049"/>
          <w:citation/>
        </w:sdtPr>
        <w:sdtContent>
          <w:r w:rsidR="00022D4A">
            <w:fldChar w:fldCharType="begin"/>
          </w:r>
          <w:r w:rsidR="00022D4A">
            <w:instrText xml:space="preserve">CITATION Poli2007 \p 3 \l 1033 </w:instrText>
          </w:r>
          <w:r w:rsidR="00022D4A">
            <w:fldChar w:fldCharType="separate"/>
          </w:r>
          <w:r w:rsidR="00022D4A" w:rsidRPr="00550E87">
            <w:rPr>
              <w:noProof/>
            </w:rPr>
            <w:t>(Poli, Kennedy, &amp; Blackwell, 2007, p. 3)</w:t>
          </w:r>
          <w:r w:rsidR="00022D4A">
            <w:fldChar w:fldCharType="end"/>
          </w:r>
        </w:sdtContent>
      </w:sdt>
      <w:r w:rsidR="00022D4A">
        <w:t xml:space="preserve">. </w:t>
      </w:r>
      <w:r w:rsidR="001F4E7B" w:rsidRPr="00650488">
        <w:t>Kennedy</w:t>
      </w:r>
      <w:r w:rsidR="001F4E7B">
        <w:t xml:space="preserve"> and </w:t>
      </w:r>
      <w:r w:rsidR="001F4E7B" w:rsidRPr="00016116">
        <w:t>Eberhart</w:t>
      </w:r>
      <w:r w:rsidR="001F4E7B">
        <w:t xml:space="preserve"> </w:t>
      </w:r>
      <w:sdt>
        <w:sdtPr>
          <w:id w:val="1966084586"/>
          <w:citation/>
        </w:sdtPr>
        <w:sdtContent>
          <w:r w:rsidR="001F4E7B">
            <w:fldChar w:fldCharType="begin"/>
          </w:r>
          <w:r w:rsidR="001F4E7B">
            <w:instrText xml:space="preserve">CITATION Poli2007 \p 13 \l 1033 </w:instrText>
          </w:r>
          <w:r w:rsidR="001F4E7B">
            <w:fldChar w:fldCharType="separate"/>
          </w:r>
          <w:r w:rsidR="001F4E7B">
            <w:rPr>
              <w:noProof/>
            </w:rPr>
            <w:t>(Poli, Kennedy, &amp; Blackwell, 2007, p. 13)</w:t>
          </w:r>
          <w:r w:rsidR="001F4E7B">
            <w:fldChar w:fldCharType="end"/>
          </w:r>
        </w:sdtContent>
      </w:sdt>
      <w:r w:rsidR="001F4E7B">
        <w:t xml:space="preserve">, </w:t>
      </w:r>
      <w:sdt>
        <w:sdtPr>
          <w:id w:val="662594826"/>
          <w:citation/>
        </w:sdtPr>
        <w:sdtContent>
          <w:r w:rsidR="001F4E7B">
            <w:fldChar w:fldCharType="begin"/>
          </w:r>
          <w:r w:rsidR="001F4E7B">
            <w:instrText xml:space="preserve">CITATION Pan08BBPSO \p 3 \l 1033 </w:instrText>
          </w:r>
          <w:r w:rsidR="001F4E7B">
            <w:fldChar w:fldCharType="separate"/>
          </w:r>
          <w:r w:rsidR="001F4E7B">
            <w:rPr>
              <w:noProof/>
            </w:rPr>
            <w:t>(Pan, Hu, Eberhart, &amp; Chen, 2008, p. 3)</w:t>
          </w:r>
          <w:r w:rsidR="001F4E7B">
            <w:fldChar w:fldCharType="end"/>
          </w:r>
        </w:sdtContent>
      </w:sdt>
      <w:r w:rsidR="001F4E7B">
        <w:t xml:space="preserve">, </w:t>
      </w:r>
      <w:sdt>
        <w:sdtPr>
          <w:id w:val="-477236792"/>
          <w:citation/>
        </w:sdtPr>
        <w:sdtContent>
          <w:r w:rsidR="001F4E7B">
            <w:fldChar w:fldCharType="begin"/>
          </w:r>
          <w:r w:rsidR="001F4E7B">
            <w:instrText xml:space="preserve">CITATION alRifaie12BBPSO \p 51 \l 1033 </w:instrText>
          </w:r>
          <w:r w:rsidR="001F4E7B">
            <w:fldChar w:fldCharType="separate"/>
          </w:r>
          <w:r w:rsidR="001F4E7B">
            <w:rPr>
              <w:noProof/>
            </w:rPr>
            <w:t>(al-Rifaie &amp; Blackwell, 2012, p. 51)</w:t>
          </w:r>
          <w:r w:rsidR="001F4E7B">
            <w:fldChar w:fldCharType="end"/>
          </w:r>
        </w:sdtContent>
      </w:sdt>
      <w:r w:rsidR="001F4E7B">
        <w:t xml:space="preserve"> asserted that,</w:t>
      </w:r>
      <w:r w:rsidR="001F4E7B" w:rsidRPr="00627EA9">
        <w:t xml:space="preserve"> </w:t>
      </w:r>
      <w:r w:rsidR="001F4E7B">
        <w:t xml:space="preserve">given </w:t>
      </w:r>
      <w:r w:rsidR="001F4E7B" w:rsidRPr="001F4E7B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 xml:space="preserve"> and </w:t>
      </w:r>
      <w:r w:rsidR="001F4E7B" w:rsidRPr="001F4E7B">
        <w:rPr>
          <w:i/>
          <w:iCs/>
        </w:rPr>
        <w:t>p</w:t>
      </w:r>
      <w:r w:rsidR="001F4E7B" w:rsidRPr="001F4E7B">
        <w:rPr>
          <w:i/>
          <w:iCs/>
          <w:vertAlign w:val="subscript"/>
        </w:rPr>
        <w:t>g</w:t>
      </w:r>
      <w:r w:rsidR="001F4E7B">
        <w:t xml:space="preserve">, </w:t>
      </w:r>
      <w:r w:rsidR="00260C95">
        <w:t xml:space="preserve">each </w:t>
      </w:r>
      <w:r w:rsidR="001F4E7B" w:rsidRPr="001F4E7B">
        <w:rPr>
          <w:i/>
          <w:iCs/>
        </w:rPr>
        <w:t>x</w:t>
      </w:r>
      <w:r w:rsidR="001F4E7B" w:rsidRPr="002763FD">
        <w:rPr>
          <w:i/>
          <w:iCs/>
          <w:vertAlign w:val="subscript"/>
        </w:rPr>
        <w:t>i</w:t>
      </w:r>
      <w:r w:rsidR="001F4E7B">
        <w:t xml:space="preserve"> follows normal distribution with mean (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>+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g</w:t>
      </w:r>
      <w:r w:rsidR="001F4E7B">
        <w:t>)/2 and variance (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>–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g</w:t>
      </w:r>
      <w:r w:rsidR="001F4E7B">
        <w:t>)</w:t>
      </w:r>
      <w:r w:rsidR="001F4E7B" w:rsidRPr="002763FD">
        <w:rPr>
          <w:vertAlign w:val="superscript"/>
        </w:rPr>
        <w:t>2</w:t>
      </w:r>
      <w:r w:rsidR="001F4E7B">
        <w:t>.</w:t>
      </w:r>
      <w:r w:rsidR="00696354">
        <w:t xml:space="preserve"> </w:t>
      </w:r>
      <w:r w:rsidR="00680BCB">
        <w:t xml:space="preserve">In this experiment, </w:t>
      </w:r>
      <w:r w:rsidR="00C00DD0">
        <w:t>I put random movements into updating positions of particles</w:t>
      </w:r>
      <w:r w:rsidR="00D27729">
        <w:t xml:space="preserve">, following </w:t>
      </w:r>
      <w:r w:rsidR="00DF1415">
        <w:t>normal distribution</w:t>
      </w:r>
      <w:r w:rsidR="00C00DD0">
        <w:t xml:space="preserve">. Moreover, </w:t>
      </w:r>
      <w:r w:rsidR="00680BCB">
        <w:t xml:space="preserve">I modify </w:t>
      </w:r>
      <w:r w:rsidR="001F766C">
        <w:t xml:space="preserve">this variance as </w:t>
      </w:r>
      <w:r w:rsidR="001F766C" w:rsidRPr="001F766C">
        <w:rPr>
          <w:rFonts w:cs="Times New Roman"/>
          <w:i/>
          <w:iCs/>
        </w:rPr>
        <w:t>σ</w:t>
      </w:r>
      <w:r w:rsidR="001F766C" w:rsidRPr="001F766C">
        <w:rPr>
          <w:vertAlign w:val="superscript"/>
        </w:rPr>
        <w:t>2</w:t>
      </w:r>
      <w:r w:rsidR="001F766C">
        <w:t xml:space="preserve"> = </w:t>
      </w:r>
      <w:r w:rsidR="001F766C">
        <w:rPr>
          <w:i/>
          <w:iCs/>
        </w:rPr>
        <w:t>r</w:t>
      </w:r>
      <w:r w:rsidR="001F766C" w:rsidRPr="001F766C">
        <w:rPr>
          <w:vertAlign w:val="superscript"/>
        </w:rPr>
        <w:t>2</w:t>
      </w:r>
      <w:r w:rsidR="001F766C">
        <w:t>(</w:t>
      </w:r>
      <w:r w:rsidR="001F766C" w:rsidRPr="002763FD">
        <w:rPr>
          <w:i/>
          <w:iCs/>
        </w:rPr>
        <w:t>p</w:t>
      </w:r>
      <w:r w:rsidR="001F766C" w:rsidRPr="002763FD">
        <w:rPr>
          <w:i/>
          <w:iCs/>
          <w:vertAlign w:val="subscript"/>
        </w:rPr>
        <w:t>i</w:t>
      </w:r>
      <w:r w:rsidR="001F766C">
        <w:t>–</w:t>
      </w:r>
      <w:r w:rsidR="001F766C" w:rsidRPr="002763FD">
        <w:rPr>
          <w:i/>
          <w:iCs/>
        </w:rPr>
        <w:t>p</w:t>
      </w:r>
      <w:r w:rsidR="001F766C" w:rsidRPr="002763FD">
        <w:rPr>
          <w:i/>
          <w:iCs/>
          <w:vertAlign w:val="subscript"/>
        </w:rPr>
        <w:t>g</w:t>
      </w:r>
      <w:r w:rsidR="001F766C">
        <w:t>)</w:t>
      </w:r>
      <w:r w:rsidR="001F766C" w:rsidRPr="002763FD">
        <w:rPr>
          <w:vertAlign w:val="superscript"/>
        </w:rPr>
        <w:t>2</w:t>
      </w:r>
      <w:r w:rsidR="001F766C">
        <w:t xml:space="preserve"> with </w:t>
      </w:r>
      <w:r w:rsidR="001F766C" w:rsidRPr="00CB2416">
        <w:rPr>
          <w:i/>
          <w:iCs/>
        </w:rPr>
        <w:t>r</w:t>
      </w:r>
      <w:r w:rsidR="001F766C">
        <w:t xml:space="preserve"> = 1, 2, 3, 4, 5 to monitor the convergence speed of </w:t>
      </w:r>
      <w:r w:rsidR="00F84466">
        <w:t>PSO.</w:t>
      </w:r>
      <w:r w:rsidR="009C6D5C">
        <w:t xml:space="preserve"> Note, </w:t>
      </w:r>
      <w:r w:rsidR="009C6D5C" w:rsidRPr="009C6D5C">
        <w:rPr>
          <w:i/>
          <w:iCs/>
        </w:rPr>
        <w:t>r</w:t>
      </w:r>
      <w:r w:rsidR="009C6D5C">
        <w:t xml:space="preserve"> is called convergence rate.</w:t>
      </w:r>
      <w:r w:rsidR="00737574">
        <w:t xml:space="preserve"> The target function is </w:t>
      </w:r>
      <w:sdt>
        <w:sdtPr>
          <w:id w:val="1736431539"/>
          <w:citation/>
        </w:sdtPr>
        <w:sdtContent>
          <w:r w:rsidR="00737574">
            <w:fldChar w:fldCharType="begin"/>
          </w:r>
          <w:r w:rsidR="00737574">
            <w:instrText xml:space="preserve">CITATION Sharma15PSOFitness \p 24 \l 1033 </w:instrText>
          </w:r>
          <w:r w:rsidR="00737574">
            <w:fldChar w:fldCharType="separate"/>
          </w:r>
          <w:r w:rsidR="00737574" w:rsidRPr="00556F7B">
            <w:rPr>
              <w:noProof/>
            </w:rPr>
            <w:t>(Sharma, Chhamunya, Gupta, Sharma, &amp; Bansal, 2015, p. 24)</w:t>
          </w:r>
          <w:r w:rsidR="00737574">
            <w:fldChar w:fldCharType="end"/>
          </w:r>
        </w:sdtContent>
      </w:sdt>
      <w:r w:rsidR="00737574">
        <w:t>:</w:t>
      </w:r>
    </w:p>
    <w:p w14:paraId="0EBDDE17" w14:textId="3958E6D8" w:rsidR="00737574" w:rsidRDefault="00737574" w:rsidP="0073757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4EDE046" w14:textId="491898E1" w:rsidR="00E07C94" w:rsidRPr="0077373A" w:rsidRDefault="0077373A" w:rsidP="00E07C94">
      <w:r>
        <w:t>Note, super script “</w:t>
      </w:r>
      <w:r w:rsidRPr="0077373A">
        <w:rPr>
          <w:i/>
          <w:iCs/>
          <w:vertAlign w:val="superscript"/>
        </w:rPr>
        <w:t>T</w:t>
      </w:r>
      <w:r>
        <w:t>” denotes vector transposition operator. Given</w:t>
      </w:r>
      <w:r w:rsidRPr="00460138">
        <w:t xml:space="preserve"> true </w:t>
      </w:r>
      <w:r w:rsidR="00657CFB">
        <w:t>minimizer</w:t>
      </w:r>
      <w:r w:rsidRPr="00460138">
        <w:t xml:space="preserve"> </w:t>
      </w:r>
      <w:r w:rsidRPr="00460138">
        <w:rPr>
          <w:b/>
          <w:bCs/>
          <w:i/>
          <w:iCs/>
        </w:rPr>
        <w:t>x</w:t>
      </w:r>
      <w:r w:rsidRPr="00460138">
        <w:rPr>
          <w:vertAlign w:val="superscript"/>
        </w:rPr>
        <w:t>*</w:t>
      </w:r>
      <w:r w:rsidRPr="00460138">
        <w:t xml:space="preserve"> = (</w:t>
      </w:r>
      <w:r>
        <w:t>3.1416</w:t>
      </w:r>
      <w:r w:rsidRPr="00460138">
        <w:t xml:space="preserve">, </w:t>
      </w:r>
      <w:r>
        <w:t>3.1416</w:t>
      </w:r>
      <w:r w:rsidRPr="00460138">
        <w:t>)</w:t>
      </w:r>
      <w:r w:rsidRPr="00460138">
        <w:rPr>
          <w:i/>
          <w:iCs/>
          <w:vertAlign w:val="superscript"/>
        </w:rPr>
        <w:t>T</w:t>
      </w:r>
      <w:r>
        <w:t xml:space="preserve"> with true </w:t>
      </w:r>
      <w:r w:rsidR="00657CFB">
        <w:t>minimum</w:t>
      </w:r>
      <w:r>
        <w:t xml:space="preserve"> </w:t>
      </w:r>
      <w:r w:rsidRPr="0077373A">
        <w:rPr>
          <w:i/>
          <w:iCs/>
        </w:rPr>
        <w:t>f</w:t>
      </w:r>
      <w:r w:rsidRPr="0077373A">
        <w:rPr>
          <w:vertAlign w:val="superscript"/>
        </w:rPr>
        <w:t>*</w:t>
      </w:r>
      <w:r>
        <w:t xml:space="preserve"> = –1</w:t>
      </w:r>
      <w:r w:rsidR="00657CFB">
        <w:t>,</w:t>
      </w:r>
      <w:r>
        <w:t xml:space="preserve"> table 4.1 shows the experimental results with </w:t>
      </w:r>
      <w:r w:rsidR="009077D4">
        <w:t xml:space="preserve">minimum biases </w:t>
      </w:r>
      <w:r w:rsidR="00657CFB">
        <w:t>and iteration</w:t>
      </w:r>
      <w:r w:rsidR="00F9192E">
        <w:t xml:space="preserve"> counts </w:t>
      </w:r>
      <w:r w:rsidR="00657CFB">
        <w:t>over convergence rates.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1177"/>
        <w:gridCol w:w="1177"/>
        <w:gridCol w:w="1905"/>
        <w:gridCol w:w="1029"/>
      </w:tblGrid>
      <w:tr w:rsidR="00582E4D" w14:paraId="31D5812D" w14:textId="124F69A2" w:rsidTr="00107165">
        <w:trPr>
          <w:jc w:val="center"/>
        </w:trPr>
        <w:tc>
          <w:tcPr>
            <w:tcW w:w="0" w:type="auto"/>
          </w:tcPr>
          <w:p w14:paraId="229CF071" w14:textId="77777777" w:rsidR="00582E4D" w:rsidRDefault="00582E4D" w:rsidP="000913E0"/>
        </w:tc>
        <w:tc>
          <w:tcPr>
            <w:tcW w:w="0" w:type="auto"/>
          </w:tcPr>
          <w:p w14:paraId="79C0E375" w14:textId="23F43AC3" w:rsidR="00582E4D" w:rsidRDefault="00582E4D" w:rsidP="000913E0">
            <w:pPr>
              <w:jc w:val="center"/>
            </w:pPr>
            <w:r>
              <w:t>Minimum</w:t>
            </w:r>
          </w:p>
        </w:tc>
        <w:tc>
          <w:tcPr>
            <w:tcW w:w="0" w:type="auto"/>
          </w:tcPr>
          <w:p w14:paraId="6FF69CCE" w14:textId="1FF42892" w:rsidR="00582E4D" w:rsidRDefault="00582E4D" w:rsidP="000913E0">
            <w:pPr>
              <w:jc w:val="center"/>
            </w:pPr>
            <w:r>
              <w:t>Minimum</w:t>
            </w:r>
          </w:p>
          <w:p w14:paraId="77E2F97C" w14:textId="4EF40FAE" w:rsidR="00582E4D" w:rsidRDefault="00582E4D" w:rsidP="000913E0">
            <w:pPr>
              <w:jc w:val="center"/>
            </w:pPr>
            <w:r>
              <w:t>bias</w:t>
            </w:r>
          </w:p>
        </w:tc>
        <w:tc>
          <w:tcPr>
            <w:tcW w:w="0" w:type="auto"/>
          </w:tcPr>
          <w:p w14:paraId="5989FF29" w14:textId="0238C4B6" w:rsidR="00582E4D" w:rsidRDefault="00582E4D" w:rsidP="000913E0">
            <w:pPr>
              <w:jc w:val="center"/>
            </w:pPr>
            <w:r>
              <w:t>Minimizer</w:t>
            </w:r>
          </w:p>
        </w:tc>
        <w:tc>
          <w:tcPr>
            <w:tcW w:w="0" w:type="auto"/>
          </w:tcPr>
          <w:p w14:paraId="1DC36AB7" w14:textId="77777777" w:rsidR="00582E4D" w:rsidRDefault="00F9192E" w:rsidP="000913E0">
            <w:pPr>
              <w:jc w:val="center"/>
            </w:pPr>
            <w:r>
              <w:t>I</w:t>
            </w:r>
            <w:r w:rsidR="000B647A">
              <w:t>teration</w:t>
            </w:r>
          </w:p>
          <w:p w14:paraId="0B9430DD" w14:textId="3A046473" w:rsidR="00F9192E" w:rsidRDefault="00F9192E" w:rsidP="000913E0">
            <w:pPr>
              <w:jc w:val="center"/>
            </w:pPr>
            <w:r>
              <w:t>count</w:t>
            </w:r>
          </w:p>
        </w:tc>
      </w:tr>
      <w:tr w:rsidR="00582E4D" w14:paraId="3C1C0985" w14:textId="4F234CED" w:rsidTr="00107165">
        <w:trPr>
          <w:jc w:val="center"/>
        </w:trPr>
        <w:tc>
          <w:tcPr>
            <w:tcW w:w="0" w:type="auto"/>
          </w:tcPr>
          <w:p w14:paraId="66C97ABB" w14:textId="5CBEF85E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=1</w:t>
            </w:r>
          </w:p>
        </w:tc>
        <w:tc>
          <w:tcPr>
            <w:tcW w:w="0" w:type="auto"/>
          </w:tcPr>
          <w:p w14:paraId="5A763A8A" w14:textId="47AEF6F2" w:rsidR="00582E4D" w:rsidRDefault="00582E4D" w:rsidP="00DB2651">
            <w:pPr>
              <w:jc w:val="right"/>
            </w:pPr>
            <w:r>
              <w:t>–</w:t>
            </w:r>
            <w:r w:rsidRPr="00147254">
              <w:t>0.9996</w:t>
            </w:r>
          </w:p>
        </w:tc>
        <w:tc>
          <w:tcPr>
            <w:tcW w:w="0" w:type="auto"/>
          </w:tcPr>
          <w:p w14:paraId="04B09B79" w14:textId="2AA58A2D" w:rsidR="00582E4D" w:rsidRDefault="00795B59" w:rsidP="00DB2651">
            <w:pPr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0649348C" w14:textId="1B0661D5" w:rsidR="00582E4D" w:rsidRDefault="00582E4D" w:rsidP="00DB2651">
            <w:pPr>
              <w:jc w:val="right"/>
            </w:pPr>
            <w:r>
              <w:t>(</w:t>
            </w:r>
            <w:r w:rsidRPr="00DB2651">
              <w:t>3.1275, 3.1327</w:t>
            </w:r>
            <w:r>
              <w:t>)</w:t>
            </w:r>
            <w:r w:rsidR="00507061"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184AF43F" w14:textId="71104E7E" w:rsidR="00582E4D" w:rsidRDefault="00582E4D" w:rsidP="00DB2651">
            <w:pPr>
              <w:jc w:val="right"/>
            </w:pPr>
            <w:r>
              <w:t>18</w:t>
            </w:r>
          </w:p>
        </w:tc>
      </w:tr>
      <w:tr w:rsidR="00582E4D" w14:paraId="18AABEA9" w14:textId="0E88C7B1" w:rsidTr="00107165">
        <w:trPr>
          <w:jc w:val="center"/>
        </w:trPr>
        <w:tc>
          <w:tcPr>
            <w:tcW w:w="0" w:type="auto"/>
          </w:tcPr>
          <w:p w14:paraId="1AA6055E" w14:textId="7B8219EC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=2</w:t>
            </w:r>
          </w:p>
        </w:tc>
        <w:tc>
          <w:tcPr>
            <w:tcW w:w="0" w:type="auto"/>
          </w:tcPr>
          <w:p w14:paraId="6E2896A7" w14:textId="222BA223" w:rsidR="00582E4D" w:rsidRDefault="00582E4D" w:rsidP="00DB2651">
            <w:pPr>
              <w:jc w:val="right"/>
            </w:pPr>
            <w:r>
              <w:t>–</w:t>
            </w:r>
            <w:r w:rsidRPr="00ED337E">
              <w:t>0.996</w:t>
            </w:r>
            <w:r>
              <w:t>0</w:t>
            </w:r>
          </w:p>
        </w:tc>
        <w:tc>
          <w:tcPr>
            <w:tcW w:w="0" w:type="auto"/>
          </w:tcPr>
          <w:p w14:paraId="262864A7" w14:textId="121FB1D3" w:rsidR="00582E4D" w:rsidRDefault="00795B59" w:rsidP="00DB2651">
            <w:pPr>
              <w:jc w:val="right"/>
            </w:pPr>
            <w:r>
              <w:t>0.0040</w:t>
            </w:r>
          </w:p>
        </w:tc>
        <w:tc>
          <w:tcPr>
            <w:tcW w:w="0" w:type="auto"/>
          </w:tcPr>
          <w:p w14:paraId="76AA285E" w14:textId="212E2ACC" w:rsidR="00582E4D" w:rsidRDefault="00582E4D" w:rsidP="00DB2651">
            <w:pPr>
              <w:jc w:val="right"/>
            </w:pPr>
            <w:r>
              <w:t>(</w:t>
            </w:r>
            <w:r w:rsidRPr="00ED337E">
              <w:t>3.1911, 3.127</w:t>
            </w:r>
            <w:r>
              <w:t>0)</w:t>
            </w:r>
            <w:r w:rsidR="00507061"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30618A9F" w14:textId="6EDCCD44" w:rsidR="00582E4D" w:rsidRDefault="007A4220" w:rsidP="00DB2651">
            <w:pPr>
              <w:jc w:val="right"/>
            </w:pPr>
            <w:r>
              <w:t>16</w:t>
            </w:r>
          </w:p>
        </w:tc>
      </w:tr>
      <w:tr w:rsidR="00582E4D" w14:paraId="083251D8" w14:textId="290FCDE1" w:rsidTr="00107165">
        <w:trPr>
          <w:jc w:val="center"/>
        </w:trPr>
        <w:tc>
          <w:tcPr>
            <w:tcW w:w="0" w:type="auto"/>
          </w:tcPr>
          <w:p w14:paraId="6961115D" w14:textId="3044CDF5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=3</w:t>
            </w:r>
          </w:p>
        </w:tc>
        <w:tc>
          <w:tcPr>
            <w:tcW w:w="0" w:type="auto"/>
          </w:tcPr>
          <w:p w14:paraId="4BE410EC" w14:textId="1D5A13AC" w:rsidR="00582E4D" w:rsidRDefault="00B80F4E" w:rsidP="00DB2651">
            <w:pPr>
              <w:jc w:val="right"/>
            </w:pPr>
            <w:r>
              <w:t>–</w:t>
            </w:r>
            <w:r w:rsidRPr="00B80F4E">
              <w:t>0.9982</w:t>
            </w:r>
          </w:p>
        </w:tc>
        <w:tc>
          <w:tcPr>
            <w:tcW w:w="0" w:type="auto"/>
          </w:tcPr>
          <w:p w14:paraId="076A1C68" w14:textId="50AC6E4D" w:rsidR="00582E4D" w:rsidRDefault="0012336A" w:rsidP="00DB2651">
            <w:pPr>
              <w:jc w:val="right"/>
            </w:pPr>
            <w:r>
              <w:t>0.00</w:t>
            </w:r>
            <w:r w:rsidR="00283595">
              <w:t>1</w:t>
            </w:r>
            <w:r>
              <w:t>8</w:t>
            </w:r>
          </w:p>
        </w:tc>
        <w:tc>
          <w:tcPr>
            <w:tcW w:w="0" w:type="auto"/>
          </w:tcPr>
          <w:p w14:paraId="0CD08020" w14:textId="64BB2570" w:rsidR="00582E4D" w:rsidRDefault="0012336A" w:rsidP="00DB2651">
            <w:pPr>
              <w:jc w:val="right"/>
            </w:pPr>
            <w:r>
              <w:t>(</w:t>
            </w:r>
            <w:r w:rsidRPr="0012336A">
              <w:t>3.1231, 3.1127</w:t>
            </w:r>
            <w:r>
              <w:t>)</w:t>
            </w:r>
            <w:r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5E59FB97" w14:textId="3C003C5D" w:rsidR="00582E4D" w:rsidRDefault="0012336A" w:rsidP="00DB2651">
            <w:pPr>
              <w:jc w:val="right"/>
            </w:pPr>
            <w:r>
              <w:t>14</w:t>
            </w:r>
          </w:p>
        </w:tc>
      </w:tr>
      <w:tr w:rsidR="00582E4D" w14:paraId="6EA45B9D" w14:textId="3D15BB4E" w:rsidTr="00107165">
        <w:trPr>
          <w:jc w:val="center"/>
        </w:trPr>
        <w:tc>
          <w:tcPr>
            <w:tcW w:w="0" w:type="auto"/>
          </w:tcPr>
          <w:p w14:paraId="0D7A834B" w14:textId="6813536C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=4</w:t>
            </w:r>
          </w:p>
        </w:tc>
        <w:tc>
          <w:tcPr>
            <w:tcW w:w="0" w:type="auto"/>
          </w:tcPr>
          <w:p w14:paraId="300B9416" w14:textId="6310F199" w:rsidR="00582E4D" w:rsidRDefault="00DF6A4C" w:rsidP="00DB2651">
            <w:pPr>
              <w:jc w:val="right"/>
            </w:pPr>
            <w:r>
              <w:t>–</w:t>
            </w:r>
            <w:r w:rsidRPr="00DF6A4C">
              <w:t>0.9992</w:t>
            </w:r>
          </w:p>
        </w:tc>
        <w:tc>
          <w:tcPr>
            <w:tcW w:w="0" w:type="auto"/>
          </w:tcPr>
          <w:p w14:paraId="473CE08A" w14:textId="75D10F19" w:rsidR="00582E4D" w:rsidRDefault="00283595" w:rsidP="00DB2651">
            <w:pPr>
              <w:jc w:val="right"/>
            </w:pPr>
            <w:r>
              <w:t>0.0008</w:t>
            </w:r>
          </w:p>
        </w:tc>
        <w:tc>
          <w:tcPr>
            <w:tcW w:w="0" w:type="auto"/>
          </w:tcPr>
          <w:p w14:paraId="057EF217" w14:textId="505A1B35" w:rsidR="00582E4D" w:rsidRDefault="006B7FC8" w:rsidP="00DB2651">
            <w:pPr>
              <w:jc w:val="right"/>
            </w:pPr>
            <w:r>
              <w:t>(</w:t>
            </w:r>
            <w:r w:rsidRPr="006B7FC8">
              <w:t>3.1545, 3.1607</w:t>
            </w:r>
            <w:r>
              <w:t>)</w:t>
            </w:r>
            <w:r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05BF64F3" w14:textId="0515BB90" w:rsidR="00582E4D" w:rsidRDefault="006B7FC8" w:rsidP="00DB2651">
            <w:pPr>
              <w:jc w:val="right"/>
            </w:pPr>
            <w:r>
              <w:t>15</w:t>
            </w:r>
          </w:p>
        </w:tc>
      </w:tr>
      <w:tr w:rsidR="00582E4D" w14:paraId="42A29431" w14:textId="1A9067F1" w:rsidTr="00107165">
        <w:trPr>
          <w:jc w:val="center"/>
        </w:trPr>
        <w:tc>
          <w:tcPr>
            <w:tcW w:w="0" w:type="auto"/>
          </w:tcPr>
          <w:p w14:paraId="019B7972" w14:textId="1F5D331B" w:rsidR="00582E4D" w:rsidRPr="007A5A21" w:rsidRDefault="00582E4D" w:rsidP="00E07C94">
            <w:pPr>
              <w:rPr>
                <w:i/>
                <w:iCs/>
              </w:rPr>
            </w:pPr>
            <w:r w:rsidRPr="007A5A21">
              <w:rPr>
                <w:i/>
                <w:iCs/>
              </w:rPr>
              <w:t>r</w:t>
            </w:r>
            <w:r>
              <w:t>=5</w:t>
            </w:r>
          </w:p>
        </w:tc>
        <w:tc>
          <w:tcPr>
            <w:tcW w:w="0" w:type="auto"/>
          </w:tcPr>
          <w:p w14:paraId="448EC190" w14:textId="332A7680" w:rsidR="00582E4D" w:rsidRDefault="00E84A17" w:rsidP="00DB2651">
            <w:pPr>
              <w:jc w:val="right"/>
            </w:pPr>
            <w:r>
              <w:t>–</w:t>
            </w:r>
            <w:r w:rsidRPr="00E84A17">
              <w:t>0.9999</w:t>
            </w:r>
          </w:p>
        </w:tc>
        <w:tc>
          <w:tcPr>
            <w:tcW w:w="0" w:type="auto"/>
          </w:tcPr>
          <w:p w14:paraId="33A47F2A" w14:textId="337722D0" w:rsidR="00582E4D" w:rsidRDefault="00E84A17" w:rsidP="00DB2651">
            <w:pPr>
              <w:jc w:val="right"/>
            </w:pPr>
            <w:r>
              <w:t>0.0001</w:t>
            </w:r>
          </w:p>
        </w:tc>
        <w:tc>
          <w:tcPr>
            <w:tcW w:w="0" w:type="auto"/>
          </w:tcPr>
          <w:p w14:paraId="48AF48FF" w14:textId="7F436980" w:rsidR="00582E4D" w:rsidRDefault="00A16334" w:rsidP="00DB2651">
            <w:pPr>
              <w:jc w:val="right"/>
            </w:pPr>
            <w:r>
              <w:t>(</w:t>
            </w:r>
            <w:r w:rsidRPr="00A16334">
              <w:t>3.1356, 3.1465</w:t>
            </w:r>
            <w:r>
              <w:t>)</w:t>
            </w:r>
            <w:r w:rsidRPr="00A16334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30F03BBA" w14:textId="44EDE8D3" w:rsidR="00582E4D" w:rsidRDefault="00A16334" w:rsidP="00DB2651">
            <w:pPr>
              <w:jc w:val="right"/>
            </w:pPr>
            <w:r>
              <w:t>23</w:t>
            </w:r>
          </w:p>
        </w:tc>
      </w:tr>
    </w:tbl>
    <w:p w14:paraId="42F61B01" w14:textId="4B394047" w:rsidR="0024531D" w:rsidRPr="00957425" w:rsidRDefault="0024531D" w:rsidP="00957480">
      <w:pPr>
        <w:jc w:val="center"/>
      </w:pPr>
      <w:r w:rsidRPr="00957480">
        <w:rPr>
          <w:b/>
          <w:bCs/>
        </w:rPr>
        <w:t>Table 4.1.</w:t>
      </w:r>
      <w:r>
        <w:t xml:space="preserve"> </w:t>
      </w:r>
      <w:r w:rsidR="003321B5">
        <w:t xml:space="preserve">Experimental results </w:t>
      </w:r>
      <w:r w:rsidR="004C00A8">
        <w:t>with increased convergence rates</w:t>
      </w:r>
    </w:p>
    <w:p w14:paraId="40E7FE13" w14:textId="77777777" w:rsidR="00E3083E" w:rsidRDefault="000B647A" w:rsidP="00E07C94">
      <w:r>
        <w:t xml:space="preserve">From table 4.1, convergence speed is increased from </w:t>
      </w:r>
      <w:r w:rsidRPr="000B647A">
        <w:rPr>
          <w:i/>
          <w:iCs/>
        </w:rPr>
        <w:t>r</w:t>
      </w:r>
      <w:r>
        <w:t xml:space="preserve">=1 to </w:t>
      </w:r>
      <w:r w:rsidRPr="000B647A">
        <w:rPr>
          <w:i/>
          <w:iCs/>
        </w:rPr>
        <w:t>r</w:t>
      </w:r>
      <w:r>
        <w:t xml:space="preserve">=4 because </w:t>
      </w:r>
      <w:r w:rsidR="00053AB3">
        <w:t xml:space="preserve">the </w:t>
      </w:r>
      <w:r w:rsidR="00F9192E">
        <w:t xml:space="preserve">iteration </w:t>
      </w:r>
      <w:r w:rsidR="002248EF">
        <w:t xml:space="preserve">count </w:t>
      </w:r>
      <w:r w:rsidR="00F9192E">
        <w:t xml:space="preserve">is </w:t>
      </w:r>
      <w:r w:rsidR="002248EF">
        <w:t>decreased</w:t>
      </w:r>
      <w:r>
        <w:t xml:space="preserve">. Especially, at </w:t>
      </w:r>
      <w:r w:rsidRPr="006B00B1">
        <w:rPr>
          <w:i/>
          <w:iCs/>
        </w:rPr>
        <w:t>r</w:t>
      </w:r>
      <w:r>
        <w:t xml:space="preserve"> = 5, </w:t>
      </w:r>
      <w:r w:rsidR="006B00B1">
        <w:t>convergence speed is not increased as expectation</w:t>
      </w:r>
      <w:r w:rsidR="00760F11">
        <w:t xml:space="preserve"> but the best converged value </w:t>
      </w:r>
      <w:r w:rsidR="004872BF">
        <w:t>(–</w:t>
      </w:r>
      <w:r w:rsidR="004872BF" w:rsidRPr="00E84A17">
        <w:t>0.9999</w:t>
      </w:r>
      <w:r w:rsidR="004872BF">
        <w:t xml:space="preserve">) </w:t>
      </w:r>
      <w:r w:rsidR="00760F11">
        <w:t xml:space="preserve">is obtained with smallest bias </w:t>
      </w:r>
      <w:r w:rsidR="0017358C">
        <w:t>(</w:t>
      </w:r>
      <w:r w:rsidR="00760F11">
        <w:t>0.0001</w:t>
      </w:r>
      <w:r w:rsidR="0017358C">
        <w:t>)</w:t>
      </w:r>
      <w:r w:rsidR="00760F11">
        <w:t>.</w:t>
      </w:r>
      <w:r w:rsidR="004872BF">
        <w:t xml:space="preserve"> Therefore, </w:t>
      </w:r>
      <w:r w:rsidR="00653663">
        <w:t xml:space="preserve">it is no doubt that </w:t>
      </w:r>
      <w:r w:rsidR="0065520C">
        <w:t xml:space="preserve">convergence speed is improved by increasing the variance which makes </w:t>
      </w:r>
      <w:r w:rsidR="00291968">
        <w:t xml:space="preserve">function </w:t>
      </w:r>
      <w:r w:rsidR="00291968">
        <w:rPr>
          <w:rFonts w:cs="Times New Roman"/>
          <w:i/>
          <w:iCs/>
        </w:rPr>
        <w:t>g</w:t>
      </w:r>
      <w:r w:rsidR="00291968" w:rsidRPr="0063530B">
        <w:rPr>
          <w:rFonts w:cs="Times New Roman"/>
        </w:rPr>
        <w:t>(</w:t>
      </w:r>
      <w:r w:rsidR="00291968">
        <w:rPr>
          <w:rFonts w:cs="Times New Roman"/>
          <w:i/>
          <w:iCs/>
        </w:rPr>
        <w:t>x</w:t>
      </w:r>
      <w:r w:rsidR="00291968" w:rsidRPr="0063530B">
        <w:rPr>
          <w:rFonts w:cs="Times New Roman"/>
        </w:rPr>
        <w:t>)</w:t>
      </w:r>
      <w:r w:rsidR="00291968">
        <w:rPr>
          <w:rFonts w:cs="Times New Roman"/>
        </w:rPr>
        <w:t xml:space="preserve"> steeper.</w:t>
      </w:r>
      <w:r w:rsidR="004304AD" w:rsidRPr="004304AD">
        <w:t xml:space="preserve"> </w:t>
      </w:r>
      <w:r w:rsidR="004304AD">
        <w:t>The PSO source code is available at</w:t>
      </w:r>
    </w:p>
    <w:p w14:paraId="0FF19F4A" w14:textId="1F0AF885" w:rsidR="00957425" w:rsidRDefault="00E3083E" w:rsidP="00E3083E">
      <w:pPr>
        <w:jc w:val="center"/>
      </w:pPr>
      <w:r w:rsidRPr="00E3083E">
        <w:t>https://github.com/ngphloc/ai/tree/main/3_implementation/src/net/ea/pso</w:t>
      </w:r>
    </w:p>
    <w:p w14:paraId="517294AF" w14:textId="77777777" w:rsidR="006B00B1" w:rsidRDefault="006B00B1" w:rsidP="00E07C94"/>
    <w:p w14:paraId="0017AF03" w14:textId="483F80D2" w:rsidR="00E07C94" w:rsidRPr="00876410" w:rsidRDefault="0024531D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E07C94" w:rsidRPr="00876410">
        <w:rPr>
          <w:b/>
          <w:bCs/>
          <w:sz w:val="28"/>
          <w:szCs w:val="28"/>
        </w:rPr>
        <w:t>. Conclusions</w:t>
      </w:r>
    </w:p>
    <w:p w14:paraId="6F0B4F15" w14:textId="0C830E6D" w:rsidR="00876410" w:rsidRPr="0056229B" w:rsidRDefault="00F97346" w:rsidP="00E07C94">
      <w:r>
        <w:lastRenderedPageBreak/>
        <w:t xml:space="preserve">Some optimization algorithms like PSO </w:t>
      </w:r>
      <w:r w:rsidR="000A1668">
        <w:t xml:space="preserve">take advantages of distribution of </w:t>
      </w:r>
      <w:r w:rsidR="000A1668" w:rsidRPr="000A1668">
        <w:rPr>
          <w:i/>
          <w:iCs/>
        </w:rPr>
        <w:t>x</w:t>
      </w:r>
      <w:r w:rsidR="000A1668">
        <w:t xml:space="preserve"> instead of taking advantages of </w:t>
      </w:r>
      <w:r w:rsidR="000A1668" w:rsidRPr="00721175">
        <w:rPr>
          <w:i/>
          <w:iCs/>
        </w:rPr>
        <w:t>f</w:t>
      </w:r>
      <w:r w:rsidR="000A1668">
        <w:t>(</w:t>
      </w:r>
      <w:r w:rsidR="000A1668" w:rsidRPr="00721175">
        <w:rPr>
          <w:i/>
          <w:iCs/>
        </w:rPr>
        <w:t>x</w:t>
      </w:r>
      <w:r w:rsidR="000A1668">
        <w:t>).</w:t>
      </w:r>
      <w:r w:rsidR="00023C93">
        <w:t xml:space="preserve"> In other words, they define implicitly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as function of </w:t>
      </w:r>
      <w:r w:rsidR="00023C93" w:rsidRPr="00023C93">
        <w:rPr>
          <w:i/>
          <w:iCs/>
        </w:rPr>
        <w:t>x</w:t>
      </w:r>
      <w:r w:rsidR="00023C93">
        <w:t xml:space="preserve"> instead of </w:t>
      </w:r>
      <w:r w:rsidR="00892B87">
        <w:t xml:space="preserve">function of </w:t>
      </w:r>
      <w:r w:rsidR="00892B87" w:rsidRPr="00892B87">
        <w:rPr>
          <w:i/>
          <w:iCs/>
        </w:rPr>
        <w:t>f</w:t>
      </w:r>
      <w:r w:rsidR="00892B87">
        <w:t>(</w:t>
      </w:r>
      <w:r w:rsidR="00892B87" w:rsidRPr="00023C93">
        <w:rPr>
          <w:i/>
          <w:iCs/>
        </w:rPr>
        <w:t>x</w:t>
      </w:r>
      <w:r w:rsidR="00892B87" w:rsidRPr="00892B87">
        <w:t xml:space="preserve">) </w:t>
      </w:r>
      <w:r w:rsidR="00870484">
        <w:t>like</w:t>
      </w:r>
      <w:r w:rsidR="00892B87" w:rsidRPr="00892B87">
        <w:rPr>
          <w:rFonts w:cs="Times New Roman"/>
        </w:rPr>
        <w:t xml:space="preserve">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= </w:t>
      </w:r>
      <w:r w:rsidR="00023C93">
        <w:rPr>
          <w:rFonts w:cs="Times New Roman"/>
          <w:i/>
          <w:iCs/>
        </w:rPr>
        <w:t>ρ</w:t>
      </w:r>
      <w:r w:rsidR="00023C93">
        <w:t>(</w:t>
      </w:r>
      <w:r w:rsidR="00023C93" w:rsidRPr="003C10D8">
        <w:rPr>
          <w:i/>
          <w:iCs/>
        </w:rPr>
        <w:t>f</w:t>
      </w:r>
      <w:r w:rsidR="00023C93">
        <w:t>(</w:t>
      </w:r>
      <w:r w:rsidR="00023C93">
        <w:rPr>
          <w:i/>
          <w:iCs/>
        </w:rPr>
        <w:t>x</w:t>
      </w:r>
      <w:r w:rsidR="00023C93">
        <w:t>)).</w:t>
      </w:r>
      <w:r w:rsidR="00DB2BFE">
        <w:t xml:space="preserve"> Therefore, it is reasonable to assert their convergence by the weak convergence condition.</w:t>
      </w:r>
      <w:r w:rsidR="004F49F1">
        <w:t xml:space="preserve"> </w:t>
      </w:r>
      <w:r w:rsidR="0056229B">
        <w:t>T</w:t>
      </w:r>
      <w:r w:rsidR="004F49F1">
        <w:t xml:space="preserve">he convergence speed </w:t>
      </w:r>
      <w:r w:rsidR="00AD5A6B">
        <w:t xml:space="preserve">also depends on acuteness of </w:t>
      </w:r>
      <w:r w:rsidR="001B2B1C">
        <w:t xml:space="preserve">the </w:t>
      </w:r>
      <w:r w:rsidR="00D23C08">
        <w:t>knowledge</w:t>
      </w:r>
      <w:r w:rsidR="001B2B1C">
        <w:t xml:space="preserve"> function </w:t>
      </w:r>
      <w:r w:rsidR="001B2B1C" w:rsidRPr="008223A5">
        <w:rPr>
          <w:i/>
          <w:iCs/>
        </w:rPr>
        <w:t>w</w:t>
      </w:r>
      <w:r w:rsidR="001B2B1C" w:rsidRPr="008223A5">
        <w:rPr>
          <w:i/>
          <w:iCs/>
          <w:vertAlign w:val="subscript"/>
        </w:rPr>
        <w:t>k</w:t>
      </w:r>
      <w:r w:rsidR="001B2B1C">
        <w:t>(</w:t>
      </w:r>
      <w:r w:rsidR="001B2B1C" w:rsidRPr="008223A5">
        <w:rPr>
          <w:rFonts w:cs="Times New Roman"/>
          <w:i/>
          <w:iCs/>
        </w:rPr>
        <w:t>τ</w:t>
      </w:r>
      <w:r w:rsidR="001B2B1C">
        <w:t>)</w:t>
      </w:r>
      <w:r w:rsidR="0056229B">
        <w:t xml:space="preserve">, besides the slope </w:t>
      </w:r>
      <w:r w:rsidR="0056229B" w:rsidRPr="00EF3210">
        <w:rPr>
          <w:i/>
          <w:iCs/>
        </w:rPr>
        <w:t>Q</w:t>
      </w:r>
      <w:r w:rsidR="0056229B">
        <w:rPr>
          <w:rFonts w:cs="Times New Roman"/>
          <w:i/>
          <w:iCs/>
          <w:vertAlign w:val="subscript"/>
        </w:rPr>
        <w:t>τ</w:t>
      </w:r>
      <w:r w:rsidR="0056229B">
        <w:rPr>
          <w:rFonts w:cs="Times New Roman"/>
        </w:rPr>
        <w:t xml:space="preserve"> of </w:t>
      </w:r>
      <w:r w:rsidR="0056229B" w:rsidRPr="008F23EC">
        <w:rPr>
          <w:rFonts w:cs="Times New Roman"/>
          <w:i/>
          <w:iCs/>
        </w:rPr>
        <w:t>τ</w:t>
      </w:r>
      <w:r w:rsidR="0056229B">
        <w:t>(</w:t>
      </w:r>
      <w:r w:rsidR="0056229B" w:rsidRPr="008F23EC">
        <w:rPr>
          <w:i/>
          <w:iCs/>
        </w:rPr>
        <w:t>x</w:t>
      </w:r>
      <w:r w:rsidR="0056229B">
        <w:t>).</w:t>
      </w:r>
      <w:r w:rsidR="003676CE">
        <w:t xml:space="preserve"> It is inferred that </w:t>
      </w:r>
      <w:r w:rsidR="003676CE" w:rsidRPr="008223A5">
        <w:rPr>
          <w:i/>
          <w:iCs/>
        </w:rPr>
        <w:t>w</w:t>
      </w:r>
      <w:r w:rsidR="003676CE" w:rsidRPr="008223A5">
        <w:rPr>
          <w:i/>
          <w:iCs/>
          <w:vertAlign w:val="subscript"/>
        </w:rPr>
        <w:t>k</w:t>
      </w:r>
      <w:r w:rsidR="003676CE">
        <w:t>(</w:t>
      </w:r>
      <w:r w:rsidR="003676CE" w:rsidRPr="008223A5">
        <w:rPr>
          <w:rFonts w:cs="Times New Roman"/>
          <w:i/>
          <w:iCs/>
        </w:rPr>
        <w:t>τ</w:t>
      </w:r>
      <w:r w:rsidR="003676CE">
        <w:t xml:space="preserve">) implies the knowledge </w:t>
      </w:r>
      <w:r w:rsidR="00BF6FA4">
        <w:t>amount</w:t>
      </w:r>
      <w:r w:rsidR="003676CE">
        <w:t xml:space="preserve"> of given optimization algorithm after each iteration. For PSO, </w:t>
      </w:r>
      <w:r w:rsidR="00415D0A">
        <w:t xml:space="preserve">heuristic movement of particles after each iteration reflects </w:t>
      </w:r>
      <w:r w:rsidR="00E421C6">
        <w:t xml:space="preserve">how </w:t>
      </w:r>
      <w:r w:rsidR="00843E10">
        <w:t>fast</w:t>
      </w:r>
      <w:r w:rsidR="00E421C6">
        <w:t xml:space="preserve"> the</w:t>
      </w:r>
      <w:r w:rsidR="00415D0A">
        <w:t xml:space="preserve"> power function </w:t>
      </w:r>
      <w:r w:rsidR="00415D0A" w:rsidRPr="008223A5">
        <w:rPr>
          <w:i/>
          <w:iCs/>
        </w:rPr>
        <w:t>w</w:t>
      </w:r>
      <w:r w:rsidR="00415D0A" w:rsidRPr="008223A5">
        <w:rPr>
          <w:i/>
          <w:iCs/>
          <w:vertAlign w:val="subscript"/>
        </w:rPr>
        <w:t>k</w:t>
      </w:r>
      <w:r w:rsidR="00415D0A">
        <w:t>(</w:t>
      </w:r>
      <w:r w:rsidR="00415D0A" w:rsidRPr="008223A5">
        <w:rPr>
          <w:rFonts w:cs="Times New Roman"/>
          <w:i/>
          <w:iCs/>
        </w:rPr>
        <w:t>τ</w:t>
      </w:r>
      <w:r w:rsidR="00415D0A">
        <w:t>)</w:t>
      </w:r>
      <w:r w:rsidR="00E421C6">
        <w:t xml:space="preserve"> approaches when </w:t>
      </w:r>
      <w:r w:rsidR="00E421C6" w:rsidRPr="00512116">
        <w:rPr>
          <w:i/>
          <w:iCs/>
        </w:rPr>
        <w:t>k</w:t>
      </w:r>
      <w:r w:rsidR="00E421C6">
        <w:t xml:space="preserve"> approaches positive infinity</w:t>
      </w:r>
      <w:r w:rsidR="00415D0A">
        <w:t>.</w:t>
      </w:r>
      <w:r w:rsidR="00BF6FA4">
        <w:t xml:space="preserve"> I</w:t>
      </w:r>
      <w:r w:rsidR="00E950DC">
        <w:t>n</w:t>
      </w:r>
      <w:r w:rsidR="00BF6FA4">
        <w:t xml:space="preserve"> the future trend, I will research minima distribution with Bayesian optimization because Bayesian optimization takes full advantages of prior information which is the knowledge amount </w:t>
      </w:r>
      <w:r w:rsidR="00E5557A">
        <w:t>associated with</w:t>
      </w:r>
      <w:r w:rsidR="00BF6FA4">
        <w:t xml:space="preserve"> the </w:t>
      </w:r>
      <w:r w:rsidR="00BD383A">
        <w:t>knowledge</w:t>
      </w:r>
      <w:r w:rsidR="00BF6FA4">
        <w:t xml:space="preserve"> function.</w:t>
      </w:r>
    </w:p>
    <w:p w14:paraId="50269044" w14:textId="72795B10" w:rsidR="00876410" w:rsidRDefault="00876410" w:rsidP="00E07C94"/>
    <w:p w14:paraId="34A77744" w14:textId="10002975" w:rsidR="00876410" w:rsidRPr="00876410" w:rsidRDefault="00876410" w:rsidP="00E07C94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References</w:t>
      </w:r>
    </w:p>
    <w:p w14:paraId="4ADFFF2C" w14:textId="77777777" w:rsidR="00954FEF" w:rsidRDefault="00F34590" w:rsidP="00954FE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954FEF">
        <w:rPr>
          <w:noProof/>
        </w:rPr>
        <w:t xml:space="preserve">al-Rifaie, M. M., &amp; Blackwell, T. (2012). Bare Bones Particle Swarms with Jumps. In M. Dorigo, M. Birattari, C. Blum, A. L. Christensen, A. P. Engelbrecht, R. Groß, &amp; T. Stützle (Ed.), </w:t>
      </w:r>
      <w:r w:rsidR="00954FEF">
        <w:rPr>
          <w:i/>
          <w:iCs/>
          <w:noProof/>
        </w:rPr>
        <w:t>International Conference on Swarm Intelligence.</w:t>
      </w:r>
      <w:r w:rsidR="00954FEF">
        <w:rPr>
          <w:noProof/>
        </w:rPr>
        <w:t xml:space="preserve"> </w:t>
      </w:r>
      <w:r w:rsidR="00954FEF">
        <w:rPr>
          <w:i/>
          <w:iCs/>
          <w:noProof/>
        </w:rPr>
        <w:t>Lecture Notes in Computer Science 7461</w:t>
      </w:r>
      <w:r w:rsidR="00954FEF">
        <w:rPr>
          <w:noProof/>
        </w:rPr>
        <w:t>, pp. 49-60. Brussels: Springer Berlin. doi:10.1007/978-3-642-32650-9_5</w:t>
      </w:r>
    </w:p>
    <w:p w14:paraId="0E4D23BD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Luo, X. (2019, May 24). Minima distribution for global optimization. </w:t>
      </w:r>
      <w:r>
        <w:rPr>
          <w:i/>
          <w:iCs/>
          <w:noProof/>
        </w:rPr>
        <w:t>arXiv preprint</w:t>
      </w:r>
      <w:r>
        <w:rPr>
          <w:noProof/>
        </w:rPr>
        <w:t>. doi:10.48550/arXiv.1812.03457</w:t>
      </w:r>
    </w:p>
    <w:p w14:paraId="4060BA97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Pan, F., Hu, X., Eberhart, R., &amp; Chen, Y. (2008, September 21). An Analysis of Bare Bones Particle Swarm. </w:t>
      </w:r>
      <w:r>
        <w:rPr>
          <w:i/>
          <w:iCs/>
          <w:noProof/>
        </w:rPr>
        <w:t>IEEE Swarm Intelligence Symposium 2008 (SIS 2008)</w:t>
      </w:r>
      <w:r>
        <w:rPr>
          <w:noProof/>
        </w:rPr>
        <w:t xml:space="preserve"> (pp. 1-5). St. Louis, MO, US: IEEE. doi:10.1109/SIS.2008.4668301</w:t>
      </w:r>
    </w:p>
    <w:p w14:paraId="59E2FDC8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742ED412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Sharma, K., Chhamunya, V., Gupta, P. C., Sharma, H., &amp; Bansal, J. C. (2015, September). Fitness based Particle Swarm Optimization. (A. K. Verma, P. K. Kapur, &amp; U. Kumar, Eds.) </w:t>
      </w:r>
      <w:r>
        <w:rPr>
          <w:i/>
          <w:iCs/>
          <w:noProof/>
        </w:rPr>
        <w:t>International Journal of System Assurance Engineering and Management, 6</w:t>
      </w:r>
      <w:r>
        <w:rPr>
          <w:noProof/>
        </w:rPr>
        <w:t>(3), 319-329. doi:10.1007/s13198-015-0372-4</w:t>
      </w:r>
    </w:p>
    <w:p w14:paraId="71431FC7" w14:textId="14D54C9F" w:rsidR="00876410" w:rsidRDefault="00F34590" w:rsidP="00954FEF">
      <w:r>
        <w:fldChar w:fldCharType="end"/>
      </w:r>
    </w:p>
    <w:p w14:paraId="70C122D8" w14:textId="3C62B500" w:rsidR="00876410" w:rsidRDefault="00876410" w:rsidP="00E07C94"/>
    <w:p w14:paraId="31C696A5" w14:textId="77777777" w:rsidR="00876410" w:rsidRDefault="00876410" w:rsidP="00E07C94"/>
    <w:p w14:paraId="1DBD38A8" w14:textId="7F334EAF" w:rsidR="005B4622" w:rsidRDefault="005B4622"/>
    <w:p w14:paraId="6E5E7E9E" w14:textId="77777777" w:rsidR="005B4622" w:rsidRDefault="005B4622"/>
    <w:sectPr w:rsidR="005B4622" w:rsidSect="005B462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3979" w14:textId="77777777" w:rsidR="00C5153E" w:rsidRDefault="00C5153E" w:rsidP="00AA04D6">
      <w:r>
        <w:separator/>
      </w:r>
    </w:p>
  </w:endnote>
  <w:endnote w:type="continuationSeparator" w:id="0">
    <w:p w14:paraId="0215F46F" w14:textId="77777777" w:rsidR="00C5153E" w:rsidRDefault="00C5153E" w:rsidP="00AA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368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90057" w14:textId="546E02FB" w:rsidR="00AA04D6" w:rsidRDefault="00AA04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12BD9" w14:textId="77777777" w:rsidR="00AA04D6" w:rsidRDefault="00AA0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9F8F" w14:textId="77777777" w:rsidR="00C5153E" w:rsidRDefault="00C5153E" w:rsidP="00AA04D6">
      <w:r>
        <w:separator/>
      </w:r>
    </w:p>
  </w:footnote>
  <w:footnote w:type="continuationSeparator" w:id="0">
    <w:p w14:paraId="6F6A92A9" w14:textId="77777777" w:rsidR="00C5153E" w:rsidRDefault="00C5153E" w:rsidP="00AA0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6862"/>
    <w:multiLevelType w:val="hybridMultilevel"/>
    <w:tmpl w:val="02746F76"/>
    <w:lvl w:ilvl="0" w:tplc="8228DF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26D96"/>
    <w:multiLevelType w:val="hybridMultilevel"/>
    <w:tmpl w:val="4C4EADEC"/>
    <w:lvl w:ilvl="0" w:tplc="6CF20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7581">
    <w:abstractNumId w:val="0"/>
  </w:num>
  <w:num w:numId="2" w16cid:durableId="46119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2"/>
    <w:rsid w:val="00004664"/>
    <w:rsid w:val="000113FA"/>
    <w:rsid w:val="00017ADA"/>
    <w:rsid w:val="00022D4A"/>
    <w:rsid w:val="00023918"/>
    <w:rsid w:val="00023C93"/>
    <w:rsid w:val="00026F76"/>
    <w:rsid w:val="00031EB1"/>
    <w:rsid w:val="00042280"/>
    <w:rsid w:val="00042963"/>
    <w:rsid w:val="00046F8C"/>
    <w:rsid w:val="00053AB3"/>
    <w:rsid w:val="00055687"/>
    <w:rsid w:val="00060B9F"/>
    <w:rsid w:val="00065E95"/>
    <w:rsid w:val="0006698C"/>
    <w:rsid w:val="0006785B"/>
    <w:rsid w:val="000729B3"/>
    <w:rsid w:val="000735C4"/>
    <w:rsid w:val="0007420C"/>
    <w:rsid w:val="0007550A"/>
    <w:rsid w:val="000776A6"/>
    <w:rsid w:val="000913E0"/>
    <w:rsid w:val="000940DA"/>
    <w:rsid w:val="0009612A"/>
    <w:rsid w:val="00096E26"/>
    <w:rsid w:val="00097730"/>
    <w:rsid w:val="000A1668"/>
    <w:rsid w:val="000B4322"/>
    <w:rsid w:val="000B647A"/>
    <w:rsid w:val="000B6842"/>
    <w:rsid w:val="000C0EEC"/>
    <w:rsid w:val="000D0A05"/>
    <w:rsid w:val="000D30E2"/>
    <w:rsid w:val="000E6370"/>
    <w:rsid w:val="000F3938"/>
    <w:rsid w:val="000F56A3"/>
    <w:rsid w:val="00101BB9"/>
    <w:rsid w:val="00101E72"/>
    <w:rsid w:val="00112458"/>
    <w:rsid w:val="0012336A"/>
    <w:rsid w:val="00123696"/>
    <w:rsid w:val="0012613A"/>
    <w:rsid w:val="00140CCA"/>
    <w:rsid w:val="00141A00"/>
    <w:rsid w:val="001425E4"/>
    <w:rsid w:val="00147254"/>
    <w:rsid w:val="00160EB7"/>
    <w:rsid w:val="00164B3C"/>
    <w:rsid w:val="001663A3"/>
    <w:rsid w:val="00170DFB"/>
    <w:rsid w:val="0017358C"/>
    <w:rsid w:val="00175228"/>
    <w:rsid w:val="0018097A"/>
    <w:rsid w:val="00180D6A"/>
    <w:rsid w:val="001869EB"/>
    <w:rsid w:val="00190B10"/>
    <w:rsid w:val="00196051"/>
    <w:rsid w:val="001A6AC0"/>
    <w:rsid w:val="001B2B1C"/>
    <w:rsid w:val="001C22E4"/>
    <w:rsid w:val="001C624F"/>
    <w:rsid w:val="001C70E0"/>
    <w:rsid w:val="001D0A76"/>
    <w:rsid w:val="001D4980"/>
    <w:rsid w:val="001D5190"/>
    <w:rsid w:val="001D5846"/>
    <w:rsid w:val="001D7A76"/>
    <w:rsid w:val="001D7E4C"/>
    <w:rsid w:val="001E01D8"/>
    <w:rsid w:val="001E3F88"/>
    <w:rsid w:val="001F0898"/>
    <w:rsid w:val="001F2978"/>
    <w:rsid w:val="001F4E7B"/>
    <w:rsid w:val="001F766C"/>
    <w:rsid w:val="002013E1"/>
    <w:rsid w:val="00214462"/>
    <w:rsid w:val="002148E3"/>
    <w:rsid w:val="00214D04"/>
    <w:rsid w:val="0021729E"/>
    <w:rsid w:val="00217E9C"/>
    <w:rsid w:val="00220077"/>
    <w:rsid w:val="00220A08"/>
    <w:rsid w:val="002248EF"/>
    <w:rsid w:val="0022631C"/>
    <w:rsid w:val="002308C1"/>
    <w:rsid w:val="002409A0"/>
    <w:rsid w:val="0024531D"/>
    <w:rsid w:val="00245ED8"/>
    <w:rsid w:val="00252A1B"/>
    <w:rsid w:val="00253917"/>
    <w:rsid w:val="00255032"/>
    <w:rsid w:val="00260C95"/>
    <w:rsid w:val="00261970"/>
    <w:rsid w:val="00270D40"/>
    <w:rsid w:val="00274E1B"/>
    <w:rsid w:val="00283595"/>
    <w:rsid w:val="00284D5A"/>
    <w:rsid w:val="002856A6"/>
    <w:rsid w:val="00291968"/>
    <w:rsid w:val="00294792"/>
    <w:rsid w:val="00294F12"/>
    <w:rsid w:val="002A1157"/>
    <w:rsid w:val="002A2137"/>
    <w:rsid w:val="002A5288"/>
    <w:rsid w:val="002B6FEF"/>
    <w:rsid w:val="002C4B64"/>
    <w:rsid w:val="002C606E"/>
    <w:rsid w:val="002C7DE2"/>
    <w:rsid w:val="002D0B56"/>
    <w:rsid w:val="002E0EBC"/>
    <w:rsid w:val="002E795D"/>
    <w:rsid w:val="002F2D11"/>
    <w:rsid w:val="003008F7"/>
    <w:rsid w:val="00301381"/>
    <w:rsid w:val="0030576B"/>
    <w:rsid w:val="0031636D"/>
    <w:rsid w:val="003302B2"/>
    <w:rsid w:val="00330AA6"/>
    <w:rsid w:val="003321B5"/>
    <w:rsid w:val="0034252A"/>
    <w:rsid w:val="00342B04"/>
    <w:rsid w:val="00345B25"/>
    <w:rsid w:val="00346C9E"/>
    <w:rsid w:val="003474DE"/>
    <w:rsid w:val="0035223D"/>
    <w:rsid w:val="00353B08"/>
    <w:rsid w:val="00366AFC"/>
    <w:rsid w:val="003676CE"/>
    <w:rsid w:val="0037251D"/>
    <w:rsid w:val="00376B68"/>
    <w:rsid w:val="0037790D"/>
    <w:rsid w:val="00382015"/>
    <w:rsid w:val="0038303D"/>
    <w:rsid w:val="00383499"/>
    <w:rsid w:val="00383F1F"/>
    <w:rsid w:val="003861B0"/>
    <w:rsid w:val="0038717B"/>
    <w:rsid w:val="003A0B98"/>
    <w:rsid w:val="003A38FC"/>
    <w:rsid w:val="003A7924"/>
    <w:rsid w:val="003A7A69"/>
    <w:rsid w:val="003B22DA"/>
    <w:rsid w:val="003B279C"/>
    <w:rsid w:val="003C10D8"/>
    <w:rsid w:val="003C1858"/>
    <w:rsid w:val="003C24ED"/>
    <w:rsid w:val="003C7514"/>
    <w:rsid w:val="003D66A8"/>
    <w:rsid w:val="003E6F72"/>
    <w:rsid w:val="003F29C4"/>
    <w:rsid w:val="00405068"/>
    <w:rsid w:val="00412C69"/>
    <w:rsid w:val="00413A53"/>
    <w:rsid w:val="00415D0A"/>
    <w:rsid w:val="00424C7A"/>
    <w:rsid w:val="004304AD"/>
    <w:rsid w:val="00432694"/>
    <w:rsid w:val="00432DEC"/>
    <w:rsid w:val="00435210"/>
    <w:rsid w:val="00440AB0"/>
    <w:rsid w:val="00443147"/>
    <w:rsid w:val="00443154"/>
    <w:rsid w:val="004433FB"/>
    <w:rsid w:val="004534F5"/>
    <w:rsid w:val="00463C3C"/>
    <w:rsid w:val="00464628"/>
    <w:rsid w:val="004723ED"/>
    <w:rsid w:val="00472A7F"/>
    <w:rsid w:val="004760D9"/>
    <w:rsid w:val="00477A9B"/>
    <w:rsid w:val="004806C4"/>
    <w:rsid w:val="00480FAF"/>
    <w:rsid w:val="0048357D"/>
    <w:rsid w:val="00483AD8"/>
    <w:rsid w:val="00485AA6"/>
    <w:rsid w:val="004872BF"/>
    <w:rsid w:val="004A364B"/>
    <w:rsid w:val="004A5935"/>
    <w:rsid w:val="004A7428"/>
    <w:rsid w:val="004B1A5C"/>
    <w:rsid w:val="004B6685"/>
    <w:rsid w:val="004C00A8"/>
    <w:rsid w:val="004C062D"/>
    <w:rsid w:val="004C0AB2"/>
    <w:rsid w:val="004D2C57"/>
    <w:rsid w:val="004D684A"/>
    <w:rsid w:val="004D6B59"/>
    <w:rsid w:val="004E1A4B"/>
    <w:rsid w:val="004E2ADC"/>
    <w:rsid w:val="004E3189"/>
    <w:rsid w:val="004F486C"/>
    <w:rsid w:val="004F49F1"/>
    <w:rsid w:val="00506155"/>
    <w:rsid w:val="00507061"/>
    <w:rsid w:val="00507646"/>
    <w:rsid w:val="00512116"/>
    <w:rsid w:val="00514B27"/>
    <w:rsid w:val="0052322D"/>
    <w:rsid w:val="00527FB9"/>
    <w:rsid w:val="00530A47"/>
    <w:rsid w:val="00532640"/>
    <w:rsid w:val="00533C52"/>
    <w:rsid w:val="00541A73"/>
    <w:rsid w:val="00542A8C"/>
    <w:rsid w:val="0054329C"/>
    <w:rsid w:val="005476CB"/>
    <w:rsid w:val="005521E1"/>
    <w:rsid w:val="00553295"/>
    <w:rsid w:val="00555748"/>
    <w:rsid w:val="0056229B"/>
    <w:rsid w:val="005705CE"/>
    <w:rsid w:val="005828D6"/>
    <w:rsid w:val="00582E4D"/>
    <w:rsid w:val="00584404"/>
    <w:rsid w:val="00585682"/>
    <w:rsid w:val="00585EDE"/>
    <w:rsid w:val="00591FCD"/>
    <w:rsid w:val="00593644"/>
    <w:rsid w:val="005A2AB4"/>
    <w:rsid w:val="005B04BA"/>
    <w:rsid w:val="005B24A7"/>
    <w:rsid w:val="005B4622"/>
    <w:rsid w:val="005B5904"/>
    <w:rsid w:val="005B7311"/>
    <w:rsid w:val="005C075D"/>
    <w:rsid w:val="005D0E0C"/>
    <w:rsid w:val="005D1BE7"/>
    <w:rsid w:val="005D3161"/>
    <w:rsid w:val="005D404C"/>
    <w:rsid w:val="005D6233"/>
    <w:rsid w:val="005D6F9A"/>
    <w:rsid w:val="005F022F"/>
    <w:rsid w:val="005F0F07"/>
    <w:rsid w:val="005F2141"/>
    <w:rsid w:val="005F2E3A"/>
    <w:rsid w:val="00601DD4"/>
    <w:rsid w:val="00602A77"/>
    <w:rsid w:val="00607B69"/>
    <w:rsid w:val="00614464"/>
    <w:rsid w:val="006151DB"/>
    <w:rsid w:val="00615C9E"/>
    <w:rsid w:val="00623C1F"/>
    <w:rsid w:val="00626DDB"/>
    <w:rsid w:val="00631615"/>
    <w:rsid w:val="00631B03"/>
    <w:rsid w:val="0063530B"/>
    <w:rsid w:val="00635AFD"/>
    <w:rsid w:val="0063690F"/>
    <w:rsid w:val="0064061E"/>
    <w:rsid w:val="00653663"/>
    <w:rsid w:val="0065520C"/>
    <w:rsid w:val="00657057"/>
    <w:rsid w:val="00657CFB"/>
    <w:rsid w:val="00661353"/>
    <w:rsid w:val="00674F7D"/>
    <w:rsid w:val="00680BCB"/>
    <w:rsid w:val="00695A68"/>
    <w:rsid w:val="00696354"/>
    <w:rsid w:val="00697206"/>
    <w:rsid w:val="006B00B1"/>
    <w:rsid w:val="006B4931"/>
    <w:rsid w:val="006B6F76"/>
    <w:rsid w:val="006B7F41"/>
    <w:rsid w:val="006B7FC8"/>
    <w:rsid w:val="006C158B"/>
    <w:rsid w:val="006C6F52"/>
    <w:rsid w:val="006C727E"/>
    <w:rsid w:val="006D0F5F"/>
    <w:rsid w:val="006D12F7"/>
    <w:rsid w:val="006D5D75"/>
    <w:rsid w:val="006E1B8C"/>
    <w:rsid w:val="006E5AFC"/>
    <w:rsid w:val="006F2AA4"/>
    <w:rsid w:val="006F5210"/>
    <w:rsid w:val="00711FB6"/>
    <w:rsid w:val="0071238D"/>
    <w:rsid w:val="00721175"/>
    <w:rsid w:val="00737574"/>
    <w:rsid w:val="00737A40"/>
    <w:rsid w:val="007444A3"/>
    <w:rsid w:val="007527CF"/>
    <w:rsid w:val="007538A4"/>
    <w:rsid w:val="00756B3F"/>
    <w:rsid w:val="00760F11"/>
    <w:rsid w:val="007621C0"/>
    <w:rsid w:val="007626C6"/>
    <w:rsid w:val="007630AC"/>
    <w:rsid w:val="00770C6A"/>
    <w:rsid w:val="00770F0F"/>
    <w:rsid w:val="0077373A"/>
    <w:rsid w:val="00775CD4"/>
    <w:rsid w:val="00777C65"/>
    <w:rsid w:val="007804A9"/>
    <w:rsid w:val="00783719"/>
    <w:rsid w:val="00787499"/>
    <w:rsid w:val="00792CBC"/>
    <w:rsid w:val="007938D3"/>
    <w:rsid w:val="00795B59"/>
    <w:rsid w:val="007A17CB"/>
    <w:rsid w:val="007A2CB1"/>
    <w:rsid w:val="007A4220"/>
    <w:rsid w:val="007A4945"/>
    <w:rsid w:val="007A5A21"/>
    <w:rsid w:val="007A66D2"/>
    <w:rsid w:val="007B125E"/>
    <w:rsid w:val="007B6936"/>
    <w:rsid w:val="007B6A10"/>
    <w:rsid w:val="007C2500"/>
    <w:rsid w:val="007E0533"/>
    <w:rsid w:val="007E3F4E"/>
    <w:rsid w:val="007E5578"/>
    <w:rsid w:val="007F36D9"/>
    <w:rsid w:val="00803E67"/>
    <w:rsid w:val="008115F5"/>
    <w:rsid w:val="00812F8D"/>
    <w:rsid w:val="008142BD"/>
    <w:rsid w:val="00815DDD"/>
    <w:rsid w:val="00817CFD"/>
    <w:rsid w:val="008223A5"/>
    <w:rsid w:val="008269AA"/>
    <w:rsid w:val="00826C01"/>
    <w:rsid w:val="008305CE"/>
    <w:rsid w:val="008349BB"/>
    <w:rsid w:val="008432B5"/>
    <w:rsid w:val="00843E10"/>
    <w:rsid w:val="00845C44"/>
    <w:rsid w:val="0084612B"/>
    <w:rsid w:val="00861449"/>
    <w:rsid w:val="008678E9"/>
    <w:rsid w:val="00870484"/>
    <w:rsid w:val="008729D8"/>
    <w:rsid w:val="0087350F"/>
    <w:rsid w:val="00873E24"/>
    <w:rsid w:val="00876410"/>
    <w:rsid w:val="008812A5"/>
    <w:rsid w:val="00887CA8"/>
    <w:rsid w:val="008906CF"/>
    <w:rsid w:val="00891CD1"/>
    <w:rsid w:val="0089261D"/>
    <w:rsid w:val="00892AA0"/>
    <w:rsid w:val="00892B87"/>
    <w:rsid w:val="008A2FBD"/>
    <w:rsid w:val="008A4EE5"/>
    <w:rsid w:val="008B3BAE"/>
    <w:rsid w:val="008C30EE"/>
    <w:rsid w:val="008C408C"/>
    <w:rsid w:val="008D1509"/>
    <w:rsid w:val="008D38C6"/>
    <w:rsid w:val="008D5554"/>
    <w:rsid w:val="008D55D6"/>
    <w:rsid w:val="008E0542"/>
    <w:rsid w:val="008E57FC"/>
    <w:rsid w:val="008E6915"/>
    <w:rsid w:val="008E7E8A"/>
    <w:rsid w:val="008F1BE9"/>
    <w:rsid w:val="008F23EC"/>
    <w:rsid w:val="008F64E7"/>
    <w:rsid w:val="009012FB"/>
    <w:rsid w:val="00902939"/>
    <w:rsid w:val="00904E14"/>
    <w:rsid w:val="009077D4"/>
    <w:rsid w:val="00915EDB"/>
    <w:rsid w:val="0092062A"/>
    <w:rsid w:val="009249C8"/>
    <w:rsid w:val="009255C9"/>
    <w:rsid w:val="009358AC"/>
    <w:rsid w:val="00942203"/>
    <w:rsid w:val="009425C1"/>
    <w:rsid w:val="00942C6D"/>
    <w:rsid w:val="00954FEF"/>
    <w:rsid w:val="00957425"/>
    <w:rsid w:val="00957480"/>
    <w:rsid w:val="00957550"/>
    <w:rsid w:val="00960604"/>
    <w:rsid w:val="00967050"/>
    <w:rsid w:val="00967B71"/>
    <w:rsid w:val="00992E5E"/>
    <w:rsid w:val="00993310"/>
    <w:rsid w:val="00994E4C"/>
    <w:rsid w:val="009A3194"/>
    <w:rsid w:val="009A3E8F"/>
    <w:rsid w:val="009A6D4B"/>
    <w:rsid w:val="009B1AF6"/>
    <w:rsid w:val="009B5BC7"/>
    <w:rsid w:val="009C010C"/>
    <w:rsid w:val="009C40D2"/>
    <w:rsid w:val="009C471C"/>
    <w:rsid w:val="009C6D5C"/>
    <w:rsid w:val="009E023C"/>
    <w:rsid w:val="009E0425"/>
    <w:rsid w:val="009E13AC"/>
    <w:rsid w:val="009E19E9"/>
    <w:rsid w:val="009E77DF"/>
    <w:rsid w:val="009F58E4"/>
    <w:rsid w:val="00A05C0B"/>
    <w:rsid w:val="00A079DC"/>
    <w:rsid w:val="00A11E96"/>
    <w:rsid w:val="00A16334"/>
    <w:rsid w:val="00A307E4"/>
    <w:rsid w:val="00A40587"/>
    <w:rsid w:val="00A41439"/>
    <w:rsid w:val="00A47FD6"/>
    <w:rsid w:val="00A546F7"/>
    <w:rsid w:val="00A60FA6"/>
    <w:rsid w:val="00A65F3E"/>
    <w:rsid w:val="00A74DC1"/>
    <w:rsid w:val="00A76686"/>
    <w:rsid w:val="00A76FB7"/>
    <w:rsid w:val="00A95062"/>
    <w:rsid w:val="00A95D4B"/>
    <w:rsid w:val="00AA04D6"/>
    <w:rsid w:val="00AA3E49"/>
    <w:rsid w:val="00AA52BE"/>
    <w:rsid w:val="00AB431A"/>
    <w:rsid w:val="00AB7437"/>
    <w:rsid w:val="00AC4F11"/>
    <w:rsid w:val="00AC676E"/>
    <w:rsid w:val="00AD5A6B"/>
    <w:rsid w:val="00AD5B02"/>
    <w:rsid w:val="00AE2CE1"/>
    <w:rsid w:val="00AF270E"/>
    <w:rsid w:val="00AF574F"/>
    <w:rsid w:val="00B022AD"/>
    <w:rsid w:val="00B04019"/>
    <w:rsid w:val="00B13BA9"/>
    <w:rsid w:val="00B15518"/>
    <w:rsid w:val="00B20BED"/>
    <w:rsid w:val="00B22C77"/>
    <w:rsid w:val="00B305E4"/>
    <w:rsid w:val="00B33F02"/>
    <w:rsid w:val="00B41B8C"/>
    <w:rsid w:val="00B42349"/>
    <w:rsid w:val="00B5240F"/>
    <w:rsid w:val="00B572B8"/>
    <w:rsid w:val="00B61800"/>
    <w:rsid w:val="00B661DE"/>
    <w:rsid w:val="00B80CA2"/>
    <w:rsid w:val="00B80F4E"/>
    <w:rsid w:val="00B843B2"/>
    <w:rsid w:val="00B95DAA"/>
    <w:rsid w:val="00B97FAB"/>
    <w:rsid w:val="00BA257E"/>
    <w:rsid w:val="00BB356A"/>
    <w:rsid w:val="00BC4B64"/>
    <w:rsid w:val="00BD2AD7"/>
    <w:rsid w:val="00BD383A"/>
    <w:rsid w:val="00BD385D"/>
    <w:rsid w:val="00BE2A30"/>
    <w:rsid w:val="00BF2D4A"/>
    <w:rsid w:val="00BF6FA4"/>
    <w:rsid w:val="00C00BE3"/>
    <w:rsid w:val="00C00DD0"/>
    <w:rsid w:val="00C0109C"/>
    <w:rsid w:val="00C016EA"/>
    <w:rsid w:val="00C02E98"/>
    <w:rsid w:val="00C12778"/>
    <w:rsid w:val="00C368C0"/>
    <w:rsid w:val="00C40A5E"/>
    <w:rsid w:val="00C5153E"/>
    <w:rsid w:val="00C534DE"/>
    <w:rsid w:val="00C6165F"/>
    <w:rsid w:val="00C66F32"/>
    <w:rsid w:val="00C714A6"/>
    <w:rsid w:val="00C75BB8"/>
    <w:rsid w:val="00C813CE"/>
    <w:rsid w:val="00C87963"/>
    <w:rsid w:val="00C94783"/>
    <w:rsid w:val="00C97907"/>
    <w:rsid w:val="00CA20AB"/>
    <w:rsid w:val="00CA227A"/>
    <w:rsid w:val="00CA3CD0"/>
    <w:rsid w:val="00CA7338"/>
    <w:rsid w:val="00CB1E9F"/>
    <w:rsid w:val="00CB2416"/>
    <w:rsid w:val="00CB2640"/>
    <w:rsid w:val="00CC0A97"/>
    <w:rsid w:val="00CD054F"/>
    <w:rsid w:val="00D02DA7"/>
    <w:rsid w:val="00D0757F"/>
    <w:rsid w:val="00D124F7"/>
    <w:rsid w:val="00D12508"/>
    <w:rsid w:val="00D21E74"/>
    <w:rsid w:val="00D21F33"/>
    <w:rsid w:val="00D23C08"/>
    <w:rsid w:val="00D23C4C"/>
    <w:rsid w:val="00D249E3"/>
    <w:rsid w:val="00D27729"/>
    <w:rsid w:val="00D37260"/>
    <w:rsid w:val="00D4387B"/>
    <w:rsid w:val="00D43D9E"/>
    <w:rsid w:val="00D45CFA"/>
    <w:rsid w:val="00D46B1B"/>
    <w:rsid w:val="00D52794"/>
    <w:rsid w:val="00D53B67"/>
    <w:rsid w:val="00D545E5"/>
    <w:rsid w:val="00D555AB"/>
    <w:rsid w:val="00D56F27"/>
    <w:rsid w:val="00D63777"/>
    <w:rsid w:val="00D6513E"/>
    <w:rsid w:val="00D7335A"/>
    <w:rsid w:val="00D7625B"/>
    <w:rsid w:val="00D77FE0"/>
    <w:rsid w:val="00D82821"/>
    <w:rsid w:val="00D83DF5"/>
    <w:rsid w:val="00D90ADE"/>
    <w:rsid w:val="00D93FC1"/>
    <w:rsid w:val="00D9756D"/>
    <w:rsid w:val="00DB2651"/>
    <w:rsid w:val="00DB2BFE"/>
    <w:rsid w:val="00DC36B8"/>
    <w:rsid w:val="00DD041B"/>
    <w:rsid w:val="00DD4523"/>
    <w:rsid w:val="00DD7B43"/>
    <w:rsid w:val="00DE2238"/>
    <w:rsid w:val="00DF1415"/>
    <w:rsid w:val="00DF5116"/>
    <w:rsid w:val="00DF58A7"/>
    <w:rsid w:val="00DF6A4C"/>
    <w:rsid w:val="00E04B35"/>
    <w:rsid w:val="00E06FD6"/>
    <w:rsid w:val="00E07C94"/>
    <w:rsid w:val="00E129B7"/>
    <w:rsid w:val="00E14123"/>
    <w:rsid w:val="00E2241B"/>
    <w:rsid w:val="00E22957"/>
    <w:rsid w:val="00E26698"/>
    <w:rsid w:val="00E3083E"/>
    <w:rsid w:val="00E31D83"/>
    <w:rsid w:val="00E331CD"/>
    <w:rsid w:val="00E3768C"/>
    <w:rsid w:val="00E37A84"/>
    <w:rsid w:val="00E421C6"/>
    <w:rsid w:val="00E45116"/>
    <w:rsid w:val="00E477A7"/>
    <w:rsid w:val="00E50ED8"/>
    <w:rsid w:val="00E5557A"/>
    <w:rsid w:val="00E56FC1"/>
    <w:rsid w:val="00E62021"/>
    <w:rsid w:val="00E63BDE"/>
    <w:rsid w:val="00E63BF1"/>
    <w:rsid w:val="00E709B2"/>
    <w:rsid w:val="00E75196"/>
    <w:rsid w:val="00E77394"/>
    <w:rsid w:val="00E8109A"/>
    <w:rsid w:val="00E8468F"/>
    <w:rsid w:val="00E84A17"/>
    <w:rsid w:val="00E85EE1"/>
    <w:rsid w:val="00E91ACB"/>
    <w:rsid w:val="00E9239C"/>
    <w:rsid w:val="00E9292C"/>
    <w:rsid w:val="00E9461A"/>
    <w:rsid w:val="00E950DC"/>
    <w:rsid w:val="00EA5073"/>
    <w:rsid w:val="00EA6C4F"/>
    <w:rsid w:val="00EB11D9"/>
    <w:rsid w:val="00EB30D4"/>
    <w:rsid w:val="00EC00E5"/>
    <w:rsid w:val="00EC11BB"/>
    <w:rsid w:val="00EC1562"/>
    <w:rsid w:val="00EC43F8"/>
    <w:rsid w:val="00ED337E"/>
    <w:rsid w:val="00ED4254"/>
    <w:rsid w:val="00ED5C3B"/>
    <w:rsid w:val="00ED675B"/>
    <w:rsid w:val="00ED726C"/>
    <w:rsid w:val="00EE1D98"/>
    <w:rsid w:val="00EE2DDA"/>
    <w:rsid w:val="00EE4DFB"/>
    <w:rsid w:val="00EF21C3"/>
    <w:rsid w:val="00EF25C4"/>
    <w:rsid w:val="00EF3210"/>
    <w:rsid w:val="00F01A57"/>
    <w:rsid w:val="00F03474"/>
    <w:rsid w:val="00F05640"/>
    <w:rsid w:val="00F0746F"/>
    <w:rsid w:val="00F07D0A"/>
    <w:rsid w:val="00F14151"/>
    <w:rsid w:val="00F2736B"/>
    <w:rsid w:val="00F33F7D"/>
    <w:rsid w:val="00F34590"/>
    <w:rsid w:val="00F416B3"/>
    <w:rsid w:val="00F41C4A"/>
    <w:rsid w:val="00F442C1"/>
    <w:rsid w:val="00F4474B"/>
    <w:rsid w:val="00F47293"/>
    <w:rsid w:val="00F52D69"/>
    <w:rsid w:val="00F54682"/>
    <w:rsid w:val="00F55980"/>
    <w:rsid w:val="00F56D03"/>
    <w:rsid w:val="00F56D75"/>
    <w:rsid w:val="00F61E37"/>
    <w:rsid w:val="00F7091D"/>
    <w:rsid w:val="00F74051"/>
    <w:rsid w:val="00F81AD3"/>
    <w:rsid w:val="00F84466"/>
    <w:rsid w:val="00F86297"/>
    <w:rsid w:val="00F90D3D"/>
    <w:rsid w:val="00F9192E"/>
    <w:rsid w:val="00F91B00"/>
    <w:rsid w:val="00F9395E"/>
    <w:rsid w:val="00F97346"/>
    <w:rsid w:val="00FA0028"/>
    <w:rsid w:val="00FA2686"/>
    <w:rsid w:val="00FA6D5B"/>
    <w:rsid w:val="00FB34C5"/>
    <w:rsid w:val="00FB375C"/>
    <w:rsid w:val="00FB7E99"/>
    <w:rsid w:val="00FC05A6"/>
    <w:rsid w:val="00FC254A"/>
    <w:rsid w:val="00FC65EA"/>
    <w:rsid w:val="00FD2332"/>
    <w:rsid w:val="00FD41A4"/>
    <w:rsid w:val="00FE056D"/>
    <w:rsid w:val="00FE16A2"/>
    <w:rsid w:val="00FE75F1"/>
    <w:rsid w:val="00FE7CA0"/>
    <w:rsid w:val="00FF11B6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781D"/>
  <w15:chartTrackingRefBased/>
  <w15:docId w15:val="{256D6D12-00A2-4351-A0CB-63EDEF68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3154"/>
    <w:rPr>
      <w:color w:val="808080"/>
    </w:rPr>
  </w:style>
  <w:style w:type="table" w:styleId="TableGrid">
    <w:name w:val="Table Grid"/>
    <w:basedOn w:val="TableNormal"/>
    <w:uiPriority w:val="59"/>
    <w:rsid w:val="0092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34590"/>
  </w:style>
  <w:style w:type="paragraph" w:styleId="Header">
    <w:name w:val="header"/>
    <w:basedOn w:val="Normal"/>
    <w:link w:val="Head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4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4D6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A04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Luo19Minima</b:Tag>
    <b:SourceType>JournalArticle</b:SourceType>
    <b:Guid>{36FFBD1B-1D7C-424A-B5DC-1057FE226632}</b:Guid>
    <b:Title>Minima distribution for global optimization</b:Title>
    <b:JournalName>arXiv preprint</b:JournalName>
    <b:Year>2019</b:Year>
    <b:Month>May</b:Month>
    <b:Day>24</b:Day>
    <b:Publisher>arXiv </b:Publisher>
    <b:URL>https://arxiv.org/abs/1812.03457</b:URL>
    <b:DOI>10.48550/arXiv.1812.03457</b:DOI>
    <b:Author>
      <b:Author>
        <b:NameList>
          <b:Person>
            <b:Last>Luo</b:Last>
            <b:First>Xiaopeng</b:First>
          </b:Person>
        </b:NameList>
      </b:Author>
    </b:Author>
    <b:RefOrder>1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2</b:RefOrder>
  </b:Source>
  <b:Source>
    <b:Tag>Pan08BBPSO</b:Tag>
    <b:SourceType>ConferenceProceedings</b:SourceType>
    <b:Guid>{33E0EEA4-0E33-4FA3-A683-84C2E33B1CBE}</b:Guid>
    <b:Title>An Analysis of Bare Bones Particle Swarm</b:Title>
    <b:JournalName>Swarm Intelligence Symposium</b:JournalName>
    <b:Year>2008</b:Year>
    <b:Pages>1-5</b:Pages>
    <b:Author>
      <b:Author>
        <b:NameList>
          <b:Person>
            <b:Last>Pan</b:Last>
            <b:First>Feng</b:First>
          </b:Person>
          <b:Person>
            <b:Last>Hu</b:Last>
            <b:First>Xiaohui</b:First>
          </b:Person>
          <b:Person>
            <b:Last>Eberhart</b:Last>
            <b:First>Russ</b:First>
          </b:Person>
          <b:Person>
            <b:Last>Chen</b:Last>
            <b:First>Yaobin</b:First>
          </b:Person>
        </b:NameList>
      </b:Author>
    </b:Author>
    <b:City>St. Louis, MO, US</b:City>
    <b:Month>September</b:Month>
    <b:Day>21</b:Day>
    <b:Publisher>IEEE</b:Publisher>
    <b:StandardNumber>INSPEC Accession Number: 10393467. Proceedings ISBN print: 978-1-4244-2704-8. Proceedings ISBN CD: 978-1-4244-2705-5.</b:StandardNumber>
    <b:Comments>Available at https://www.researchgate.net/publication/224347075_An_analysis_of_Bare_Bones_Particle_Swarm</b:Comments>
    <b:YearAccessed>2021</b:YearAccessed>
    <b:MonthAccessed>January</b:MonthAccessed>
    <b:DayAccessed>21</b:DayAccessed>
    <b:URL>https://ieeexplore.ieee.org/document/4668301</b:URL>
    <b:DOI>10.1109/SIS.2008.4668301</b:DOI>
    <b:ConferenceName>IEEE Swarm Intelligence Symposium 2008 (SIS 2008)</b:ConferenceName>
    <b:RefOrder>3</b:RefOrder>
  </b:Source>
  <b:Source>
    <b:Tag>alRifaie12BBPSO</b:Tag>
    <b:SourceType>ConferenceProceedings</b:SourceType>
    <b:Guid>{55F9E4E3-C864-4E44-8BB6-DE9D4F902297}</b:Guid>
    <b:Title>Bare Bones Particle Swarms with Jumps</b:Title>
    <b:Pages>49-60</b:Pages>
    <b:Year>2012</b:Year>
    <b:ConferenceName>International Conference on Swarm Intelligence</b:ConferenceName>
    <b:City>Brussels</b:City>
    <b:Publisher>Springer Berlin</b:Publisher>
    <b:Volume>Lecture Notes in Computer Science 7461</b:Volume>
    <b:StandardNumber>Book ISBN print: 978-3-642-32649-3. Book ISBN online: 978-3-642-32650-9</b:StandardNumber>
    <b:Comments>Available at https://www.researchgate.net/publication/262223070_Bare_Bones_Particle_Swarms_with_Jumps</b:Comments>
    <b:URL>https://link.springer.com/chapter/10.1007/978-3-642-32650-9_5</b:URL>
    <b:DOI>10.1007/978-3-642-32650-9_5</b:DOI>
    <b:Author>
      <b:Author>
        <b:NameList>
          <b:Person>
            <b:Last>al-Rifaie</b:Last>
            <b:Middle>Majid</b:Middle>
            <b:First>Mohammad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  <b:Person>
            <b:Last>Birattari</b:Last>
            <b:First>Mauro</b:First>
          </b:Person>
          <b:Person>
            <b:Last>Blum</b:Last>
            <b:First>Christian</b:First>
          </b:Person>
          <b:Person>
            <b:Last>Christensen</b:Last>
            <b:Middle>Lyhne</b:Middle>
            <b:First>Anders</b:First>
          </b:Person>
          <b:Person>
            <b:Last>Engelbrecht</b:Last>
            <b:Middle>P.</b:Middle>
            <b:First>Andries</b:First>
          </b:Person>
          <b:Person>
            <b:Last>Groß</b:Last>
            <b:First>Roderich</b:First>
          </b:Person>
          <b:Person>
            <b:Last>Stützle</b:Last>
            <b:First>Thomas</b:First>
          </b:Person>
        </b:NameList>
      </b:Editor>
    </b:Author>
    <b:YearAccessed>2021</b:YearAccessed>
    <b:MonthAccessed>January</b:MonthAccessed>
    <b:DayAccessed>21</b:DayAccessed>
    <b:RefOrder>4</b:RefOrder>
  </b:Source>
  <b:Source>
    <b:Tag>Sharma15PSOFitness</b:Tag>
    <b:SourceType>JournalArticle</b:SourceType>
    <b:Guid>{D5BD2B8F-0B05-4F0C-BEEF-F1EEB558B41F}</b:Guid>
    <b:Title>Fitness based Particle Swarm Optimization</b:Title>
    <b:JournalName>International Journal of System Assurance Engineering and Management</b:JournalName>
    <b:Year>2015</b:Year>
    <b:Pages>319-329</b:Pages>
    <b:ConferenceName>International Journal of Systems Assurance Engineering and Management</b:ConferenceName>
    <b:Author>
      <b:Author>
        <b:NameList>
          <b:Person>
            <b:Last>Sharma</b:Last>
            <b:First>Kavita</b:First>
          </b:Person>
          <b:Person>
            <b:Last>Chhamunya</b:Last>
            <b:First>Varsha</b:First>
          </b:Person>
          <b:Person>
            <b:Last>Gupta</b:Last>
            <b:Middle>C.</b:Middle>
            <b:First>P.</b:First>
          </b:Person>
          <b:Person>
            <b:Last>Sharma</b:Last>
            <b:First>Harish</b:First>
          </b:Person>
          <b:Person>
            <b:Last>Bansal</b:Last>
            <b:Middle>Chand</b:Middle>
            <b:First>Jagdish</b:First>
          </b:Person>
        </b:NameList>
      </b:Author>
      <b:Editor>
        <b:NameList>
          <b:Person>
            <b:Last>Verma</b:Last>
            <b:Middle>Kumar</b:Middle>
            <b:First>Ajit</b:First>
          </b:Person>
          <b:Person>
            <b:Last>Kapur</b:Last>
            <b:Middle>Kumar</b:Middle>
            <b:First>Parmod</b:First>
          </b:Person>
          <b:Person>
            <b:Last>Kumar</b:Last>
            <b:First>Uday</b:First>
          </b:Person>
        </b:NameList>
      </b:Editor>
    </b:Author>
    <b:Volume>6</b:Volume>
    <b:YearAccessed>2021</b:YearAccessed>
    <b:MonthAccessed>January</b:MonthAccessed>
    <b:DayAccessed>25</b:DayAccessed>
    <b:URL>https://www.researchgate.net/profile/Harish_Sharma21/publication/282539568_Fitness_based_particle_swarm_optimization/links/575aadc908ae414b8e466948/Fitness-based-particle-swarm-optimization.pdf</b:URL>
    <b:DOI>10.1007/s13198-015-0372-4</b:DOI>
    <b:Month>September</b:Month>
    <b:Issue>3</b:Issue>
    <b:Publisher>Springer</b:Publisher>
    <b:RefOrder>5</b:RefOrder>
  </b:Source>
</b:Sources>
</file>

<file path=customXml/itemProps1.xml><?xml version="1.0" encoding="utf-8"?>
<ds:datastoreItem xmlns:ds="http://schemas.openxmlformats.org/officeDocument/2006/customXml" ds:itemID="{E95BB3FB-F66C-444A-841E-043E53DB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6</Pages>
  <Words>2534</Words>
  <Characters>14447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589</cp:revision>
  <dcterms:created xsi:type="dcterms:W3CDTF">2022-06-20T04:31:00Z</dcterms:created>
  <dcterms:modified xsi:type="dcterms:W3CDTF">2022-11-14T08:54:00Z</dcterms:modified>
</cp:coreProperties>
</file>