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5"/>
        <w:gridCol w:w="135"/>
      </w:tblGrid>
      <w:tr w:rsidR="00C61AB8" w14:paraId="51873F43" w14:textId="77777777" w:rsidTr="007124CA">
        <w:tc>
          <w:tcPr>
            <w:tcW w:w="9950" w:type="dxa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p w14:paraId="5CC80F4E" w14:textId="77777777" w:rsidR="00C61AB8" w:rsidRPr="00665552" w:rsidRDefault="00C61AB8" w:rsidP="007124CA">
            <w:pPr>
              <w:spacing w:before="120" w:after="40" w:line="120" w:lineRule="auto"/>
              <w:jc w:val="center"/>
              <w:rPr>
                <w:b/>
                <w:bCs/>
                <w:sz w:val="72"/>
                <w:szCs w:val="72"/>
              </w:rPr>
            </w:pPr>
            <w:r w:rsidRPr="00665552">
              <w:rPr>
                <w:b/>
                <w:bCs/>
                <w:sz w:val="72"/>
                <w:szCs w:val="72"/>
              </w:rPr>
              <w:t>Nathan Grange</w:t>
            </w:r>
          </w:p>
          <w:p w14:paraId="1E5F853D" w14:textId="561AC5B7" w:rsidR="00665552" w:rsidRPr="00665552" w:rsidRDefault="00AB282C" w:rsidP="007124CA">
            <w:pPr>
              <w:spacing w:line="276" w:lineRule="auto"/>
              <w:jc w:val="center"/>
            </w:pPr>
            <w:r>
              <w:t xml:space="preserve">Salt Lake City, UT | </w:t>
            </w:r>
            <w:hyperlink r:id="rId7" w:history="1">
              <w:r w:rsidRPr="0070637A">
                <w:rPr>
                  <w:rStyle w:val="Hyperlink"/>
                </w:rPr>
                <w:t>ngrange@gmail.com</w:t>
              </w:r>
            </w:hyperlink>
            <w:r>
              <w:t xml:space="preserve"> | </w:t>
            </w:r>
            <w:r w:rsidR="00665552">
              <w:t>801.455.6228</w:t>
            </w:r>
            <w:r>
              <w:t xml:space="preserve"> | </w:t>
            </w:r>
            <w:hyperlink r:id="rId8" w:history="1">
              <w:r w:rsidR="007124CA">
                <w:rPr>
                  <w:rStyle w:val="Hyperlink"/>
                </w:rPr>
                <w:t>LinkedIn</w:t>
              </w:r>
            </w:hyperlink>
            <w:r w:rsidR="007124CA" w:rsidRPr="007124CA">
              <w:t xml:space="preserve"> |</w:t>
            </w:r>
            <w:r w:rsidR="007124CA" w:rsidRPr="007124CA">
              <w:rPr>
                <w:rStyle w:val="Hyperlink"/>
                <w:u w:val="none"/>
              </w:rPr>
              <w:t xml:space="preserve"> </w:t>
            </w:r>
            <w:hyperlink r:id="rId9" w:history="1">
              <w:r w:rsidR="007124CA">
                <w:rPr>
                  <w:rStyle w:val="Hyperlink"/>
                </w:rPr>
                <w:t>GitHub</w:t>
              </w:r>
            </w:hyperlink>
          </w:p>
        </w:tc>
      </w:tr>
      <w:tr w:rsidR="00F63DD7" w:rsidRPr="00F63DD7" w14:paraId="44EB9D7E" w14:textId="77777777" w:rsidTr="007124CA">
        <w:tc>
          <w:tcPr>
            <w:tcW w:w="9815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9090" w:type="dxa"/>
              <w:tblLayout w:type="fixed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8779"/>
            </w:tblGrid>
            <w:tr w:rsidR="00F63DD7" w:rsidRPr="00F63DD7" w14:paraId="5996F1E1" w14:textId="77777777" w:rsidTr="005048D0">
              <w:tc>
                <w:tcPr>
                  <w:tcW w:w="311" w:type="dxa"/>
                </w:tcPr>
                <w:p w14:paraId="4C92DFD4" w14:textId="77777777" w:rsidR="00C94EBF" w:rsidRPr="00F63DD7" w:rsidRDefault="00C94EBF" w:rsidP="00FE5DA7">
                  <w:pPr>
                    <w:pStyle w:val="Iconcontainer"/>
                    <w:spacing w:line="276" w:lineRule="auto"/>
                  </w:pPr>
                  <w:r w:rsidRPr="00F63DD7">
                    <w:rPr>
                      <w:noProof/>
                    </w:rPr>
                    <w:drawing>
                      <wp:anchor distT="0" distB="0" distL="114300" distR="114300" simplePos="0" relativeHeight="251663360" behindDoc="0" locked="0" layoutInCell="1" allowOverlap="1" wp14:anchorId="37D76A23" wp14:editId="2879F29D">
                        <wp:simplePos x="0" y="0"/>
                        <wp:positionH relativeFrom="column">
                          <wp:posOffset>1270</wp:posOffset>
                        </wp:positionH>
                        <wp:positionV relativeFrom="page">
                          <wp:posOffset>160655</wp:posOffset>
                        </wp:positionV>
                        <wp:extent cx="135890" cy="135890"/>
                        <wp:effectExtent l="0" t="0" r="0" b="0"/>
                        <wp:wrapNone/>
                        <wp:docPr id="1" name="Picture 1" descr="A black silhouette of a pers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A black silhouette of a pers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8779" w:type="dxa"/>
                  <w:vAlign w:val="center"/>
                </w:tcPr>
                <w:p w14:paraId="39A1B6D6" w14:textId="77777777" w:rsidR="00C94EBF" w:rsidRPr="00F63DD7" w:rsidRDefault="00C94EBF" w:rsidP="00FE5DA7">
                  <w:pPr>
                    <w:pStyle w:val="Heading1"/>
                    <w:spacing w:line="276" w:lineRule="auto"/>
                    <w:rPr>
                      <w:color w:val="auto"/>
                    </w:rPr>
                  </w:pPr>
                  <w:r w:rsidRPr="00F63DD7">
                    <w:rPr>
                      <w:color w:val="auto"/>
                    </w:rPr>
                    <w:t>Profile</w:t>
                  </w:r>
                </w:p>
                <w:p w14:paraId="5DD795AF" w14:textId="6F21542B" w:rsidR="00D409D5" w:rsidRPr="00F63DD7" w:rsidRDefault="00A331B0" w:rsidP="00FE5DA7">
                  <w:pPr>
                    <w:spacing w:line="276" w:lineRule="auto"/>
                    <w:rPr>
                      <w:color w:val="auto"/>
                    </w:rPr>
                  </w:pPr>
                  <w:r w:rsidRPr="00F63DD7">
                    <w:rPr>
                      <w:color w:val="auto"/>
                    </w:rPr>
                    <w:t>T</w:t>
                  </w:r>
                  <w:r w:rsidR="00D409D5" w:rsidRPr="00F63DD7">
                    <w:rPr>
                      <w:color w:val="auto"/>
                    </w:rPr>
                    <w:t xml:space="preserve">echnology leader </w:t>
                  </w:r>
                  <w:r w:rsidR="00627A11" w:rsidRPr="005A2D76">
                    <w:rPr>
                      <w:color w:val="auto"/>
                    </w:rPr>
                    <w:t>with over 10 years of experience driving strategic data analytics and business intelligence initiatives.</w:t>
                  </w:r>
                  <w:r w:rsidR="00D409D5" w:rsidRPr="00F63DD7">
                    <w:rPr>
                      <w:color w:val="auto"/>
                    </w:rPr>
                    <w:t xml:space="preserve"> </w:t>
                  </w:r>
                  <w:r w:rsidR="0002154E" w:rsidRPr="00F63DD7">
                    <w:rPr>
                      <w:color w:val="auto"/>
                    </w:rPr>
                    <w:t xml:space="preserve">Skilled in gathering and utilizing data to </w:t>
                  </w:r>
                  <w:r w:rsidR="002C712C" w:rsidRPr="00F63DD7">
                    <w:rPr>
                      <w:color w:val="auto"/>
                    </w:rPr>
                    <w:t>guide</w:t>
                  </w:r>
                  <w:r w:rsidR="0002154E" w:rsidRPr="00F63DD7">
                    <w:rPr>
                      <w:color w:val="auto"/>
                    </w:rPr>
                    <w:t xml:space="preserve"> business initiatives for organizational goals.</w:t>
                  </w:r>
                  <w:r w:rsidR="00D409D5" w:rsidRPr="00F63DD7">
                    <w:rPr>
                      <w:color w:val="auto"/>
                    </w:rPr>
                    <w:t xml:space="preserve"> Advocate for governance and standards</w:t>
                  </w:r>
                  <w:r w:rsidR="00A07B91" w:rsidRPr="00F63DD7">
                    <w:rPr>
                      <w:color w:val="auto"/>
                    </w:rPr>
                    <w:t xml:space="preserve">. </w:t>
                  </w:r>
                  <w:r w:rsidR="00232E66" w:rsidRPr="00F63DD7">
                    <w:rPr>
                      <w:color w:val="auto"/>
                    </w:rPr>
                    <w:t>A</w:t>
                  </w:r>
                  <w:r w:rsidR="00A07B91" w:rsidRPr="00F63DD7">
                    <w:rPr>
                      <w:color w:val="auto"/>
                    </w:rPr>
                    <w:t>dept at translating between technical and business audiences</w:t>
                  </w:r>
                  <w:r w:rsidR="007B15C5">
                    <w:rPr>
                      <w:color w:val="auto"/>
                    </w:rPr>
                    <w:t xml:space="preserve"> with a focus on client success</w:t>
                  </w:r>
                  <w:r w:rsidR="00D409D5" w:rsidRPr="00F63DD7">
                    <w:rPr>
                      <w:color w:val="auto"/>
                    </w:rPr>
                    <w:t>.</w:t>
                  </w:r>
                  <w:r w:rsidR="00232E66" w:rsidRPr="00F63DD7">
                    <w:rPr>
                      <w:color w:val="auto"/>
                    </w:rPr>
                    <w:t xml:space="preserve"> </w:t>
                  </w:r>
                  <w:r w:rsidR="00C76D12">
                    <w:rPr>
                      <w:color w:val="auto"/>
                    </w:rPr>
                    <w:t xml:space="preserve">Passionate about </w:t>
                  </w:r>
                  <w:r w:rsidR="00E759A6" w:rsidRPr="00C76D12">
                    <w:rPr>
                      <w:color w:val="auto"/>
                    </w:rPr>
                    <w:t>building positive client relationships, mentoring teams, and driving innovative solutions to meet organizational goals</w:t>
                  </w:r>
                  <w:r w:rsidR="00232E66" w:rsidRPr="00F63DD7">
                    <w:rPr>
                      <w:color w:val="auto"/>
                    </w:rPr>
                    <w:t xml:space="preserve">. </w:t>
                  </w:r>
                </w:p>
                <w:p w14:paraId="388ECE8E" w14:textId="185AE1FE" w:rsidR="00BA1234" w:rsidRPr="00F65257" w:rsidRDefault="00BA1234" w:rsidP="00BA123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63DD7" w:rsidRPr="00F63DD7" w14:paraId="547546C8" w14:textId="77777777" w:rsidTr="005048D0">
              <w:tc>
                <w:tcPr>
                  <w:tcW w:w="311" w:type="dxa"/>
                </w:tcPr>
                <w:p w14:paraId="0ECA2BD8" w14:textId="77777777" w:rsidR="00C94EBF" w:rsidRPr="00F63DD7" w:rsidRDefault="00C94EBF" w:rsidP="00FE5DA7">
                  <w:pPr>
                    <w:pStyle w:val="Iconcontainer"/>
                    <w:spacing w:line="276" w:lineRule="auto"/>
                  </w:pPr>
                  <w:r w:rsidRPr="00F63DD7"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C23ADEC" wp14:editId="2312EF7A">
                        <wp:simplePos x="0" y="0"/>
                        <wp:positionH relativeFrom="column">
                          <wp:posOffset>1270</wp:posOffset>
                        </wp:positionH>
                        <wp:positionV relativeFrom="page">
                          <wp:posOffset>164465</wp:posOffset>
                        </wp:positionV>
                        <wp:extent cx="135890" cy="135890"/>
                        <wp:effectExtent l="0" t="0" r="0" b="0"/>
                        <wp:wrapNone/>
                        <wp:docPr id="2" name="Picture 2" descr="A black square object with a black background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A black square object with a black background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8779" w:type="dxa"/>
                  <w:vAlign w:val="center"/>
                </w:tcPr>
                <w:p w14:paraId="7D00AE8B" w14:textId="77777777" w:rsidR="00C94EBF" w:rsidRPr="00F63DD7" w:rsidRDefault="00C94EBF" w:rsidP="00FE5DA7">
                  <w:pPr>
                    <w:pStyle w:val="Heading1"/>
                    <w:spacing w:line="276" w:lineRule="auto"/>
                    <w:rPr>
                      <w:color w:val="auto"/>
                    </w:rPr>
                  </w:pPr>
                  <w:r w:rsidRPr="00F63DD7">
                    <w:rPr>
                      <w:color w:val="auto"/>
                    </w:rPr>
                    <w:t>Employment History</w:t>
                  </w:r>
                </w:p>
                <w:p w14:paraId="1E3509BA" w14:textId="77777777" w:rsidR="00C94EBF" w:rsidRPr="00F63DD7" w:rsidRDefault="00C94EBF" w:rsidP="00FE5DA7">
                  <w:pPr>
                    <w:pStyle w:val="Heading2"/>
                    <w:spacing w:line="276" w:lineRule="auto"/>
                    <w:rPr>
                      <w:color w:val="auto"/>
                      <w:sz w:val="24"/>
                      <w:szCs w:val="24"/>
                    </w:rPr>
                  </w:pPr>
                  <w:r w:rsidRPr="00F63DD7">
                    <w:rPr>
                      <w:color w:val="auto"/>
                      <w:sz w:val="24"/>
                      <w:szCs w:val="24"/>
                    </w:rPr>
                    <w:t>Health Catalyst, Salt Lake City</w:t>
                  </w:r>
                </w:p>
                <w:p w14:paraId="73C2E887" w14:textId="77777777" w:rsidR="00C94EBF" w:rsidRPr="00F63DD7" w:rsidRDefault="00C94EBF" w:rsidP="00FE5DA7">
                  <w:pPr>
                    <w:pStyle w:val="Date"/>
                    <w:spacing w:line="276" w:lineRule="auto"/>
                    <w:rPr>
                      <w:color w:val="auto"/>
                      <w:sz w:val="20"/>
                      <w:szCs w:val="20"/>
                    </w:rPr>
                  </w:pPr>
                  <w:r w:rsidRPr="00F63DD7">
                    <w:rPr>
                      <w:color w:val="auto"/>
                      <w:sz w:val="20"/>
                      <w:szCs w:val="20"/>
                    </w:rPr>
                    <w:t>Health Catalyst is a leading provider of data and analytics technology and services to healthcare organizations, committed to being the catalyst for massive, measurable, data-informed healthcare improvement.</w:t>
                  </w:r>
                </w:p>
                <w:p w14:paraId="175F7995" w14:textId="77777777" w:rsidR="00C94EBF" w:rsidRPr="00F63DD7" w:rsidRDefault="00C94EBF" w:rsidP="00FE5DA7">
                  <w:pPr>
                    <w:pStyle w:val="Heading2"/>
                    <w:spacing w:line="276" w:lineRule="auto"/>
                    <w:rPr>
                      <w:color w:val="auto"/>
                    </w:rPr>
                  </w:pPr>
                  <w:r w:rsidRPr="00F63DD7">
                    <w:rPr>
                      <w:color w:val="auto"/>
                    </w:rPr>
                    <w:t>Senior Technical Director at Health Catalyst</w:t>
                  </w:r>
                </w:p>
                <w:p w14:paraId="44C80A64" w14:textId="111146A2" w:rsidR="00C94EBF" w:rsidRPr="00F63DD7" w:rsidRDefault="00C94EBF" w:rsidP="00FE5DA7">
                  <w:pPr>
                    <w:pStyle w:val="Date"/>
                    <w:spacing w:line="276" w:lineRule="auto"/>
                    <w:rPr>
                      <w:b/>
                      <w:bCs/>
                      <w:color w:val="auto"/>
                    </w:rPr>
                  </w:pPr>
                  <w:r w:rsidRPr="00F63DD7">
                    <w:rPr>
                      <w:b/>
                      <w:bCs/>
                      <w:color w:val="auto"/>
                    </w:rPr>
                    <w:t xml:space="preserve">April 2020 — </w:t>
                  </w:r>
                  <w:r w:rsidR="008030D6">
                    <w:rPr>
                      <w:b/>
                      <w:bCs/>
                      <w:color w:val="auto"/>
                    </w:rPr>
                    <w:t>Jan 2024</w:t>
                  </w:r>
                </w:p>
                <w:p w14:paraId="3D996D75" w14:textId="12164D44" w:rsidR="00C94EBF" w:rsidRPr="00F63DD7" w:rsidRDefault="00C94EBF" w:rsidP="00FE5DA7">
                  <w:pPr>
                    <w:pStyle w:val="Default"/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Direct client engagements by orchestrating </w:t>
                  </w:r>
                  <w:r w:rsidR="006E4892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complex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initiatives to enable data-driven decision</w:t>
                  </w:r>
                  <w:r w:rsidR="008B143E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making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. </w:t>
                  </w:r>
                  <w:r w:rsidR="006E4892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Reengineer 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processes </w:t>
                  </w:r>
                  <w:r w:rsidR="00ED25BE" w:rsidRPr="00ED25BE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for repeatability and scalability, conforming to DataOps practices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. Collaborate with staff and senior management to identify and resolve </w:t>
                  </w:r>
                  <w:r w:rsidR="00D80DF9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complicated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issues across the customer base. Mentor</w:t>
                  </w:r>
                  <w:r w:rsidR="002C712C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and onboard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new staff members.</w:t>
                  </w:r>
                </w:p>
                <w:p w14:paraId="3F296678" w14:textId="77777777" w:rsidR="00245B06" w:rsidRPr="00F63DD7" w:rsidRDefault="00245B06" w:rsidP="00FE5DA7">
                  <w:pPr>
                    <w:pStyle w:val="Default"/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</w:p>
                <w:p w14:paraId="4208E7F0" w14:textId="75AE2BEE" w:rsidR="00C94EBF" w:rsidRPr="00F63DD7" w:rsidRDefault="00C94EBF" w:rsidP="00FE5DA7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Implemented proprietary analytic platform </w:t>
                  </w:r>
                  <w:r w:rsidR="0074298B" w:rsidRPr="0074298B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generating 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over $3.5 million annually in recurring revenue.</w:t>
                  </w:r>
                </w:p>
                <w:p w14:paraId="6AB6B222" w14:textId="37DA6BF5" w:rsidR="00C94EBF" w:rsidRPr="00803442" w:rsidRDefault="0074298B" w:rsidP="00803442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Designed</w:t>
                  </w:r>
                  <w:r w:rsidR="00803442" w:rsidRPr="003E588E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comprehensive training programs for 100+ customers </w:t>
                  </w:r>
                  <w:r w:rsidR="00C865D1" w:rsidRPr="00C865D1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ensuring long-term success.</w:t>
                  </w:r>
                </w:p>
                <w:p w14:paraId="7DDCBB48" w14:textId="0CB3374D" w:rsidR="00C94EBF" w:rsidRPr="00F63DD7" w:rsidRDefault="00C865D1" w:rsidP="00FE5DA7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Constructed</w:t>
                  </w:r>
                  <w:r w:rsidR="00C94EBF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tools to highlight and monitor platform utilization metrics</w:t>
                  </w:r>
                  <w:r w:rsidR="002C712C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,</w:t>
                  </w:r>
                  <w:r w:rsidR="00C94EBF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</w:t>
                  </w:r>
                  <w:r w:rsidR="00D66D9C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demonstrating</w:t>
                  </w:r>
                  <w:r w:rsidR="00C94EBF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customer adoption. </w:t>
                  </w:r>
                </w:p>
                <w:p w14:paraId="1809BFCE" w14:textId="38E4A662" w:rsidR="00C94EBF" w:rsidRPr="00F63DD7" w:rsidRDefault="00C94EBF" w:rsidP="00FE5DA7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Served as a key resource to test and advocate as the customer voice through technology stack</w:t>
                  </w:r>
                  <w:r w:rsidR="00A745B3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upgrades</w:t>
                  </w:r>
                  <w:r w:rsidR="00856872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, guaranteeing 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functional parity with the existing products.</w:t>
                  </w:r>
                </w:p>
                <w:p w14:paraId="4910050C" w14:textId="68FD8A2C" w:rsidR="00C94EBF" w:rsidRPr="00F63DD7" w:rsidRDefault="00C94EBF" w:rsidP="00FE5DA7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Assembled client teams to </w:t>
                  </w:r>
                  <w:r w:rsidR="002C712C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enhance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responsiveness, strengthen skill levels, and </w:t>
                  </w:r>
                  <w:r w:rsidR="001356D5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meet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performance expectations.</w:t>
                  </w:r>
                </w:p>
                <w:p w14:paraId="77F8DF11" w14:textId="77777777" w:rsidR="00C55C06" w:rsidRDefault="00C55C06" w:rsidP="00FE5DA7">
                  <w:pPr>
                    <w:pStyle w:val="Heading2"/>
                    <w:spacing w:line="276" w:lineRule="auto"/>
                    <w:rPr>
                      <w:color w:val="auto"/>
                    </w:rPr>
                  </w:pPr>
                </w:p>
                <w:p w14:paraId="275586CC" w14:textId="77777777" w:rsidR="0098368B" w:rsidRPr="0098368B" w:rsidRDefault="0098368B" w:rsidP="0098368B"/>
                <w:p w14:paraId="07EB15BB" w14:textId="696C39F8" w:rsidR="00C94EBF" w:rsidRPr="00F63DD7" w:rsidRDefault="00C94EBF" w:rsidP="00FE5DA7">
                  <w:pPr>
                    <w:pStyle w:val="Heading2"/>
                    <w:spacing w:line="276" w:lineRule="auto"/>
                    <w:rPr>
                      <w:color w:val="auto"/>
                    </w:rPr>
                  </w:pPr>
                  <w:r w:rsidRPr="00F63DD7">
                    <w:rPr>
                      <w:color w:val="auto"/>
                    </w:rPr>
                    <w:t>Technical Director at Health Catalyst</w:t>
                  </w:r>
                </w:p>
                <w:p w14:paraId="60AD50BE" w14:textId="4628B4C4" w:rsidR="00C94EBF" w:rsidRPr="00F63DD7" w:rsidRDefault="00BA50C0" w:rsidP="00FE5DA7">
                  <w:pPr>
                    <w:pStyle w:val="Date"/>
                    <w:spacing w:line="276" w:lineRule="auto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August</w:t>
                  </w:r>
                  <w:r w:rsidR="00C94EBF" w:rsidRPr="00F63DD7">
                    <w:rPr>
                      <w:b/>
                      <w:bCs/>
                      <w:color w:val="auto"/>
                    </w:rPr>
                    <w:t xml:space="preserve"> 2016 — April 2020</w:t>
                  </w:r>
                </w:p>
                <w:p w14:paraId="298BB26C" w14:textId="5057B46D" w:rsidR="00C94EBF" w:rsidRPr="00F63DD7" w:rsidRDefault="00C94EBF" w:rsidP="00FE5DA7">
                  <w:pPr>
                    <w:pStyle w:val="Default"/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Lead implementation and utilization of </w:t>
                  </w:r>
                  <w:r w:rsidR="00C14AD0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the </w:t>
                  </w:r>
                  <w:r w:rsidR="009C0C4A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Health Catalyst D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ata </w:t>
                  </w:r>
                  <w:r w:rsidR="009C0C4A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A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nalytics platform </w:t>
                  </w:r>
                  <w:r w:rsidR="00A703F9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at large </w:t>
                  </w:r>
                  <w:r w:rsidR="00EC36AF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h</w:t>
                  </w:r>
                  <w:r w:rsidR="00A703F9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ealth</w:t>
                  </w:r>
                  <w:r w:rsidR="00EC36AF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c</w:t>
                  </w:r>
                  <w:r w:rsidR="00A703F9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are systems. 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Collaborate with executives to discover and consolidate data </w:t>
                  </w:r>
                  <w:r w:rsidR="008144CB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for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measuring and monitoring corporate initiatives and identifying opportunities for improvement. </w:t>
                  </w:r>
                  <w:r w:rsidR="001D4338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Build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and maintain positive relationships with key clients, staff, and stakeholders. Direct a </w:t>
                  </w:r>
                  <w:r w:rsidR="006B3F58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cross functional </w:t>
                  </w:r>
                  <w:r w:rsidR="00331D56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distributed 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team of </w:t>
                  </w:r>
                  <w:r w:rsidR="006B3F58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high performing 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Data Architects, Analytics Engineers, Data Engineers, and Data Scientists to deliver </w:t>
                  </w:r>
                  <w:r w:rsidR="00BF1189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knowledge </w:t>
                  </w:r>
                  <w:r w:rsidR="000B3997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and insights </w:t>
                  </w:r>
                  <w:r w:rsidR="00BF1189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from gathered data.</w:t>
                  </w:r>
                </w:p>
                <w:p w14:paraId="4479F675" w14:textId="77777777" w:rsidR="00245B06" w:rsidRPr="00F63DD7" w:rsidRDefault="00245B06" w:rsidP="00FE5DA7">
                  <w:pPr>
                    <w:pStyle w:val="Default"/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</w:p>
                <w:p w14:paraId="6F489D7E" w14:textId="3E9EA304" w:rsidR="00C94EBF" w:rsidRPr="00F63DD7" w:rsidRDefault="00C94EBF" w:rsidP="00FE5DA7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lastRenderedPageBreak/>
                    <w:t>Crafted analytics and visualizations</w:t>
                  </w:r>
                  <w:r w:rsidR="000B63ED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, </w:t>
                  </w:r>
                  <w:r w:rsidR="004D42B3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eliminating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the need for third-party regulatory </w:t>
                  </w:r>
                  <w:r w:rsidR="009D30FB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reporting,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saving $</w:t>
                  </w:r>
                  <w:r w:rsidR="009D30FB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1.2M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annually.</w:t>
                  </w:r>
                </w:p>
                <w:p w14:paraId="4FCED6D2" w14:textId="6A9A140F" w:rsidR="00C94EBF" w:rsidRPr="00F63DD7" w:rsidRDefault="00C94EBF" w:rsidP="00FE5DA7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Delivered an analytics-based population health solution</w:t>
                  </w:r>
                  <w:r w:rsidR="002C712C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,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earning a client nearly $1M in revenue from the government Medicare Shared Savings program.</w:t>
                  </w:r>
                </w:p>
                <w:p w14:paraId="1912E5B6" w14:textId="77777777" w:rsidR="00D97B56" w:rsidRDefault="00D97B56" w:rsidP="00FE5DA7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D97B56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Guided troubleshooting efforts and effective solution implementation for organizational improvement goals.</w:t>
                  </w:r>
                </w:p>
                <w:p w14:paraId="15541852" w14:textId="5506887F" w:rsidR="00C94EBF" w:rsidRPr="00F63DD7" w:rsidRDefault="001356D5" w:rsidP="00FE5DA7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Formulated</w:t>
                  </w:r>
                  <w:r w:rsidR="00C94EBF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strategic services roadmaps with customer leadership to guide the engagement</w:t>
                  </w:r>
                  <w:r w:rsidR="004D42B3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s</w:t>
                  </w:r>
                  <w:r w:rsidR="00C94EBF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toward high-value opportunities.</w:t>
                  </w:r>
                </w:p>
                <w:p w14:paraId="5635AFB8" w14:textId="77777777" w:rsidR="00C94EBF" w:rsidRPr="00F63DD7" w:rsidRDefault="00C94EBF" w:rsidP="00FE5DA7">
                  <w:pPr>
                    <w:pStyle w:val="Default"/>
                    <w:spacing w:line="276" w:lineRule="auto"/>
                    <w:ind w:left="720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</w:p>
                <w:p w14:paraId="64A30CF1" w14:textId="77777777" w:rsidR="00C94EBF" w:rsidRPr="00F63DD7" w:rsidRDefault="00C94EBF" w:rsidP="00FE5DA7">
                  <w:pPr>
                    <w:pStyle w:val="Heading2"/>
                    <w:spacing w:line="276" w:lineRule="auto"/>
                    <w:rPr>
                      <w:color w:val="auto"/>
                    </w:rPr>
                  </w:pPr>
                  <w:r w:rsidRPr="00F63DD7">
                    <w:rPr>
                      <w:color w:val="auto"/>
                    </w:rPr>
                    <w:t>Senior Data Architect at Health Catalyst</w:t>
                  </w:r>
                </w:p>
                <w:p w14:paraId="5E34775B" w14:textId="77777777" w:rsidR="00C94EBF" w:rsidRPr="00F63DD7" w:rsidRDefault="00C94EBF" w:rsidP="00FE5DA7">
                  <w:pPr>
                    <w:pStyle w:val="Date"/>
                    <w:spacing w:line="276" w:lineRule="auto"/>
                    <w:rPr>
                      <w:b/>
                      <w:bCs/>
                      <w:color w:val="auto"/>
                    </w:rPr>
                  </w:pPr>
                  <w:r w:rsidRPr="00F63DD7">
                    <w:rPr>
                      <w:b/>
                      <w:bCs/>
                      <w:color w:val="auto"/>
                    </w:rPr>
                    <w:t>October 2014 — August 2016</w:t>
                  </w:r>
                </w:p>
                <w:p w14:paraId="5E1D65E8" w14:textId="39420C10" w:rsidR="00C94EBF" w:rsidRPr="00F63DD7" w:rsidRDefault="00E912C7" w:rsidP="00FE5DA7">
                  <w:pPr>
                    <w:pStyle w:val="Default"/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Leverage</w:t>
                  </w:r>
                  <w:r w:rsidR="00B67C5F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Catalyst data analytics platform along with SQL, Microsoft SQL-Server, 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QlikView</w:t>
                  </w:r>
                  <w:r w:rsidR="00B67C5F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, Tableau, and Power</w:t>
                  </w:r>
                  <w:r w:rsidR="006244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</w:t>
                  </w:r>
                  <w:r w:rsidR="00B67C5F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BI </w:t>
                  </w:r>
                  <w:r w:rsidR="008A51C7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to centralize data analytics</w:t>
                  </w:r>
                  <w:r w:rsidR="00C82245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for </w:t>
                  </w:r>
                  <w:r w:rsidR="00942254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healthcare</w:t>
                  </w:r>
                  <w:r w:rsidR="00C82245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systems. </w:t>
                  </w:r>
                  <w:r w:rsidR="00064940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Const</w:t>
                  </w:r>
                  <w:r w:rsidR="00910455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ruct</w:t>
                  </w:r>
                  <w:r w:rsidR="00386113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statistical measures and self-service analytic dashboards</w:t>
                  </w:r>
                  <w:r w:rsidR="0030567C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. </w:t>
                  </w:r>
                  <w:r w:rsidR="000034D7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Gather and transform</w:t>
                  </w:r>
                  <w:r w:rsidR="00A754B7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</w:t>
                  </w:r>
                  <w:r w:rsidR="00DA19C9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requirements from both </w:t>
                  </w:r>
                  <w:r w:rsidR="00C94EBF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technical and non-technical use</w:t>
                  </w:r>
                  <w:r w:rsidR="00EA56BF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rs </w:t>
                  </w:r>
                  <w:r w:rsidR="00CE354A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to </w:t>
                  </w:r>
                  <w:r w:rsidR="001356D5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define</w:t>
                  </w:r>
                  <w:r w:rsidR="00EA56BF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improvement initiatives</w:t>
                  </w:r>
                  <w:r w:rsidR="00C94EBF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. </w:t>
                  </w:r>
                  <w:r w:rsidR="00F27DBB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Partner </w:t>
                  </w:r>
                  <w:r w:rsidR="00C94EBF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with internal</w:t>
                  </w:r>
                  <w:r w:rsidR="0030567C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stakeholders</w:t>
                  </w:r>
                  <w:r w:rsidR="00C94EBF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and planning teams to</w:t>
                  </w:r>
                  <w:r w:rsidR="00B90EA3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push the growth </w:t>
                  </w:r>
                  <w:r w:rsidR="00CF46BD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and advancement of Health Catalyst </w:t>
                  </w:r>
                  <w:r w:rsidR="00C94EBF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tools.</w:t>
                  </w:r>
                </w:p>
                <w:p w14:paraId="52C48279" w14:textId="77777777" w:rsidR="00245B06" w:rsidRPr="00F63DD7" w:rsidRDefault="00245B06" w:rsidP="00FE5DA7">
                  <w:pPr>
                    <w:pStyle w:val="Default"/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</w:p>
                <w:p w14:paraId="6938C3E4" w14:textId="77777777" w:rsidR="001B6250" w:rsidRDefault="001B6250" w:rsidP="00FE5DA7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1B6250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Spearheaded implementations that improved data accessibility and analysis efficiency by 75%.</w:t>
                  </w:r>
                </w:p>
                <w:p w14:paraId="02AD7076" w14:textId="33783CF4" w:rsidR="00C94EBF" w:rsidRPr="00F63DD7" w:rsidRDefault="00C94EBF" w:rsidP="00FE5DA7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Implemented rigorous data validation tests, reducing errors by </w:t>
                  </w:r>
                  <w:r w:rsidR="001B6250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45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% and ensuring high-quality, reliable data for critical healthcare decision-making.</w:t>
                  </w:r>
                </w:p>
                <w:p w14:paraId="52C00BAC" w14:textId="6430E781" w:rsidR="00C94EBF" w:rsidRPr="00F63DD7" w:rsidRDefault="00C94EBF" w:rsidP="00FE5DA7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Drastically reduced </w:t>
                  </w:r>
                  <w:r w:rsidR="003655A8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claim 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liability by improving the timeliness of rate-setting utilization data from on average 2 years to 2 months. </w:t>
                  </w:r>
                </w:p>
                <w:p w14:paraId="2C8CB728" w14:textId="43D0DAD5" w:rsidR="00C94EBF" w:rsidRPr="00F63DD7" w:rsidRDefault="00C94EBF" w:rsidP="00FE5DA7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Achieved 100% improvement </w:t>
                  </w:r>
                  <w:r w:rsidR="00F671BE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in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risk-stratified patient identification through strategic analytics adoption.</w:t>
                  </w:r>
                </w:p>
                <w:p w14:paraId="2D5B32B4" w14:textId="77777777" w:rsidR="00C94EBF" w:rsidRDefault="00C94EBF" w:rsidP="00FE5DA7">
                  <w:pPr>
                    <w:pStyle w:val="Default"/>
                    <w:spacing w:line="276" w:lineRule="auto"/>
                    <w:ind w:left="720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</w:p>
                <w:p w14:paraId="4131EAC6" w14:textId="77777777" w:rsidR="00CA57D6" w:rsidRPr="00F63DD7" w:rsidRDefault="00CA57D6" w:rsidP="00FE5DA7">
                  <w:pPr>
                    <w:pStyle w:val="Default"/>
                    <w:spacing w:line="276" w:lineRule="auto"/>
                    <w:ind w:left="720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</w:p>
                <w:p w14:paraId="1EB4ED92" w14:textId="77777777" w:rsidR="00C94EBF" w:rsidRPr="00F63DD7" w:rsidRDefault="00C94EBF" w:rsidP="00FE5DA7">
                  <w:pPr>
                    <w:pStyle w:val="Heading2"/>
                    <w:spacing w:line="276" w:lineRule="auto"/>
                    <w:rPr>
                      <w:color w:val="auto"/>
                      <w:sz w:val="24"/>
                      <w:szCs w:val="24"/>
                    </w:rPr>
                  </w:pPr>
                  <w:r w:rsidRPr="00F63DD7">
                    <w:rPr>
                      <w:color w:val="auto"/>
                      <w:sz w:val="24"/>
                      <w:szCs w:val="24"/>
                    </w:rPr>
                    <w:t>Action Target, Provo</w:t>
                  </w:r>
                </w:p>
                <w:p w14:paraId="1E0ACD23" w14:textId="77777777" w:rsidR="00C94EBF" w:rsidRPr="00F63DD7" w:rsidRDefault="00C94EBF" w:rsidP="00FE5DA7">
                  <w:pPr>
                    <w:pStyle w:val="Date"/>
                    <w:spacing w:before="80" w:after="80" w:line="276" w:lineRule="auto"/>
                    <w:rPr>
                      <w:color w:val="auto"/>
                      <w:sz w:val="20"/>
                      <w:szCs w:val="20"/>
                    </w:rPr>
                  </w:pPr>
                  <w:r w:rsidRPr="00F63DD7">
                    <w:rPr>
                      <w:color w:val="auto"/>
                      <w:sz w:val="20"/>
                      <w:szCs w:val="20"/>
                    </w:rPr>
                    <w:t>The world leader in modern shooting range development, equipment and services is a designer and full-service provider of targets, gear, and supplies for the government, law enforcement, shooting ranges, gun clubs, and shooting enthusiasts everywhere.</w:t>
                  </w:r>
                </w:p>
                <w:p w14:paraId="1F6C7C0D" w14:textId="219298AC" w:rsidR="00C94EBF" w:rsidRPr="00F63DD7" w:rsidRDefault="00C94EBF" w:rsidP="00FE5DA7">
                  <w:pPr>
                    <w:pStyle w:val="Heading2"/>
                    <w:spacing w:line="276" w:lineRule="auto"/>
                    <w:rPr>
                      <w:color w:val="auto"/>
                    </w:rPr>
                  </w:pPr>
                  <w:r w:rsidRPr="00F63DD7">
                    <w:rPr>
                      <w:color w:val="auto"/>
                    </w:rPr>
                    <w:t>Director of Technology</w:t>
                  </w:r>
                  <w:r w:rsidR="00687951">
                    <w:rPr>
                      <w:color w:val="auto"/>
                    </w:rPr>
                    <w:t xml:space="preserve"> </w:t>
                  </w:r>
                  <w:r w:rsidRPr="00F63DD7">
                    <w:rPr>
                      <w:color w:val="auto"/>
                    </w:rPr>
                    <w:t>at Action Target</w:t>
                  </w:r>
                </w:p>
                <w:p w14:paraId="1FDFCB60" w14:textId="77777777" w:rsidR="00C94EBF" w:rsidRPr="00F63DD7" w:rsidRDefault="00C94EBF" w:rsidP="00FE5DA7">
                  <w:pPr>
                    <w:pStyle w:val="Date"/>
                    <w:spacing w:line="276" w:lineRule="auto"/>
                    <w:rPr>
                      <w:b/>
                      <w:bCs/>
                      <w:color w:val="auto"/>
                    </w:rPr>
                  </w:pPr>
                  <w:r w:rsidRPr="00F63DD7">
                    <w:rPr>
                      <w:b/>
                      <w:bCs/>
                      <w:color w:val="auto"/>
                    </w:rPr>
                    <w:t>January 2010 — October 2014</w:t>
                  </w:r>
                </w:p>
                <w:p w14:paraId="6789F4BE" w14:textId="2F3A1E3A" w:rsidR="00C94EBF" w:rsidRPr="00F63DD7" w:rsidRDefault="00FE5DA7" w:rsidP="00FE5DA7">
                  <w:pPr>
                    <w:spacing w:line="276" w:lineRule="auto"/>
                    <w:rPr>
                      <w:color w:val="auto"/>
                    </w:rPr>
                  </w:pPr>
                  <w:r w:rsidRPr="00F63DD7">
                    <w:rPr>
                      <w:color w:val="auto"/>
                    </w:rPr>
                    <w:t>Modernize</w:t>
                  </w:r>
                  <w:r w:rsidR="002C712C" w:rsidRPr="00F63DD7">
                    <w:rPr>
                      <w:color w:val="auto"/>
                    </w:rPr>
                    <w:t>d</w:t>
                  </w:r>
                  <w:r w:rsidR="00C94EBF" w:rsidRPr="00F63DD7">
                    <w:rPr>
                      <w:color w:val="auto"/>
                    </w:rPr>
                    <w:t xml:space="preserve"> </w:t>
                  </w:r>
                  <w:r w:rsidRPr="00F63DD7">
                    <w:rPr>
                      <w:color w:val="auto"/>
                    </w:rPr>
                    <w:t>technology</w:t>
                  </w:r>
                  <w:r w:rsidR="00C94EBF" w:rsidRPr="00F63DD7">
                    <w:rPr>
                      <w:color w:val="auto"/>
                    </w:rPr>
                    <w:t xml:space="preserve"> </w:t>
                  </w:r>
                  <w:r w:rsidRPr="00F63DD7">
                    <w:rPr>
                      <w:color w:val="auto"/>
                    </w:rPr>
                    <w:t xml:space="preserve">equipment, </w:t>
                  </w:r>
                  <w:r w:rsidR="00E574B1" w:rsidRPr="00F63DD7">
                    <w:rPr>
                      <w:color w:val="auto"/>
                    </w:rPr>
                    <w:t>methodologies,</w:t>
                  </w:r>
                  <w:r w:rsidRPr="00F63DD7">
                    <w:rPr>
                      <w:color w:val="auto"/>
                    </w:rPr>
                    <w:t xml:space="preserve"> and services to brin</w:t>
                  </w:r>
                  <w:r w:rsidR="00232E66" w:rsidRPr="00F63DD7">
                    <w:rPr>
                      <w:color w:val="auto"/>
                    </w:rPr>
                    <w:t>g</w:t>
                  </w:r>
                  <w:r w:rsidR="00C94EBF" w:rsidRPr="00F63DD7">
                    <w:rPr>
                      <w:color w:val="auto"/>
                    </w:rPr>
                    <w:t xml:space="preserve"> </w:t>
                  </w:r>
                  <w:r w:rsidR="00232E66" w:rsidRPr="00F63DD7">
                    <w:rPr>
                      <w:color w:val="auto"/>
                    </w:rPr>
                    <w:t>organization</w:t>
                  </w:r>
                  <w:r w:rsidR="00C94EBF" w:rsidRPr="00F63DD7">
                    <w:rPr>
                      <w:color w:val="auto"/>
                    </w:rPr>
                    <w:t xml:space="preserve"> to</w:t>
                  </w:r>
                  <w:r w:rsidRPr="00F63DD7">
                    <w:rPr>
                      <w:color w:val="auto"/>
                    </w:rPr>
                    <w:t xml:space="preserve"> industry standard</w:t>
                  </w:r>
                  <w:r w:rsidR="00C94EBF" w:rsidRPr="00F63DD7">
                    <w:rPr>
                      <w:color w:val="auto"/>
                    </w:rPr>
                    <w:t xml:space="preserve">. </w:t>
                  </w:r>
                  <w:r w:rsidR="009E02CA">
                    <w:rPr>
                      <w:color w:val="auto"/>
                    </w:rPr>
                    <w:t>Initiated</w:t>
                  </w:r>
                  <w:r w:rsidR="00C94EBF" w:rsidRPr="00F63DD7">
                    <w:rPr>
                      <w:color w:val="auto"/>
                    </w:rPr>
                    <w:t xml:space="preserve"> governance and compliance standards for all procedural aspects including help requests, budgeting, capacity planning, data-driven prioritization, and services security.</w:t>
                  </w:r>
                  <w:r w:rsidR="004B720B" w:rsidRPr="00F63DD7">
                    <w:rPr>
                      <w:color w:val="auto"/>
                    </w:rPr>
                    <w:t xml:space="preserve"> </w:t>
                  </w:r>
                  <w:r w:rsidR="00411D84" w:rsidRPr="00F63DD7">
                    <w:rPr>
                      <w:color w:val="auto"/>
                    </w:rPr>
                    <w:t>Identified and hired 10 team members for 4 roles to meet new demands.</w:t>
                  </w:r>
                </w:p>
                <w:p w14:paraId="50F5D2BA" w14:textId="69A4985D" w:rsidR="00C94EBF" w:rsidRPr="00F63DD7" w:rsidRDefault="00C94EBF" w:rsidP="00FE5DA7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Introduced server virtualization and automated systems, networks, and services monitoring</w:t>
                  </w:r>
                  <w:r w:rsidR="002C712C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, dropping failure rat</w:t>
                  </w:r>
                  <w:r w:rsidR="00C059B9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e</w:t>
                  </w:r>
                  <w:r w:rsidR="002C712C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to near</w:t>
                  </w:r>
                  <w:r w:rsidR="00411D84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 0.</w:t>
                  </w:r>
                </w:p>
                <w:p w14:paraId="01A1FB52" w14:textId="014C0387" w:rsidR="00C94EBF" w:rsidRPr="00F63DD7" w:rsidRDefault="00C94EBF" w:rsidP="00FE5DA7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Reengineered development processes </w:t>
                  </w:r>
                  <w:r w:rsidR="002C712C"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 xml:space="preserve">by </w:t>
                  </w: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separating sandboxes, stage, and production environments, introducing distributed version control, and adding code review and integration workflow steps.</w:t>
                  </w:r>
                </w:p>
                <w:p w14:paraId="3E3332C9" w14:textId="2647613C" w:rsidR="00C94EBF" w:rsidRDefault="00C94EBF" w:rsidP="00FE5DA7">
                  <w:pPr>
                    <w:pStyle w:val="Default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</w:pPr>
                  <w:r w:rsidRPr="00F63DD7">
                    <w:rPr>
                      <w:rFonts w:ascii="Calibri" w:eastAsia="Calibri" w:hAnsi="Calibri" w:cs="Calibri"/>
                      <w:color w:val="auto"/>
                      <w:sz w:val="21"/>
                      <w:szCs w:val="21"/>
                    </w:rPr>
                    <w:t>Created Help Desk operations using ITIL standards, service level agreements, and escalation models; implemented ticketing/reporting systems, including a knowledge base and self-help center, creating a near 85% drop in recurring issues.</w:t>
                  </w:r>
                </w:p>
                <w:p w14:paraId="4E28E30D" w14:textId="77777777" w:rsidR="00C94EBF" w:rsidRPr="00393FE9" w:rsidRDefault="00C94EBF" w:rsidP="00393FE9">
                  <w:pPr>
                    <w:spacing w:line="276" w:lineRule="auto"/>
                    <w:ind w:left="220"/>
                    <w:rPr>
                      <w:color w:val="auto"/>
                    </w:rPr>
                  </w:pPr>
                </w:p>
                <w:p w14:paraId="485A8A37" w14:textId="77777777" w:rsidR="00F65257" w:rsidRPr="00F63DD7" w:rsidRDefault="00F65257" w:rsidP="00F63DD7">
                  <w:pPr>
                    <w:pStyle w:val="ListParagraph"/>
                    <w:spacing w:line="276" w:lineRule="auto"/>
                    <w:ind w:left="420"/>
                    <w:rPr>
                      <w:color w:val="auto"/>
                    </w:rPr>
                  </w:pPr>
                </w:p>
              </w:tc>
            </w:tr>
            <w:tr w:rsidR="00F63DD7" w:rsidRPr="00F63DD7" w14:paraId="32123E30" w14:textId="77777777" w:rsidTr="005048D0">
              <w:tc>
                <w:tcPr>
                  <w:tcW w:w="311" w:type="dxa"/>
                </w:tcPr>
                <w:p w14:paraId="32294897" w14:textId="50214CAF" w:rsidR="00C94EBF" w:rsidRPr="00F63DD7" w:rsidRDefault="00C94EBF" w:rsidP="00FE5DA7">
                  <w:pPr>
                    <w:pStyle w:val="Iconcontainer"/>
                    <w:spacing w:line="276" w:lineRule="auto"/>
                  </w:pPr>
                  <w:r w:rsidRPr="00F63DD7">
                    <w:rPr>
                      <w:noProof/>
                    </w:rPr>
                    <w:lastRenderedPageBreak/>
                    <w:drawing>
                      <wp:inline distT="0" distB="0" distL="0" distR="0" wp14:anchorId="457889FB" wp14:editId="79109F4A">
                        <wp:extent cx="136017" cy="136017"/>
                        <wp:effectExtent l="0" t="0" r="0" b="0"/>
                        <wp:docPr id="3" name="Picture 3" descr="A black square with a cap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A black square with a cap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79" w:type="dxa"/>
                  <w:vAlign w:val="center"/>
                </w:tcPr>
                <w:p w14:paraId="74D28BD7" w14:textId="77777777" w:rsidR="00C94EBF" w:rsidRPr="00F63DD7" w:rsidRDefault="00C94EBF" w:rsidP="00FE5DA7">
                  <w:pPr>
                    <w:pStyle w:val="Heading1"/>
                    <w:spacing w:line="276" w:lineRule="auto"/>
                    <w:rPr>
                      <w:color w:val="auto"/>
                    </w:rPr>
                  </w:pPr>
                  <w:r w:rsidRPr="00F63DD7">
                    <w:rPr>
                      <w:color w:val="auto"/>
                    </w:rPr>
                    <w:t>Education</w:t>
                  </w:r>
                </w:p>
                <w:p w14:paraId="4C4B9FC8" w14:textId="77777777" w:rsidR="00C94EBF" w:rsidRPr="00F63DD7" w:rsidRDefault="00C94EBF" w:rsidP="00FE5DA7">
                  <w:pPr>
                    <w:spacing w:line="276" w:lineRule="auto"/>
                    <w:rPr>
                      <w:color w:val="auto"/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935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25"/>
                    <w:gridCol w:w="8225"/>
                  </w:tblGrid>
                  <w:tr w:rsidR="00F63DD7" w:rsidRPr="00F63DD7" w14:paraId="79F773E2" w14:textId="77777777" w:rsidTr="00F65257">
                    <w:tc>
                      <w:tcPr>
                        <w:tcW w:w="1125" w:type="dxa"/>
                      </w:tcPr>
                      <w:p w14:paraId="0C3D8C0F" w14:textId="77777777" w:rsidR="00C94EBF" w:rsidRPr="00F63DD7" w:rsidRDefault="00C94EBF" w:rsidP="00FE5DA7">
                        <w:pPr>
                          <w:pStyle w:val="Default"/>
                          <w:spacing w:line="276" w:lineRule="auto"/>
                          <w:rPr>
                            <w:color w:val="auto"/>
                            <w:sz w:val="23"/>
                            <w:szCs w:val="23"/>
                          </w:rPr>
                        </w:pPr>
                        <w:r w:rsidRPr="00F63DD7">
                          <w:rPr>
                            <w:noProof/>
                            <w:color w:val="auto"/>
                          </w:rPr>
                          <w:drawing>
                            <wp:inline distT="0" distB="0" distL="0" distR="0" wp14:anchorId="3857350D" wp14:editId="30DC62BA">
                              <wp:extent cx="561975" cy="432745"/>
                              <wp:effectExtent l="0" t="0" r="0" b="5715"/>
                              <wp:docPr id="1608638239" name="Picture 1608638239" descr="Henriksen Butler | Testimonial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enriksen Butler | Testimonial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5572" cy="4355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25" w:type="dxa"/>
                        <w:vAlign w:val="center"/>
                      </w:tcPr>
                      <w:p w14:paraId="3032CB1B" w14:textId="77777777" w:rsidR="00C94EBF" w:rsidRPr="00F63DD7" w:rsidRDefault="00C94EBF" w:rsidP="00FE5DA7">
                        <w:pPr>
                          <w:pStyle w:val="Default"/>
                          <w:spacing w:line="276" w:lineRule="auto"/>
                          <w:rPr>
                            <w:rFonts w:ascii="Calibri" w:eastAsia="Calibri" w:hAnsi="Calibri" w:cs="Calibri"/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  <w:r w:rsidRPr="00F63DD7">
                          <w:rPr>
                            <w:rFonts w:ascii="Calibri" w:eastAsia="Calibri" w:hAnsi="Calibri" w:cs="Calibri"/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  <w:t>Utah State University</w:t>
                        </w:r>
                      </w:p>
                      <w:p w14:paraId="27A6925E" w14:textId="77777777" w:rsidR="00C94EBF" w:rsidRPr="00F63DD7" w:rsidRDefault="00C94EBF" w:rsidP="00FE5DA7">
                        <w:pPr>
                          <w:pStyle w:val="Default"/>
                          <w:spacing w:line="276" w:lineRule="auto"/>
                          <w:rPr>
                            <w:rFonts w:ascii="Calibri" w:eastAsia="Calibri" w:hAnsi="Calibri" w:cs="Calibri"/>
                            <w:color w:val="auto"/>
                            <w:sz w:val="21"/>
                            <w:szCs w:val="21"/>
                          </w:rPr>
                        </w:pPr>
                        <w:r w:rsidRPr="00F63DD7">
                          <w:rPr>
                            <w:rFonts w:ascii="Calibri" w:eastAsia="Calibri" w:hAnsi="Calibri" w:cs="Calibri"/>
                            <w:color w:val="auto"/>
                            <w:sz w:val="21"/>
                            <w:szCs w:val="21"/>
                          </w:rPr>
                          <w:t>Bachelor of Science: Mechanical Engineering</w:t>
                        </w:r>
                      </w:p>
                      <w:p w14:paraId="3C49E588" w14:textId="77777777" w:rsidR="00C94EBF" w:rsidRPr="00F63DD7" w:rsidRDefault="00C94EBF" w:rsidP="00FE5DA7">
                        <w:pPr>
                          <w:pStyle w:val="Default"/>
                          <w:spacing w:line="276" w:lineRule="auto"/>
                          <w:rPr>
                            <w:color w:val="auto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14:paraId="2525B15F" w14:textId="77777777" w:rsidR="00C94EBF" w:rsidRPr="00F63DD7" w:rsidRDefault="00C94EBF" w:rsidP="00FE5DA7">
                  <w:pPr>
                    <w:pStyle w:val="Date"/>
                    <w:spacing w:line="276" w:lineRule="auto"/>
                    <w:rPr>
                      <w:color w:val="auto"/>
                    </w:rPr>
                  </w:pPr>
                </w:p>
              </w:tc>
            </w:tr>
            <w:tr w:rsidR="00196F9A" w:rsidRPr="00F63DD7" w14:paraId="2FABF996" w14:textId="77777777" w:rsidTr="00EE2705">
              <w:trPr>
                <w:trHeight w:val="4054"/>
              </w:trPr>
              <w:tc>
                <w:tcPr>
                  <w:tcW w:w="311" w:type="dxa"/>
                </w:tcPr>
                <w:p w14:paraId="6413E4B1" w14:textId="550DADCF" w:rsidR="00196F9A" w:rsidRPr="00F63DD7" w:rsidRDefault="00196F9A" w:rsidP="00196F9A">
                  <w:pPr>
                    <w:pStyle w:val="Iconcontainer"/>
                    <w:spacing w:line="276" w:lineRule="auto"/>
                    <w:rPr>
                      <w:noProof/>
                    </w:rPr>
                  </w:pPr>
                  <w:r w:rsidRPr="00F63DD7"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359C9C24" wp14:editId="67546645">
                        <wp:simplePos x="0" y="0"/>
                        <wp:positionH relativeFrom="margin">
                          <wp:posOffset>1270</wp:posOffset>
                        </wp:positionH>
                        <wp:positionV relativeFrom="page">
                          <wp:posOffset>154305</wp:posOffset>
                        </wp:positionV>
                        <wp:extent cx="146050" cy="146050"/>
                        <wp:effectExtent l="0" t="0" r="6350" b="635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46050" cy="146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779" w:type="dxa"/>
                  <w:vAlign w:val="center"/>
                </w:tcPr>
                <w:p w14:paraId="7152652E" w14:textId="77777777" w:rsidR="00196F9A" w:rsidRPr="00EE2705" w:rsidRDefault="00196F9A" w:rsidP="00196F9A">
                  <w:pPr>
                    <w:pStyle w:val="Heading1"/>
                    <w:spacing w:line="276" w:lineRule="auto"/>
                    <w:rPr>
                      <w:color w:val="auto"/>
                    </w:rPr>
                  </w:pPr>
                  <w:r w:rsidRPr="00EE2705">
                    <w:rPr>
                      <w:color w:val="auto"/>
                    </w:rPr>
                    <w:t xml:space="preserve">Skills </w:t>
                  </w:r>
                </w:p>
                <w:p w14:paraId="0100965E" w14:textId="39B98D29" w:rsidR="00196F9A" w:rsidRPr="00EE2705" w:rsidRDefault="00196F9A" w:rsidP="00196F9A">
                  <w:pPr>
                    <w:pStyle w:val="Heading1"/>
                    <w:spacing w:before="80" w:after="80" w:line="276" w:lineRule="auto"/>
                    <w:rPr>
                      <w:b w:val="0"/>
                      <w:bCs w:val="0"/>
                      <w:color w:val="auto"/>
                      <w:sz w:val="21"/>
                      <w:szCs w:val="21"/>
                    </w:rPr>
                  </w:pPr>
                  <w:r w:rsidRPr="00EE2705">
                    <w:rPr>
                      <w:color w:val="auto"/>
                      <w:sz w:val="22"/>
                      <w:szCs w:val="22"/>
                    </w:rPr>
                    <w:t>Proficient In:</w:t>
                  </w:r>
                  <w:r w:rsidRPr="00EE2705">
                    <w:rPr>
                      <w:color w:val="auto"/>
                    </w:rPr>
                    <w:t xml:space="preserve">  </w:t>
                  </w:r>
                  <w:r w:rsidRPr="00EE2705">
                    <w:rPr>
                      <w:b w:val="0"/>
                      <w:bCs w:val="0"/>
                      <w:color w:val="auto"/>
                      <w:sz w:val="21"/>
                      <w:szCs w:val="21"/>
                    </w:rPr>
                    <w:t>Data Analytics, Data Visualization and Dashboards, Self-Service Business Intelligence, Data Management</w:t>
                  </w:r>
                  <w:r w:rsidR="00082792" w:rsidRPr="00EE2705">
                    <w:rPr>
                      <w:b w:val="0"/>
                      <w:bCs w:val="0"/>
                      <w:color w:val="auto"/>
                      <w:sz w:val="21"/>
                      <w:szCs w:val="21"/>
                    </w:rPr>
                    <w:t xml:space="preserve"> and </w:t>
                  </w:r>
                  <w:r w:rsidRPr="00EE2705">
                    <w:rPr>
                      <w:b w:val="0"/>
                      <w:bCs w:val="0"/>
                      <w:color w:val="auto"/>
                      <w:sz w:val="21"/>
                      <w:szCs w:val="21"/>
                    </w:rPr>
                    <w:t xml:space="preserve">Strategies, Data Warehousing, </w:t>
                  </w:r>
                  <w:r w:rsidR="00E75404" w:rsidRPr="00EE2705">
                    <w:rPr>
                      <w:b w:val="0"/>
                      <w:bCs w:val="0"/>
                      <w:color w:val="auto"/>
                      <w:sz w:val="21"/>
                      <w:szCs w:val="21"/>
                    </w:rPr>
                    <w:t>Customer Success</w:t>
                  </w:r>
                  <w:r w:rsidRPr="00EE2705">
                    <w:rPr>
                      <w:b w:val="0"/>
                      <w:bCs w:val="0"/>
                      <w:color w:val="auto"/>
                      <w:sz w:val="21"/>
                      <w:szCs w:val="21"/>
                    </w:rPr>
                    <w:t xml:space="preserve">, IT and Data Governance, Strategic Technology Planning, Executive Collaboration, Technology Development, Data Engineering, </w:t>
                  </w:r>
                  <w:r w:rsidR="007D6E14" w:rsidRPr="00EE2705">
                    <w:rPr>
                      <w:b w:val="0"/>
                      <w:bCs w:val="0"/>
                      <w:color w:val="auto"/>
                      <w:sz w:val="21"/>
                      <w:szCs w:val="21"/>
                    </w:rPr>
                    <w:t>Customer Satisfaction</w:t>
                  </w:r>
                  <w:r w:rsidRPr="00EE2705">
                    <w:rPr>
                      <w:b w:val="0"/>
                      <w:bCs w:val="0"/>
                      <w:color w:val="auto"/>
                      <w:sz w:val="21"/>
                      <w:szCs w:val="21"/>
                    </w:rPr>
                    <w:t>, KPIs</w:t>
                  </w:r>
                  <w:r w:rsidR="004765C8" w:rsidRPr="00EE2705">
                    <w:rPr>
                      <w:b w:val="0"/>
                      <w:bCs w:val="0"/>
                      <w:color w:val="auto"/>
                      <w:sz w:val="21"/>
                      <w:szCs w:val="21"/>
                    </w:rPr>
                    <w:t xml:space="preserve"> and</w:t>
                  </w:r>
                  <w:r w:rsidRPr="00EE2705">
                    <w:rPr>
                      <w:b w:val="0"/>
                      <w:bCs w:val="0"/>
                      <w:color w:val="auto"/>
                      <w:sz w:val="21"/>
                      <w:szCs w:val="21"/>
                    </w:rPr>
                    <w:t xml:space="preserve"> Performance Metrics, Project Leadership, Process Automation, Business Analytics, Team Building, Business Process Analysis, Problem Solving, SQL, T SQL, Microsoft SQL Server, ELT, ETL, Microsoft Office Suite</w:t>
                  </w:r>
                </w:p>
                <w:p w14:paraId="0F886166" w14:textId="73925BB1" w:rsidR="0005282A" w:rsidRPr="00EE2705" w:rsidRDefault="00196F9A" w:rsidP="0005282A">
                  <w:pPr>
                    <w:pStyle w:val="Heading1"/>
                    <w:spacing w:before="80" w:after="80" w:line="276" w:lineRule="auto"/>
                    <w:rPr>
                      <w:b w:val="0"/>
                      <w:bCs w:val="0"/>
                      <w:color w:val="auto"/>
                      <w:sz w:val="21"/>
                      <w:szCs w:val="21"/>
                    </w:rPr>
                  </w:pPr>
                  <w:r w:rsidRPr="00EE2705">
                    <w:rPr>
                      <w:color w:val="auto"/>
                      <w:sz w:val="22"/>
                      <w:szCs w:val="22"/>
                    </w:rPr>
                    <w:t>Experienced with:</w:t>
                  </w:r>
                  <w:r w:rsidRPr="00EE2705">
                    <w:rPr>
                      <w:color w:val="auto"/>
                      <w:sz w:val="24"/>
                      <w:szCs w:val="24"/>
                    </w:rPr>
                    <w:t xml:space="preserve">  </w:t>
                  </w:r>
                  <w:r w:rsidRPr="00EE2705">
                    <w:rPr>
                      <w:b w:val="0"/>
                      <w:bCs w:val="0"/>
                      <w:color w:val="auto"/>
                      <w:sz w:val="21"/>
                      <w:szCs w:val="21"/>
                    </w:rPr>
                    <w:t>Data Infrastructure, Data Quality, Project Management,</w:t>
                  </w:r>
                  <w:r w:rsidR="00C2670B" w:rsidRPr="00EE2705">
                    <w:rPr>
                      <w:b w:val="0"/>
                      <w:bCs w:val="0"/>
                      <w:color w:val="auto"/>
                      <w:sz w:val="21"/>
                      <w:szCs w:val="21"/>
                    </w:rPr>
                    <w:t xml:space="preserve"> Management Consulting,</w:t>
                  </w:r>
                  <w:r w:rsidRPr="00EE2705">
                    <w:rPr>
                      <w:b w:val="0"/>
                      <w:bCs w:val="0"/>
                      <w:color w:val="auto"/>
                      <w:sz w:val="21"/>
                      <w:szCs w:val="21"/>
                    </w:rPr>
                    <w:t xml:space="preserve"> Application Development, Data Ingestion, Computer Science, SAAS, Agile, Continuous Improvement, Git, GitHub, Scrum, Distributed Teams, Statistics, Cloud Platform, Tableau, Postgre</w:t>
                  </w:r>
                  <w:r w:rsidR="00C92247" w:rsidRPr="00EE2705">
                    <w:rPr>
                      <w:b w:val="0"/>
                      <w:bCs w:val="0"/>
                      <w:color w:val="auto"/>
                      <w:sz w:val="21"/>
                      <w:szCs w:val="21"/>
                    </w:rPr>
                    <w:t>SQL</w:t>
                  </w:r>
                  <w:r w:rsidRPr="00EE2705">
                    <w:rPr>
                      <w:b w:val="0"/>
                      <w:bCs w:val="0"/>
                      <w:color w:val="auto"/>
                      <w:sz w:val="21"/>
                      <w:szCs w:val="21"/>
                    </w:rPr>
                    <w:t xml:space="preserve">, Oracle, PL/SQL  </w:t>
                  </w:r>
                </w:p>
                <w:p w14:paraId="6A3934D0" w14:textId="4E9406D1" w:rsidR="00196F9A" w:rsidRPr="00EE2705" w:rsidRDefault="0005282A" w:rsidP="00EE2705">
                  <w:pPr>
                    <w:rPr>
                      <w:color w:val="auto"/>
                    </w:rPr>
                  </w:pPr>
                  <w:r w:rsidRPr="00EE2705">
                    <w:rPr>
                      <w:b/>
                      <w:bCs/>
                      <w:color w:val="auto"/>
                      <w:sz w:val="22"/>
                      <w:szCs w:val="22"/>
                    </w:rPr>
                    <w:t>Learn</w:t>
                  </w:r>
                  <w:r w:rsidR="007A70CD" w:rsidRPr="00EE2705">
                    <w:rPr>
                      <w:b/>
                      <w:bCs/>
                      <w:color w:val="auto"/>
                      <w:sz w:val="22"/>
                      <w:szCs w:val="22"/>
                    </w:rPr>
                    <w:t>ing</w:t>
                  </w:r>
                  <w:r w:rsidRPr="00EE2705">
                    <w:rPr>
                      <w:b/>
                      <w:bCs/>
                      <w:color w:val="auto"/>
                      <w:sz w:val="22"/>
                      <w:szCs w:val="22"/>
                    </w:rPr>
                    <w:t xml:space="preserve">: </w:t>
                  </w:r>
                  <w:r w:rsidRPr="00EE2705">
                    <w:rPr>
                      <w:color w:val="auto"/>
                    </w:rPr>
                    <w:t>Python, R, AWS, GCP, Databricks, Snowflake</w:t>
                  </w:r>
                </w:p>
              </w:tc>
            </w:tr>
            <w:tr w:rsidR="00EE2705" w:rsidRPr="00F63DD7" w14:paraId="0F29EE7D" w14:textId="77777777" w:rsidTr="00B3449E">
              <w:trPr>
                <w:trHeight w:val="1390"/>
              </w:trPr>
              <w:tc>
                <w:tcPr>
                  <w:tcW w:w="311" w:type="dxa"/>
                </w:tcPr>
                <w:p w14:paraId="7392CA27" w14:textId="77777777" w:rsidR="00EE2705" w:rsidRPr="00F63DD7" w:rsidRDefault="00EE2705" w:rsidP="00196F9A">
                  <w:pPr>
                    <w:pStyle w:val="Iconcontainer"/>
                    <w:spacing w:line="276" w:lineRule="auto"/>
                    <w:rPr>
                      <w:noProof/>
                    </w:rPr>
                  </w:pPr>
                </w:p>
              </w:tc>
              <w:tc>
                <w:tcPr>
                  <w:tcW w:w="8779" w:type="dxa"/>
                  <w:vAlign w:val="center"/>
                </w:tcPr>
                <w:p w14:paraId="61623220" w14:textId="25D18E82" w:rsidR="00EE2705" w:rsidRPr="00EE2705" w:rsidRDefault="00EE2705" w:rsidP="001C1EA6">
                  <w:pPr>
                    <w:pStyle w:val="Heading1"/>
                    <w:spacing w:line="276" w:lineRule="auto"/>
                    <w:rPr>
                      <w:color w:val="auto"/>
                    </w:rPr>
                  </w:pPr>
                </w:p>
              </w:tc>
            </w:tr>
            <w:tr w:rsidR="00EE2705" w:rsidRPr="00F63DD7" w14:paraId="561D11D0" w14:textId="77777777" w:rsidTr="005048D0">
              <w:tc>
                <w:tcPr>
                  <w:tcW w:w="311" w:type="dxa"/>
                </w:tcPr>
                <w:p w14:paraId="00E88584" w14:textId="47A377AF" w:rsidR="00EE2705" w:rsidRPr="00F63DD7" w:rsidRDefault="00EE2705" w:rsidP="00196F9A">
                  <w:pPr>
                    <w:pStyle w:val="Iconcontainer"/>
                    <w:spacing w:line="276" w:lineRule="auto"/>
                  </w:pPr>
                </w:p>
              </w:tc>
              <w:tc>
                <w:tcPr>
                  <w:tcW w:w="8779" w:type="dxa"/>
                  <w:vAlign w:val="center"/>
                </w:tcPr>
                <w:p w14:paraId="17EF65B2" w14:textId="77777777" w:rsidR="00EE2705" w:rsidRPr="00F63DD7" w:rsidRDefault="00EE2705" w:rsidP="00196F9A">
                  <w:pPr>
                    <w:pStyle w:val="Heading2"/>
                    <w:spacing w:line="276" w:lineRule="auto"/>
                    <w:rPr>
                      <w:color w:val="auto"/>
                    </w:rPr>
                  </w:pPr>
                </w:p>
              </w:tc>
            </w:tr>
          </w:tbl>
          <w:p w14:paraId="34414296" w14:textId="77777777" w:rsidR="00C94EBF" w:rsidRPr="00F63DD7" w:rsidRDefault="00C94EBF" w:rsidP="00FE5DA7">
            <w:pPr>
              <w:spacing w:line="276" w:lineRule="auto"/>
              <w:rPr>
                <w:color w:val="auto"/>
              </w:rPr>
            </w:pPr>
          </w:p>
        </w:tc>
        <w:tc>
          <w:tcPr>
            <w:tcW w:w="135" w:type="dxa"/>
          </w:tcPr>
          <w:p w14:paraId="46A44F28" w14:textId="77777777" w:rsidR="00C94EBF" w:rsidRPr="00F63DD7" w:rsidRDefault="00C94EBF" w:rsidP="00FE5DA7">
            <w:pPr>
              <w:pStyle w:val="JobTitle"/>
              <w:spacing w:line="276" w:lineRule="auto"/>
              <w:rPr>
                <w:color w:val="auto"/>
              </w:rPr>
            </w:pPr>
          </w:p>
          <w:p w14:paraId="287D8321" w14:textId="77777777" w:rsidR="00C94EBF" w:rsidRPr="00F63DD7" w:rsidRDefault="00C94EBF" w:rsidP="00FE5DA7">
            <w:pPr>
              <w:pStyle w:val="Skillsectionspacing"/>
              <w:spacing w:line="276" w:lineRule="auto"/>
              <w:rPr>
                <w:color w:val="auto"/>
              </w:rPr>
            </w:pPr>
          </w:p>
          <w:p w14:paraId="721C5B68" w14:textId="77777777" w:rsidR="00C94EBF" w:rsidRPr="00F63DD7" w:rsidRDefault="00C94EBF" w:rsidP="00FE5DA7">
            <w:pPr>
              <w:pStyle w:val="Heading3"/>
              <w:spacing w:line="276" w:lineRule="auto"/>
              <w:rPr>
                <w:color w:val="auto"/>
              </w:rPr>
            </w:pPr>
          </w:p>
        </w:tc>
      </w:tr>
    </w:tbl>
    <w:p w14:paraId="51CF9A8E" w14:textId="6A518950" w:rsidR="002925EE" w:rsidRDefault="002925EE" w:rsidP="00FE5DA7">
      <w:pPr>
        <w:spacing w:line="276" w:lineRule="auto"/>
      </w:pPr>
    </w:p>
    <w:sectPr w:rsidR="002925EE" w:rsidSect="00AE1546">
      <w:headerReference w:type="default" r:id="rId15"/>
      <w:footerReference w:type="default" r:id="rId16"/>
      <w:pgSz w:w="11906" w:h="16838"/>
      <w:pgMar w:top="1080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3AF6" w14:textId="77777777" w:rsidR="00AE1546" w:rsidRDefault="00AE1546">
      <w:pPr>
        <w:spacing w:before="0" w:after="0" w:line="240" w:lineRule="auto"/>
      </w:pPr>
      <w:r>
        <w:separator/>
      </w:r>
    </w:p>
  </w:endnote>
  <w:endnote w:type="continuationSeparator" w:id="0">
    <w:p w14:paraId="649DDEAF" w14:textId="77777777" w:rsidR="00AE1546" w:rsidRDefault="00AE15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40"/>
      <w:gridCol w:w="3440"/>
      <w:gridCol w:w="3440"/>
    </w:tblGrid>
    <w:tr w:rsidR="56CF3E5F" w14:paraId="19D64110" w14:textId="77777777" w:rsidTr="56CF3E5F">
      <w:trPr>
        <w:trHeight w:val="300"/>
      </w:trPr>
      <w:tc>
        <w:tcPr>
          <w:tcW w:w="3440" w:type="dxa"/>
        </w:tcPr>
        <w:p w14:paraId="683E1B98" w14:textId="5E7CB85F" w:rsidR="56CF3E5F" w:rsidRDefault="56CF3E5F" w:rsidP="56CF3E5F">
          <w:pPr>
            <w:pStyle w:val="Header"/>
            <w:ind w:left="-115"/>
          </w:pPr>
        </w:p>
      </w:tc>
      <w:tc>
        <w:tcPr>
          <w:tcW w:w="3440" w:type="dxa"/>
        </w:tcPr>
        <w:p w14:paraId="73476425" w14:textId="765A5E75" w:rsidR="56CF3E5F" w:rsidRDefault="56CF3E5F" w:rsidP="56CF3E5F">
          <w:pPr>
            <w:pStyle w:val="Header"/>
            <w:jc w:val="center"/>
          </w:pPr>
        </w:p>
      </w:tc>
      <w:tc>
        <w:tcPr>
          <w:tcW w:w="3440" w:type="dxa"/>
        </w:tcPr>
        <w:p w14:paraId="375FA3F1" w14:textId="47618593" w:rsidR="56CF3E5F" w:rsidRDefault="56CF3E5F" w:rsidP="56CF3E5F">
          <w:pPr>
            <w:pStyle w:val="Header"/>
            <w:ind w:right="-115"/>
            <w:jc w:val="right"/>
          </w:pPr>
        </w:p>
      </w:tc>
    </w:tr>
  </w:tbl>
  <w:p w14:paraId="545BD556" w14:textId="741CFC30" w:rsidR="56CF3E5F" w:rsidRDefault="56CF3E5F" w:rsidP="56CF3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D6D4A" w14:textId="77777777" w:rsidR="00AE1546" w:rsidRDefault="00AE1546">
      <w:pPr>
        <w:spacing w:before="0" w:after="0" w:line="240" w:lineRule="auto"/>
      </w:pPr>
      <w:r>
        <w:separator/>
      </w:r>
    </w:p>
  </w:footnote>
  <w:footnote w:type="continuationSeparator" w:id="0">
    <w:p w14:paraId="0B5CF5B4" w14:textId="77777777" w:rsidR="00AE1546" w:rsidRDefault="00AE15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2C01" w14:textId="77777777" w:rsidR="00C94EBF" w:rsidRDefault="00C94EBF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14D4A"/>
    <w:multiLevelType w:val="hybridMultilevel"/>
    <w:tmpl w:val="A7BAFF02"/>
    <w:lvl w:ilvl="0" w:tplc="844E45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196CA8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19CD0AC">
      <w:numFmt w:val="decimal"/>
      <w:lvlText w:val=""/>
      <w:lvlJc w:val="left"/>
    </w:lvl>
    <w:lvl w:ilvl="3" w:tplc="CC823BA6">
      <w:numFmt w:val="decimal"/>
      <w:lvlText w:val=""/>
      <w:lvlJc w:val="left"/>
    </w:lvl>
    <w:lvl w:ilvl="4" w:tplc="9B744438">
      <w:numFmt w:val="decimal"/>
      <w:lvlText w:val=""/>
      <w:lvlJc w:val="left"/>
    </w:lvl>
    <w:lvl w:ilvl="5" w:tplc="88F0D6A0">
      <w:numFmt w:val="decimal"/>
      <w:lvlText w:val=""/>
      <w:lvlJc w:val="left"/>
    </w:lvl>
    <w:lvl w:ilvl="6" w:tplc="57060E16">
      <w:numFmt w:val="decimal"/>
      <w:lvlText w:val=""/>
      <w:lvlJc w:val="left"/>
    </w:lvl>
    <w:lvl w:ilvl="7" w:tplc="CAAA5A10">
      <w:numFmt w:val="decimal"/>
      <w:lvlText w:val=""/>
      <w:lvlJc w:val="left"/>
    </w:lvl>
    <w:lvl w:ilvl="8" w:tplc="AD7C1C26">
      <w:numFmt w:val="decimal"/>
      <w:lvlText w:val=""/>
      <w:lvlJc w:val="left"/>
    </w:lvl>
  </w:abstractNum>
  <w:num w:numId="1" w16cid:durableId="118393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BF"/>
    <w:rsid w:val="000017E1"/>
    <w:rsid w:val="000034D7"/>
    <w:rsid w:val="00005820"/>
    <w:rsid w:val="000122D3"/>
    <w:rsid w:val="00015882"/>
    <w:rsid w:val="00020A39"/>
    <w:rsid w:val="0002154E"/>
    <w:rsid w:val="00044C94"/>
    <w:rsid w:val="0005282A"/>
    <w:rsid w:val="00064940"/>
    <w:rsid w:val="00065A60"/>
    <w:rsid w:val="000764C2"/>
    <w:rsid w:val="00082792"/>
    <w:rsid w:val="00093AD4"/>
    <w:rsid w:val="000B3997"/>
    <w:rsid w:val="000B63ED"/>
    <w:rsid w:val="000C077D"/>
    <w:rsid w:val="000D178D"/>
    <w:rsid w:val="000E5A4B"/>
    <w:rsid w:val="000F59F3"/>
    <w:rsid w:val="001021A2"/>
    <w:rsid w:val="001027B2"/>
    <w:rsid w:val="00112BF3"/>
    <w:rsid w:val="001246E7"/>
    <w:rsid w:val="001248EE"/>
    <w:rsid w:val="001356D5"/>
    <w:rsid w:val="00150B0A"/>
    <w:rsid w:val="0017784E"/>
    <w:rsid w:val="00181468"/>
    <w:rsid w:val="00195163"/>
    <w:rsid w:val="00196F9A"/>
    <w:rsid w:val="00197FCC"/>
    <w:rsid w:val="001B6250"/>
    <w:rsid w:val="001C1118"/>
    <w:rsid w:val="001C1EA6"/>
    <w:rsid w:val="001C22D6"/>
    <w:rsid w:val="001D4338"/>
    <w:rsid w:val="0021343E"/>
    <w:rsid w:val="00221481"/>
    <w:rsid w:val="00232E66"/>
    <w:rsid w:val="00234717"/>
    <w:rsid w:val="00243DEF"/>
    <w:rsid w:val="00245B06"/>
    <w:rsid w:val="002579F2"/>
    <w:rsid w:val="00281AF7"/>
    <w:rsid w:val="002925EE"/>
    <w:rsid w:val="002A3E76"/>
    <w:rsid w:val="002B5CEF"/>
    <w:rsid w:val="002C712C"/>
    <w:rsid w:val="002F70CA"/>
    <w:rsid w:val="0030567C"/>
    <w:rsid w:val="00321218"/>
    <w:rsid w:val="00331C19"/>
    <w:rsid w:val="00331D56"/>
    <w:rsid w:val="003655A8"/>
    <w:rsid w:val="0037060A"/>
    <w:rsid w:val="003726C2"/>
    <w:rsid w:val="00372D5B"/>
    <w:rsid w:val="00373BFC"/>
    <w:rsid w:val="00386113"/>
    <w:rsid w:val="00393FE9"/>
    <w:rsid w:val="003A44EF"/>
    <w:rsid w:val="003C1CDD"/>
    <w:rsid w:val="00411D84"/>
    <w:rsid w:val="00430934"/>
    <w:rsid w:val="00474A13"/>
    <w:rsid w:val="004765C8"/>
    <w:rsid w:val="00477641"/>
    <w:rsid w:val="0049146F"/>
    <w:rsid w:val="004B720B"/>
    <w:rsid w:val="004C2F4C"/>
    <w:rsid w:val="004D42B3"/>
    <w:rsid w:val="004F502E"/>
    <w:rsid w:val="005101FD"/>
    <w:rsid w:val="0051215D"/>
    <w:rsid w:val="00514BB5"/>
    <w:rsid w:val="00520792"/>
    <w:rsid w:val="00524436"/>
    <w:rsid w:val="00532BD3"/>
    <w:rsid w:val="005A35D9"/>
    <w:rsid w:val="005A513E"/>
    <w:rsid w:val="005B1DCD"/>
    <w:rsid w:val="006061CD"/>
    <w:rsid w:val="006224E0"/>
    <w:rsid w:val="006244D7"/>
    <w:rsid w:val="00627A11"/>
    <w:rsid w:val="00665552"/>
    <w:rsid w:val="0068630D"/>
    <w:rsid w:val="00687951"/>
    <w:rsid w:val="00694FA0"/>
    <w:rsid w:val="006B3F58"/>
    <w:rsid w:val="006B5641"/>
    <w:rsid w:val="006C7270"/>
    <w:rsid w:val="006E4892"/>
    <w:rsid w:val="006F6ED6"/>
    <w:rsid w:val="007124CA"/>
    <w:rsid w:val="00716AA7"/>
    <w:rsid w:val="00741AB9"/>
    <w:rsid w:val="0074298B"/>
    <w:rsid w:val="00746075"/>
    <w:rsid w:val="00746822"/>
    <w:rsid w:val="007573A1"/>
    <w:rsid w:val="0076293E"/>
    <w:rsid w:val="007703F4"/>
    <w:rsid w:val="007725E1"/>
    <w:rsid w:val="00780A29"/>
    <w:rsid w:val="007A70CD"/>
    <w:rsid w:val="007B15C5"/>
    <w:rsid w:val="007D6E14"/>
    <w:rsid w:val="007E3C53"/>
    <w:rsid w:val="008030D6"/>
    <w:rsid w:val="00803442"/>
    <w:rsid w:val="00806B16"/>
    <w:rsid w:val="00811A88"/>
    <w:rsid w:val="008144CB"/>
    <w:rsid w:val="00856872"/>
    <w:rsid w:val="00895185"/>
    <w:rsid w:val="008A0752"/>
    <w:rsid w:val="008A0815"/>
    <w:rsid w:val="008A51C7"/>
    <w:rsid w:val="008B143E"/>
    <w:rsid w:val="008C43D0"/>
    <w:rsid w:val="008D43F7"/>
    <w:rsid w:val="008E5C32"/>
    <w:rsid w:val="008E7D0E"/>
    <w:rsid w:val="008F1241"/>
    <w:rsid w:val="008F23D7"/>
    <w:rsid w:val="009062B7"/>
    <w:rsid w:val="00910455"/>
    <w:rsid w:val="00914AE6"/>
    <w:rsid w:val="00926FA4"/>
    <w:rsid w:val="009325A1"/>
    <w:rsid w:val="00942254"/>
    <w:rsid w:val="00942D21"/>
    <w:rsid w:val="0094332A"/>
    <w:rsid w:val="00950905"/>
    <w:rsid w:val="0098368B"/>
    <w:rsid w:val="0099273E"/>
    <w:rsid w:val="009A7275"/>
    <w:rsid w:val="009B1AF2"/>
    <w:rsid w:val="009C0C4A"/>
    <w:rsid w:val="009C3B75"/>
    <w:rsid w:val="009D30FB"/>
    <w:rsid w:val="009E02CA"/>
    <w:rsid w:val="009E0477"/>
    <w:rsid w:val="00A07B91"/>
    <w:rsid w:val="00A331B0"/>
    <w:rsid w:val="00A33EEA"/>
    <w:rsid w:val="00A467C0"/>
    <w:rsid w:val="00A50369"/>
    <w:rsid w:val="00A523FA"/>
    <w:rsid w:val="00A6412B"/>
    <w:rsid w:val="00A703F9"/>
    <w:rsid w:val="00A745B3"/>
    <w:rsid w:val="00A754B7"/>
    <w:rsid w:val="00A97974"/>
    <w:rsid w:val="00AB1A71"/>
    <w:rsid w:val="00AB282C"/>
    <w:rsid w:val="00AB3794"/>
    <w:rsid w:val="00AC0EE3"/>
    <w:rsid w:val="00AC2A61"/>
    <w:rsid w:val="00AC4B4A"/>
    <w:rsid w:val="00AC7D8D"/>
    <w:rsid w:val="00AE1546"/>
    <w:rsid w:val="00AF5A8F"/>
    <w:rsid w:val="00AF7F88"/>
    <w:rsid w:val="00B1512A"/>
    <w:rsid w:val="00B17A8D"/>
    <w:rsid w:val="00B17BCF"/>
    <w:rsid w:val="00B30384"/>
    <w:rsid w:val="00B3449E"/>
    <w:rsid w:val="00B36633"/>
    <w:rsid w:val="00B47BC0"/>
    <w:rsid w:val="00B6538E"/>
    <w:rsid w:val="00B67C5F"/>
    <w:rsid w:val="00B75EF4"/>
    <w:rsid w:val="00B829A3"/>
    <w:rsid w:val="00B90EA3"/>
    <w:rsid w:val="00BA1234"/>
    <w:rsid w:val="00BA50C0"/>
    <w:rsid w:val="00BA5C39"/>
    <w:rsid w:val="00BE073B"/>
    <w:rsid w:val="00BF1189"/>
    <w:rsid w:val="00BF5209"/>
    <w:rsid w:val="00BF57E9"/>
    <w:rsid w:val="00C059B9"/>
    <w:rsid w:val="00C14AD0"/>
    <w:rsid w:val="00C14BAB"/>
    <w:rsid w:val="00C2670B"/>
    <w:rsid w:val="00C3307A"/>
    <w:rsid w:val="00C3519A"/>
    <w:rsid w:val="00C55C06"/>
    <w:rsid w:val="00C61AB8"/>
    <w:rsid w:val="00C76D12"/>
    <w:rsid w:val="00C80B3D"/>
    <w:rsid w:val="00C82245"/>
    <w:rsid w:val="00C865D1"/>
    <w:rsid w:val="00C92247"/>
    <w:rsid w:val="00C94EBF"/>
    <w:rsid w:val="00CA57D6"/>
    <w:rsid w:val="00CB7EE4"/>
    <w:rsid w:val="00CC7CDD"/>
    <w:rsid w:val="00CE354A"/>
    <w:rsid w:val="00CF46BD"/>
    <w:rsid w:val="00D1171A"/>
    <w:rsid w:val="00D409D5"/>
    <w:rsid w:val="00D50F38"/>
    <w:rsid w:val="00D568E7"/>
    <w:rsid w:val="00D66D9C"/>
    <w:rsid w:val="00D719B7"/>
    <w:rsid w:val="00D74579"/>
    <w:rsid w:val="00D80DF9"/>
    <w:rsid w:val="00D8584A"/>
    <w:rsid w:val="00D870A9"/>
    <w:rsid w:val="00D97B56"/>
    <w:rsid w:val="00DA19C9"/>
    <w:rsid w:val="00DB067C"/>
    <w:rsid w:val="00DB4BEA"/>
    <w:rsid w:val="00DC1D35"/>
    <w:rsid w:val="00DC3470"/>
    <w:rsid w:val="00DE015C"/>
    <w:rsid w:val="00E02E10"/>
    <w:rsid w:val="00E24D54"/>
    <w:rsid w:val="00E318C9"/>
    <w:rsid w:val="00E31E38"/>
    <w:rsid w:val="00E53DD4"/>
    <w:rsid w:val="00E574B1"/>
    <w:rsid w:val="00E634AA"/>
    <w:rsid w:val="00E63D13"/>
    <w:rsid w:val="00E6725D"/>
    <w:rsid w:val="00E75404"/>
    <w:rsid w:val="00E759A6"/>
    <w:rsid w:val="00E912C7"/>
    <w:rsid w:val="00E95E80"/>
    <w:rsid w:val="00EA56BF"/>
    <w:rsid w:val="00EA5C61"/>
    <w:rsid w:val="00EA76DF"/>
    <w:rsid w:val="00EB523D"/>
    <w:rsid w:val="00EB6435"/>
    <w:rsid w:val="00EC3301"/>
    <w:rsid w:val="00EC36AF"/>
    <w:rsid w:val="00ED24CA"/>
    <w:rsid w:val="00ED25BE"/>
    <w:rsid w:val="00EE2705"/>
    <w:rsid w:val="00F177E9"/>
    <w:rsid w:val="00F24E81"/>
    <w:rsid w:val="00F25D86"/>
    <w:rsid w:val="00F27DBB"/>
    <w:rsid w:val="00F54F25"/>
    <w:rsid w:val="00F608FE"/>
    <w:rsid w:val="00F63DD7"/>
    <w:rsid w:val="00F65257"/>
    <w:rsid w:val="00F671BE"/>
    <w:rsid w:val="00F85CCF"/>
    <w:rsid w:val="00F92659"/>
    <w:rsid w:val="00FB6ABF"/>
    <w:rsid w:val="00FD7055"/>
    <w:rsid w:val="00FE3CE9"/>
    <w:rsid w:val="00FE4AF5"/>
    <w:rsid w:val="00FE5DA7"/>
    <w:rsid w:val="56C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0A83"/>
  <w15:chartTrackingRefBased/>
  <w15:docId w15:val="{98F4A85F-4E1A-433C-828C-B24A2F71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EBF"/>
    <w:pPr>
      <w:spacing w:before="80" w:after="80" w:line="288" w:lineRule="auto"/>
    </w:pPr>
    <w:rPr>
      <w:rFonts w:ascii="Calibri" w:eastAsia="Calibri" w:hAnsi="Calibri" w:cs="Calibri"/>
      <w:color w:val="3C3E43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EBF"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EBF"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EBF"/>
    <w:pPr>
      <w:spacing w:before="340" w:after="0" w:line="240" w:lineRule="auto"/>
      <w:outlineLvl w:val="2"/>
    </w:pPr>
    <w:rPr>
      <w:b/>
      <w:bCs/>
      <w:color w:val="0B101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EBF"/>
    <w:rPr>
      <w:rFonts w:ascii="Calibri" w:eastAsia="Calibri" w:hAnsi="Calibri" w:cs="Calibri"/>
      <w:b/>
      <w:bCs/>
      <w:color w:val="0B101C"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94EBF"/>
    <w:rPr>
      <w:rFonts w:ascii="Calibri" w:eastAsia="Calibri" w:hAnsi="Calibri" w:cs="Calibri"/>
      <w:b/>
      <w:bCs/>
      <w:color w:val="0B101C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94EBF"/>
    <w:rPr>
      <w:rFonts w:ascii="Calibri" w:eastAsia="Calibri" w:hAnsi="Calibri" w:cs="Calibri"/>
      <w:b/>
      <w:bCs/>
      <w:color w:val="0B101C"/>
      <w:kern w:val="0"/>
      <w:sz w:val="21"/>
      <w:szCs w:val="21"/>
      <w14:ligatures w14:val="none"/>
    </w:rPr>
  </w:style>
  <w:style w:type="paragraph" w:styleId="ListParagraph">
    <w:name w:val="List Paragraph"/>
    <w:basedOn w:val="Normal"/>
    <w:qFormat/>
    <w:rsid w:val="00C94EBF"/>
  </w:style>
  <w:style w:type="paragraph" w:customStyle="1" w:styleId="Empty">
    <w:name w:val="Empty"/>
    <w:qFormat/>
    <w:rsid w:val="00C94EBF"/>
    <w:pPr>
      <w:spacing w:after="0" w:line="0" w:lineRule="auto"/>
    </w:pPr>
    <w:rPr>
      <w:rFonts w:ascii="Times New Roman" w:eastAsia="Times New Roman" w:hAnsi="Times New Roman" w:cs="Times New Roman"/>
      <w:kern w:val="0"/>
      <w:sz w:val="1"/>
      <w:szCs w:val="1"/>
      <w14:ligatures w14:val="none"/>
    </w:rPr>
  </w:style>
  <w:style w:type="paragraph" w:customStyle="1" w:styleId="Iconcontainer">
    <w:name w:val="Icon container"/>
    <w:qFormat/>
    <w:rsid w:val="00C94EBF"/>
    <w:pPr>
      <w:spacing w:before="220" w:after="0" w:line="240" w:lineRule="auto"/>
    </w:pPr>
    <w:rPr>
      <w:rFonts w:ascii="Times New Roman" w:eastAsia="Times New Roman" w:hAnsi="Times New Roman" w:cs="Times New Roman"/>
      <w:kern w:val="0"/>
      <w:sz w:val="1"/>
      <w:szCs w:val="1"/>
      <w14:ligatures w14:val="none"/>
    </w:rPr>
  </w:style>
  <w:style w:type="paragraph" w:customStyle="1" w:styleId="Skillsectionspacing">
    <w:name w:val="Skill section spacing"/>
    <w:basedOn w:val="Normal"/>
    <w:qFormat/>
    <w:rsid w:val="00C94EBF"/>
    <w:pPr>
      <w:spacing w:before="0" w:after="0" w:line="108" w:lineRule="auto"/>
    </w:pPr>
  </w:style>
  <w:style w:type="paragraph" w:styleId="Date">
    <w:name w:val="Date"/>
    <w:basedOn w:val="Normal"/>
    <w:link w:val="DateChar"/>
    <w:qFormat/>
    <w:rsid w:val="00C94EBF"/>
    <w:pPr>
      <w:spacing w:before="0" w:after="140" w:line="240" w:lineRule="auto"/>
    </w:pPr>
    <w:rPr>
      <w:color w:val="7A8599"/>
      <w:sz w:val="18"/>
      <w:szCs w:val="18"/>
    </w:rPr>
  </w:style>
  <w:style w:type="character" w:customStyle="1" w:styleId="DateChar">
    <w:name w:val="Date Char"/>
    <w:basedOn w:val="DefaultParagraphFont"/>
    <w:link w:val="Date"/>
    <w:rsid w:val="00C94EBF"/>
    <w:rPr>
      <w:rFonts w:ascii="Calibri" w:eastAsia="Calibri" w:hAnsi="Calibri" w:cs="Calibri"/>
      <w:color w:val="7A8599"/>
      <w:kern w:val="0"/>
      <w:sz w:val="18"/>
      <w:szCs w:val="18"/>
      <w14:ligatures w14:val="none"/>
    </w:rPr>
  </w:style>
  <w:style w:type="paragraph" w:customStyle="1" w:styleId="Name">
    <w:name w:val="Name"/>
    <w:basedOn w:val="Normal"/>
    <w:next w:val="Normal"/>
    <w:qFormat/>
    <w:rsid w:val="00C94EBF"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rsid w:val="00C94EBF"/>
    <w:pPr>
      <w:spacing w:before="100" w:after="40"/>
    </w:pPr>
  </w:style>
  <w:style w:type="paragraph" w:customStyle="1" w:styleId="Default">
    <w:name w:val="Default"/>
    <w:rsid w:val="00C94EBF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C94EBF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5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hangrange/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grange@gmail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grange.github.io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Grange</dc:creator>
  <cp:keywords/>
  <dc:description/>
  <cp:lastModifiedBy>Nathan Grange</cp:lastModifiedBy>
  <cp:revision>106</cp:revision>
  <cp:lastPrinted>2023-12-11T18:42:00Z</cp:lastPrinted>
  <dcterms:created xsi:type="dcterms:W3CDTF">2023-12-06T21:42:00Z</dcterms:created>
  <dcterms:modified xsi:type="dcterms:W3CDTF">2024-01-11T18:20:00Z</dcterms:modified>
</cp:coreProperties>
</file>