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90862" w14:textId="136284BB" w:rsidR="00C33229" w:rsidRPr="000D1D1D" w:rsidRDefault="00862173" w:rsidP="00C33229">
      <w:pPr>
        <w:pStyle w:val="Heading1"/>
        <w:numPr>
          <w:ilvl w:val="0"/>
          <w:numId w:val="0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Zilungele </w:t>
      </w:r>
      <w:r w:rsidR="00A77547">
        <w:rPr>
          <w:sz w:val="40"/>
          <w:szCs w:val="40"/>
        </w:rPr>
        <w:t xml:space="preserve">Cloud Services </w:t>
      </w:r>
    </w:p>
    <w:p w14:paraId="019390C4" w14:textId="410126E9" w:rsidR="00C33229" w:rsidRPr="00957544" w:rsidRDefault="00C33229" w:rsidP="005A1DC1">
      <w:pPr>
        <w:pStyle w:val="Heading1"/>
        <w:numPr>
          <w:ilvl w:val="0"/>
          <w:numId w:val="0"/>
        </w:numPr>
        <w:rPr>
          <w:color w:val="1F497D" w:themeColor="text2"/>
        </w:rPr>
      </w:pPr>
      <w:r w:rsidRPr="00957544">
        <w:rPr>
          <w:color w:val="1F497D" w:themeColor="text2"/>
        </w:rPr>
        <w:t>Overview</w:t>
      </w:r>
    </w:p>
    <w:p w14:paraId="712C8E02" w14:textId="33227C9A" w:rsidR="004F79DF" w:rsidRDefault="00A77547" w:rsidP="00C33229">
      <w:r>
        <w:t xml:space="preserve">Zilungele Cloud Services is a VMware </w:t>
      </w:r>
      <w:r w:rsidR="00463165">
        <w:t>Cloud Provider partner providing</w:t>
      </w:r>
      <w:r w:rsidR="00FA13D4">
        <w:t xml:space="preserve"> Cloud services to </w:t>
      </w:r>
      <w:r w:rsidR="000C2311">
        <w:t>Sub-Sahara Africa.</w:t>
      </w:r>
      <w:r w:rsidR="00F538AE">
        <w:t xml:space="preserve"> </w:t>
      </w:r>
      <w:r w:rsidR="00BF1866">
        <w:t>Zil</w:t>
      </w:r>
      <w:r w:rsidR="00091B52">
        <w:t>ungele provides Shared and Ded</w:t>
      </w:r>
      <w:r w:rsidR="00D51041">
        <w:t>ic</w:t>
      </w:r>
      <w:r w:rsidR="00091B52">
        <w:t xml:space="preserve">ated </w:t>
      </w:r>
      <w:r w:rsidR="004F4A3B">
        <w:t>Infrastructure-as-a-</w:t>
      </w:r>
      <w:r w:rsidR="00D959FE">
        <w:t>Service (</w:t>
      </w:r>
      <w:r w:rsidR="00091B52">
        <w:t>IaaS</w:t>
      </w:r>
      <w:r w:rsidR="00D959FE">
        <w:t>)</w:t>
      </w:r>
      <w:r w:rsidR="00D51041">
        <w:t>, Object Storage</w:t>
      </w:r>
      <w:r w:rsidR="00A00212">
        <w:t>, Desktop-as-a-Service</w:t>
      </w:r>
      <w:r w:rsidR="00366309">
        <w:t xml:space="preserve">, </w:t>
      </w:r>
      <w:r w:rsidR="009016BE">
        <w:t>Endpoint Management, Managed Services</w:t>
      </w:r>
      <w:r w:rsidR="00AC2DB1">
        <w:t>,</w:t>
      </w:r>
      <w:r w:rsidR="009016BE">
        <w:t xml:space="preserve"> and Professional Services. </w:t>
      </w:r>
      <w:r w:rsidR="00683D09">
        <w:t>Zilungele is Head</w:t>
      </w:r>
      <w:r w:rsidR="007104D9">
        <w:t>-quartered in Johannesburg, South Africa</w:t>
      </w:r>
      <w:r w:rsidR="00DF4FFE">
        <w:t xml:space="preserve"> w</w:t>
      </w:r>
      <w:r w:rsidR="007104D9">
        <w:t xml:space="preserve">here they have provided services over the past </w:t>
      </w:r>
      <w:r w:rsidR="00A52E4C">
        <w:t xml:space="preserve">12 years. </w:t>
      </w:r>
      <w:r w:rsidR="0060752B">
        <w:t xml:space="preserve">Zilungele </w:t>
      </w:r>
      <w:r w:rsidR="008B1BD4">
        <w:t xml:space="preserve">also </w:t>
      </w:r>
      <w:r w:rsidR="008841D2">
        <w:t xml:space="preserve">has a presence in </w:t>
      </w:r>
      <w:r w:rsidR="007F07BB">
        <w:t>Luanda, Angola</w:t>
      </w:r>
      <w:r w:rsidR="00040E1E">
        <w:t xml:space="preserve">. </w:t>
      </w:r>
      <w:r w:rsidR="00D860EE">
        <w:t>Z</w:t>
      </w:r>
      <w:r w:rsidR="00D24993">
        <w:t>CS</w:t>
      </w:r>
      <w:r w:rsidR="004953B4">
        <w:t xml:space="preserve"> has capitalized on the continent’s </w:t>
      </w:r>
      <w:r w:rsidR="00472AB2">
        <w:t xml:space="preserve">late entry into </w:t>
      </w:r>
      <w:r w:rsidR="001900D4">
        <w:t>data center and inter-networking services. Providing i</w:t>
      </w:r>
      <w:r w:rsidR="00B5497A">
        <w:t>ts above</w:t>
      </w:r>
      <w:r w:rsidR="008206B5">
        <w:t>-</w:t>
      </w:r>
      <w:r w:rsidR="00B5497A">
        <w:t xml:space="preserve">listed services to Financial Institutions, </w:t>
      </w:r>
      <w:r w:rsidR="00123708">
        <w:t>Governmental institutions, Non-Governmental Organizations (NG</w:t>
      </w:r>
      <w:r w:rsidR="00316DFA">
        <w:t>O</w:t>
      </w:r>
      <w:r w:rsidR="008206B5">
        <w:t>s</w:t>
      </w:r>
      <w:r w:rsidR="00123708">
        <w:t>)</w:t>
      </w:r>
      <w:r w:rsidR="00DF4FFE">
        <w:t xml:space="preserve">, Multi-National </w:t>
      </w:r>
      <w:r w:rsidR="00F41511">
        <w:t>Organizations</w:t>
      </w:r>
      <w:r w:rsidR="009239C7">
        <w:t xml:space="preserve">, as well as local small and mid-sized businesses in </w:t>
      </w:r>
      <w:r w:rsidR="009F3C84">
        <w:t xml:space="preserve">need of IT services to facilitate their business objective in a global economy. </w:t>
      </w:r>
    </w:p>
    <w:p w14:paraId="02128C00" w14:textId="1C9183CA" w:rsidR="00A961DC" w:rsidRDefault="00A961DC" w:rsidP="00C33229"/>
    <w:p w14:paraId="1579A12C" w14:textId="7621B3FC" w:rsidR="00A961DC" w:rsidRDefault="009E1620" w:rsidP="00F727BF">
      <w:r>
        <w:t xml:space="preserve">Zilungele </w:t>
      </w:r>
      <w:r w:rsidR="004F0CAE">
        <w:t xml:space="preserve">intends to extend </w:t>
      </w:r>
      <w:r w:rsidR="00A63296">
        <w:t>its</w:t>
      </w:r>
      <w:r w:rsidR="004F0CAE">
        <w:t xml:space="preserve"> presence into Eastern and Western Africa with data</w:t>
      </w:r>
      <w:r w:rsidR="00A63296">
        <w:t xml:space="preserve"> </w:t>
      </w:r>
      <w:r w:rsidR="004F0CAE">
        <w:t xml:space="preserve">centers in </w:t>
      </w:r>
      <w:r w:rsidR="008F22C5">
        <w:t xml:space="preserve">Nairobi, Kenya, Addis Abba, Ethiopia, </w:t>
      </w:r>
      <w:r w:rsidR="00075EE5">
        <w:t xml:space="preserve">Abuja, Nigeria &amp; Dakar Senegal. </w:t>
      </w:r>
      <w:r w:rsidR="001029EF">
        <w:t>ZCS</w:t>
      </w:r>
      <w:r w:rsidR="00495C99">
        <w:t xml:space="preserve"> </w:t>
      </w:r>
      <w:r w:rsidR="008741B4">
        <w:t xml:space="preserve">plans to maximize their investment in the </w:t>
      </w:r>
      <w:r w:rsidR="00432FAB">
        <w:t xml:space="preserve">VMware Cloud Provider program by implementing </w:t>
      </w:r>
      <w:r w:rsidR="00FC7854">
        <w:t xml:space="preserve">an asset-heavy solution </w:t>
      </w:r>
      <w:r w:rsidR="00F727BF">
        <w:t xml:space="preserve">using the Cloud Provider Pod Stack which includes: </w:t>
      </w:r>
    </w:p>
    <w:p w14:paraId="6B2F2B6D" w14:textId="60D25EFB" w:rsidR="00F727BF" w:rsidRDefault="00EB03DE" w:rsidP="00F727BF">
      <w:pPr>
        <w:pStyle w:val="ListParagraph"/>
        <w:numPr>
          <w:ilvl w:val="0"/>
          <w:numId w:val="5"/>
        </w:numPr>
      </w:pPr>
      <w:r>
        <w:t xml:space="preserve">vSphere </w:t>
      </w:r>
    </w:p>
    <w:p w14:paraId="0192B035" w14:textId="12F3D5C7" w:rsidR="00EB03DE" w:rsidRDefault="00EB03DE" w:rsidP="00F727BF">
      <w:pPr>
        <w:pStyle w:val="ListParagraph"/>
        <w:numPr>
          <w:ilvl w:val="0"/>
          <w:numId w:val="5"/>
        </w:numPr>
      </w:pPr>
      <w:r>
        <w:t>vCloud Director</w:t>
      </w:r>
    </w:p>
    <w:p w14:paraId="2F5CF95A" w14:textId="1C3F5A1D" w:rsidR="00EB03DE" w:rsidRDefault="00EB03DE" w:rsidP="00F727BF">
      <w:pPr>
        <w:pStyle w:val="ListParagraph"/>
        <w:numPr>
          <w:ilvl w:val="0"/>
          <w:numId w:val="5"/>
        </w:numPr>
      </w:pPr>
      <w:r>
        <w:t>NSX-T Datacenter</w:t>
      </w:r>
    </w:p>
    <w:p w14:paraId="4570BF49" w14:textId="3FF67839" w:rsidR="00A92859" w:rsidRDefault="00A92859" w:rsidP="00F727BF">
      <w:pPr>
        <w:pStyle w:val="ListParagraph"/>
        <w:numPr>
          <w:ilvl w:val="0"/>
          <w:numId w:val="5"/>
        </w:numPr>
      </w:pPr>
      <w:proofErr w:type="spellStart"/>
      <w:r>
        <w:t>vSAN</w:t>
      </w:r>
      <w:proofErr w:type="spellEnd"/>
    </w:p>
    <w:p w14:paraId="6D6EFC2B" w14:textId="7A479FA0" w:rsidR="005C447A" w:rsidRDefault="005C447A" w:rsidP="00F727BF">
      <w:pPr>
        <w:pStyle w:val="ListParagraph"/>
        <w:numPr>
          <w:ilvl w:val="0"/>
          <w:numId w:val="5"/>
        </w:numPr>
      </w:pPr>
      <w:r>
        <w:t xml:space="preserve">Cloud Director Availability </w:t>
      </w:r>
    </w:p>
    <w:p w14:paraId="28C3C5B9" w14:textId="3655D5A8" w:rsidR="005C447A" w:rsidRDefault="005C447A" w:rsidP="00F727BF">
      <w:pPr>
        <w:pStyle w:val="ListParagraph"/>
        <w:numPr>
          <w:ilvl w:val="0"/>
          <w:numId w:val="5"/>
        </w:numPr>
      </w:pPr>
      <w:proofErr w:type="spellStart"/>
      <w:r>
        <w:t>Etc</w:t>
      </w:r>
      <w:proofErr w:type="spellEnd"/>
      <w:r>
        <w:t>…</w:t>
      </w:r>
    </w:p>
    <w:p w14:paraId="51A1978B" w14:textId="3F3FA030" w:rsidR="00575EFF" w:rsidRDefault="00575EFF" w:rsidP="00C33229"/>
    <w:p w14:paraId="710F617C" w14:textId="77777777" w:rsidR="008F2820" w:rsidRDefault="00116408" w:rsidP="00C33229">
      <w:r>
        <w:t xml:space="preserve">The use of </w:t>
      </w:r>
      <w:r w:rsidR="008F2820">
        <w:t xml:space="preserve">the VMware Cloud Provider Pod stack will allow ZCS to provide: </w:t>
      </w:r>
    </w:p>
    <w:p w14:paraId="06F13279" w14:textId="10666460" w:rsidR="00575EFF" w:rsidRDefault="007221D4" w:rsidP="008F2820">
      <w:pPr>
        <w:pStyle w:val="ListParagraph"/>
        <w:numPr>
          <w:ilvl w:val="0"/>
          <w:numId w:val="6"/>
        </w:numPr>
      </w:pPr>
      <w:r w:rsidRPr="007221D4">
        <w:t>Multi-Tenant Resource Pooling</w:t>
      </w:r>
      <w:r>
        <w:t xml:space="preserve"> - </w:t>
      </w:r>
      <w:r w:rsidRPr="007221D4">
        <w:t>create virtual data centers from common infrastructure to cater to heterogeneous enterprise needs</w:t>
      </w:r>
    </w:p>
    <w:p w14:paraId="43257BE2" w14:textId="72D2F54D" w:rsidR="005F6ED7" w:rsidRDefault="005F6ED7" w:rsidP="008F2820">
      <w:pPr>
        <w:pStyle w:val="ListParagraph"/>
        <w:numPr>
          <w:ilvl w:val="0"/>
          <w:numId w:val="6"/>
        </w:numPr>
      </w:pPr>
      <w:r w:rsidRPr="005F6ED7">
        <w:t>Operational Visibility and Insights</w:t>
      </w:r>
      <w:r>
        <w:t xml:space="preserve"> - </w:t>
      </w:r>
      <w:r w:rsidR="00071D45" w:rsidRPr="00071D45">
        <w:t xml:space="preserve">refreshed dashboard and single pane of glass </w:t>
      </w:r>
      <w:r w:rsidR="005B4A60">
        <w:t xml:space="preserve">to </w:t>
      </w:r>
      <w:r w:rsidR="00071D45" w:rsidRPr="00071D45">
        <w:t>provide centralized multi-tenant cloud management views</w:t>
      </w:r>
    </w:p>
    <w:p w14:paraId="3A7FB31D" w14:textId="062F6935" w:rsidR="00C340FE" w:rsidRDefault="003C51DE" w:rsidP="00C340FE">
      <w:pPr>
        <w:pStyle w:val="ListParagraph"/>
        <w:numPr>
          <w:ilvl w:val="0"/>
          <w:numId w:val="6"/>
        </w:numPr>
      </w:pPr>
      <w:r>
        <w:t>Container</w:t>
      </w:r>
      <w:r w:rsidR="00BE45D6">
        <w:t>-</w:t>
      </w:r>
      <w:r>
        <w:t>as</w:t>
      </w:r>
      <w:r w:rsidR="00BE45D6">
        <w:t>-</w:t>
      </w:r>
      <w:r>
        <w:t>a</w:t>
      </w:r>
      <w:r w:rsidR="00BE45D6">
        <w:t>-</w:t>
      </w:r>
      <w:r>
        <w:t>Service</w:t>
      </w:r>
      <w:r w:rsidR="00076558">
        <w:t xml:space="preserve"> - </w:t>
      </w:r>
      <w:r w:rsidR="00076558" w:rsidRPr="00076558">
        <w:t>onramp for enterprises leveraging flexible, on-demand containers and VMs in the same virtual data center and faster time-to-consumption for Kubernetes</w:t>
      </w:r>
    </w:p>
    <w:p w14:paraId="5D528996" w14:textId="22DF4958" w:rsidR="00076558" w:rsidRDefault="00C340FE" w:rsidP="00C340FE">
      <w:pPr>
        <w:pStyle w:val="ListParagraph"/>
        <w:numPr>
          <w:ilvl w:val="0"/>
          <w:numId w:val="6"/>
        </w:numPr>
      </w:pPr>
      <w:r>
        <w:t xml:space="preserve">Data Center Extension and Cloud Migration - </w:t>
      </w:r>
      <w:r w:rsidR="00553C3F" w:rsidRPr="00553C3F">
        <w:t>secure VM migration and data center extension</w:t>
      </w:r>
    </w:p>
    <w:p w14:paraId="6B0D79D3" w14:textId="4ECB5A57" w:rsidR="00647D03" w:rsidRDefault="00647D03" w:rsidP="00C340FE">
      <w:pPr>
        <w:pStyle w:val="ListParagraph"/>
        <w:numPr>
          <w:ilvl w:val="0"/>
          <w:numId w:val="6"/>
        </w:numPr>
      </w:pPr>
      <w:r w:rsidRPr="00647D03">
        <w:t>Multi-Site Management</w:t>
      </w:r>
      <w:r>
        <w:t xml:space="preserve"> - </w:t>
      </w:r>
      <w:r w:rsidRPr="00647D03">
        <w:t>Stretch data centers across sites and geographies</w:t>
      </w:r>
    </w:p>
    <w:p w14:paraId="6A55A122" w14:textId="517FC528" w:rsidR="00175129" w:rsidRDefault="00175129" w:rsidP="00C340FE">
      <w:pPr>
        <w:pStyle w:val="ListParagraph"/>
        <w:numPr>
          <w:ilvl w:val="0"/>
          <w:numId w:val="6"/>
        </w:numPr>
      </w:pPr>
      <w:r w:rsidRPr="00175129">
        <w:t>Data Protection and Availability</w:t>
      </w:r>
      <w:r w:rsidR="004E45A3">
        <w:t xml:space="preserve"> - </w:t>
      </w:r>
      <w:r w:rsidR="00CF0197" w:rsidRPr="00CF0197">
        <w:t>run simple DRaaS offerings that are compatible with enterprise environments</w:t>
      </w:r>
    </w:p>
    <w:p w14:paraId="2DBB5FEE" w14:textId="3EAC148D" w:rsidR="00036D5D" w:rsidRDefault="0020469D" w:rsidP="00036D5D">
      <w:r>
        <w:lastRenderedPageBreak/>
        <w:t xml:space="preserve">ZCS intends to </w:t>
      </w:r>
      <w:r w:rsidR="002A6170">
        <w:t>begin</w:t>
      </w:r>
      <w:r>
        <w:t xml:space="preserve"> this implementation in their Luanda, A</w:t>
      </w:r>
      <w:r w:rsidR="00375AF1">
        <w:t>ngola Datacenter, and with the success of that implementation, replicate the roll</w:t>
      </w:r>
      <w:r w:rsidR="008D26CF">
        <w:t xml:space="preserve">-out in the new markets they are currently courting. </w:t>
      </w:r>
    </w:p>
    <w:p w14:paraId="52DE04F3" w14:textId="2A70B2B9" w:rsidR="0038335F" w:rsidRDefault="0038335F" w:rsidP="00036D5D"/>
    <w:p w14:paraId="129D9795" w14:textId="41E33D31" w:rsidR="006775E7" w:rsidRDefault="0038335F">
      <w:r>
        <w:t xml:space="preserve">ZCS has </w:t>
      </w:r>
      <w:r w:rsidR="00EA1CC4">
        <w:t>430</w:t>
      </w:r>
      <w:r w:rsidR="007F1F0E">
        <w:t xml:space="preserve"> IaaS</w:t>
      </w:r>
      <w:r w:rsidR="00EA1CC4">
        <w:t xml:space="preserve"> tenants in Angola </w:t>
      </w:r>
      <w:r w:rsidR="00A652BC">
        <w:t xml:space="preserve">95% </w:t>
      </w:r>
      <w:r w:rsidR="007F1F0E">
        <w:t xml:space="preserve">of whom </w:t>
      </w:r>
      <w:r w:rsidR="003E7B9E">
        <w:t>leverage the shared IaaS sol</w:t>
      </w:r>
      <w:r w:rsidR="00E355CE">
        <w:t xml:space="preserve">ution. The remaining 5% subscribe either exclusively to their </w:t>
      </w:r>
      <w:r w:rsidR="00FA3DAD">
        <w:t xml:space="preserve">dedicated IaaS </w:t>
      </w:r>
      <w:r w:rsidR="00C32809">
        <w:t xml:space="preserve">solution or a </w:t>
      </w:r>
      <w:r w:rsidR="00E339B8">
        <w:t xml:space="preserve">combination of both the shared and </w:t>
      </w:r>
      <w:r w:rsidR="00F50EC8">
        <w:t>dedicated IaaS</w:t>
      </w:r>
      <w:r w:rsidR="003A3740">
        <w:t xml:space="preserve">. The average Shared IaaS tenant runs </w:t>
      </w:r>
      <w:r w:rsidR="00593F44">
        <w:t>10 virtual machine</w:t>
      </w:r>
      <w:r w:rsidR="00821A6F">
        <w:t xml:space="preserve">s. Clients with a dedicated </w:t>
      </w:r>
      <w:r w:rsidR="008D5EF8">
        <w:t xml:space="preserve">Private cloud (IaaS) are provided a dedicated vSphere cluster </w:t>
      </w:r>
      <w:r w:rsidR="00BF5EF3">
        <w:t xml:space="preserve">with a minimum of 4 ESXi hosts configured </w:t>
      </w:r>
      <w:r w:rsidR="008601FE">
        <w:t xml:space="preserve">with </w:t>
      </w:r>
      <w:proofErr w:type="spellStart"/>
      <w:r w:rsidR="008601FE">
        <w:t>vSAN</w:t>
      </w:r>
      <w:proofErr w:type="spellEnd"/>
      <w:r w:rsidR="008601FE">
        <w:t>.</w:t>
      </w:r>
    </w:p>
    <w:p w14:paraId="45AF6A26" w14:textId="72C46328" w:rsidR="007B26D0" w:rsidRDefault="004A7482">
      <w:r>
        <w:t xml:space="preserve">ZCS expects to increase </w:t>
      </w:r>
      <w:r w:rsidR="00F07FA6">
        <w:t>its</w:t>
      </w:r>
      <w:r>
        <w:t xml:space="preserve"> customer base </w:t>
      </w:r>
      <w:r w:rsidR="00E207EE">
        <w:t xml:space="preserve">by </w:t>
      </w:r>
      <w:r w:rsidR="002B0C13">
        <w:t xml:space="preserve">200% over the next 18 months and </w:t>
      </w:r>
      <w:r w:rsidR="00244C4A">
        <w:t>needs a solution that will scale accordingly</w:t>
      </w:r>
      <w:r w:rsidR="00B032DD">
        <w:t xml:space="preserve">. </w:t>
      </w:r>
    </w:p>
    <w:p w14:paraId="76850634" w14:textId="684BFE43" w:rsidR="004F3698" w:rsidRDefault="004F3698"/>
    <w:p w14:paraId="46663678" w14:textId="77777777" w:rsidR="004F3698" w:rsidRDefault="004F3698"/>
    <w:p w14:paraId="76F8DF7E" w14:textId="77777777" w:rsidR="007F1F0E" w:rsidRDefault="007F1F0E"/>
    <w:p w14:paraId="42CCFB08" w14:textId="77777777" w:rsidR="003713E5" w:rsidRDefault="003713E5" w:rsidP="003713E5">
      <w:pPr>
        <w:rPr>
          <w:b/>
        </w:rPr>
      </w:pPr>
      <w:r>
        <w:rPr>
          <w:b/>
        </w:rPr>
        <w:t>Applications</w:t>
      </w:r>
    </w:p>
    <w:p w14:paraId="2C6DEB4A" w14:textId="3B9CC43E" w:rsidR="000E3A1F" w:rsidRDefault="000E3A1F" w:rsidP="003713E5"/>
    <w:p w14:paraId="08214329" w14:textId="75523989" w:rsidR="00CA140D" w:rsidRDefault="00CA140D" w:rsidP="003713E5">
      <w:proofErr w:type="gramStart"/>
      <w:r>
        <w:t>The majority of</w:t>
      </w:r>
      <w:proofErr w:type="gramEnd"/>
      <w:r>
        <w:t xml:space="preserve"> the application</w:t>
      </w:r>
      <w:r w:rsidR="0025053F">
        <w:t>s</w:t>
      </w:r>
      <w:r>
        <w:t xml:space="preserve"> </w:t>
      </w:r>
      <w:r w:rsidR="00AA5278">
        <w:t>r</w:t>
      </w:r>
      <w:r w:rsidR="00A76EAF">
        <w:t>unning in ZCS</w:t>
      </w:r>
      <w:r w:rsidR="007C135B">
        <w:t>’s</w:t>
      </w:r>
      <w:r w:rsidR="00A76EAF">
        <w:t xml:space="preserve"> IaaS solution are 3-t</w:t>
      </w:r>
      <w:r w:rsidR="00936901">
        <w:t>ie</w:t>
      </w:r>
      <w:r w:rsidR="00A76EAF">
        <w:t>r applicatio</w:t>
      </w:r>
      <w:r w:rsidR="007656EB">
        <w:t>n</w:t>
      </w:r>
      <w:r w:rsidR="0025053F">
        <w:t>s</w:t>
      </w:r>
      <w:r w:rsidR="007656EB">
        <w:t xml:space="preserve">. Because </w:t>
      </w:r>
      <w:r w:rsidR="00834052">
        <w:t>all</w:t>
      </w:r>
      <w:r w:rsidR="0074060E">
        <w:t xml:space="preserve"> </w:t>
      </w:r>
      <w:r w:rsidR="00834052">
        <w:t>o</w:t>
      </w:r>
      <w:r w:rsidR="007656EB">
        <w:t>f ZCS</w:t>
      </w:r>
      <w:r w:rsidR="00486F32">
        <w:t>s’</w:t>
      </w:r>
      <w:r w:rsidR="007656EB">
        <w:t xml:space="preserve"> customers are ex</w:t>
      </w:r>
      <w:r w:rsidR="00834052">
        <w:t xml:space="preserve">ternal to </w:t>
      </w:r>
      <w:r w:rsidR="00F470B2">
        <w:t xml:space="preserve">their data center they require </w:t>
      </w:r>
      <w:r w:rsidR="00486F32">
        <w:t>HTTP</w:t>
      </w:r>
      <w:r w:rsidR="00F470B2">
        <w:t xml:space="preserve"> and </w:t>
      </w:r>
      <w:r w:rsidR="00486F32">
        <w:t>HTTPS</w:t>
      </w:r>
      <w:r w:rsidR="006F4B48">
        <w:t xml:space="preserve"> access to their applications. For </w:t>
      </w:r>
      <w:r w:rsidR="0005391A">
        <w:t>enhanced security and performance plus streamlined support</w:t>
      </w:r>
      <w:r w:rsidR="00DB0AA4">
        <w:t xml:space="preserve">, ZCS offers its customers access to their application via a VDI pool </w:t>
      </w:r>
      <w:r w:rsidR="00A76F59">
        <w:t xml:space="preserve">provided with VMware Horizon </w:t>
      </w:r>
      <w:r w:rsidR="00F470B2">
        <w:t xml:space="preserve"> </w:t>
      </w:r>
    </w:p>
    <w:p w14:paraId="4D6C9757" w14:textId="4478AD5E" w:rsidR="008924BE" w:rsidRDefault="008924BE" w:rsidP="003713E5"/>
    <w:p w14:paraId="5F2B17E2" w14:textId="44D4DC34" w:rsidR="00BC6255" w:rsidRDefault="00BC6255" w:rsidP="00BC6255">
      <w:pPr>
        <w:rPr>
          <w:b/>
        </w:rPr>
      </w:pPr>
      <w:r>
        <w:rPr>
          <w:b/>
        </w:rPr>
        <w:t>Infrastructure</w:t>
      </w:r>
    </w:p>
    <w:p w14:paraId="351098BF" w14:textId="58C0B9C4" w:rsidR="00BC6255" w:rsidRDefault="00BC6255" w:rsidP="00BC6255">
      <w:pPr>
        <w:rPr>
          <w:b/>
        </w:rPr>
      </w:pPr>
    </w:p>
    <w:p w14:paraId="05CD2D35" w14:textId="05FBB353" w:rsidR="00A14F13" w:rsidRDefault="00D12C33" w:rsidP="00D55B85">
      <w:pPr>
        <w:rPr>
          <w:bCs/>
        </w:rPr>
      </w:pPr>
      <w:r>
        <w:rPr>
          <w:bCs/>
        </w:rPr>
        <w:t xml:space="preserve">ZCS offers </w:t>
      </w:r>
      <w:r w:rsidR="00B82E6E">
        <w:rPr>
          <w:bCs/>
        </w:rPr>
        <w:t>three</w:t>
      </w:r>
      <w:r>
        <w:rPr>
          <w:bCs/>
        </w:rPr>
        <w:t xml:space="preserve"> </w:t>
      </w:r>
      <w:r w:rsidR="009745C1">
        <w:rPr>
          <w:bCs/>
        </w:rPr>
        <w:t xml:space="preserve">compute tiers </w:t>
      </w:r>
      <w:r w:rsidR="0031037D">
        <w:rPr>
          <w:bCs/>
        </w:rPr>
        <w:t>to its customers</w:t>
      </w:r>
      <w:r w:rsidR="00B82E6E">
        <w:rPr>
          <w:bCs/>
        </w:rPr>
        <w:t>:</w:t>
      </w:r>
    </w:p>
    <w:p w14:paraId="241B1F9E" w14:textId="4604A55B" w:rsidR="00B82E6E" w:rsidRDefault="005F01A7" w:rsidP="00B82E6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Introductory Tier – Used to </w:t>
      </w:r>
      <w:r w:rsidR="007F35C3">
        <w:rPr>
          <w:bCs/>
        </w:rPr>
        <w:t xml:space="preserve">introduce prospective tenants to </w:t>
      </w:r>
      <w:r w:rsidR="00135478">
        <w:rPr>
          <w:bCs/>
        </w:rPr>
        <w:t>the ZCS solutions</w:t>
      </w:r>
    </w:p>
    <w:p w14:paraId="3B48601D" w14:textId="14E93A4D" w:rsidR="00836790" w:rsidRDefault="00836790" w:rsidP="00836790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Commodity Intel white-box servers</w:t>
      </w:r>
    </w:p>
    <w:p w14:paraId="526E5FA2" w14:textId="5EEDD791" w:rsidR="00836790" w:rsidRDefault="009255F2" w:rsidP="00836790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Dual 16-core 2.4 G</w:t>
      </w:r>
      <w:r w:rsidR="00EA45BA">
        <w:rPr>
          <w:bCs/>
        </w:rPr>
        <w:t>H</w:t>
      </w:r>
      <w:r>
        <w:rPr>
          <w:bCs/>
        </w:rPr>
        <w:t>z</w:t>
      </w:r>
    </w:p>
    <w:p w14:paraId="280E741B" w14:textId="1E089091" w:rsidR="009255F2" w:rsidRDefault="00D81E9D" w:rsidP="00836790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128 GB RAM</w:t>
      </w:r>
    </w:p>
    <w:p w14:paraId="499EDD79" w14:textId="0030085E" w:rsidR="00D81E9D" w:rsidRDefault="00D81E9D" w:rsidP="00836790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Dual 10 Gb NIC</w:t>
      </w:r>
    </w:p>
    <w:p w14:paraId="4DBDA530" w14:textId="4E51A2B5" w:rsidR="00D81E9D" w:rsidRDefault="0031572F" w:rsidP="00836790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NFS Storage</w:t>
      </w:r>
    </w:p>
    <w:p w14:paraId="52AA368A" w14:textId="2CDBE667" w:rsidR="00135478" w:rsidRDefault="00135478" w:rsidP="00B82E6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Standard Tier – Used for Shared IaaS Tenants</w:t>
      </w:r>
    </w:p>
    <w:p w14:paraId="0B22BF6F" w14:textId="673C3341" w:rsidR="0031572F" w:rsidRDefault="00A039D5" w:rsidP="0031572F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HP Synergy HCI Solution</w:t>
      </w:r>
    </w:p>
    <w:p w14:paraId="0B872161" w14:textId="21DC2FBB" w:rsidR="00AA11EA" w:rsidRDefault="00AA11EA" w:rsidP="0031572F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Dual </w:t>
      </w:r>
      <w:r w:rsidR="00D53051">
        <w:rPr>
          <w:bCs/>
        </w:rPr>
        <w:t>24</w:t>
      </w:r>
      <w:r w:rsidR="00DF562C">
        <w:rPr>
          <w:bCs/>
        </w:rPr>
        <w:t>-core 2.4 G</w:t>
      </w:r>
      <w:r w:rsidR="00EA45BA">
        <w:rPr>
          <w:bCs/>
        </w:rPr>
        <w:t>H</w:t>
      </w:r>
      <w:r w:rsidR="00DF562C">
        <w:rPr>
          <w:bCs/>
        </w:rPr>
        <w:t>z</w:t>
      </w:r>
    </w:p>
    <w:p w14:paraId="54B57935" w14:textId="0859060A" w:rsidR="00DF562C" w:rsidRDefault="00DF562C" w:rsidP="0031572F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512 GB RAM</w:t>
      </w:r>
    </w:p>
    <w:p w14:paraId="5A494FA6" w14:textId="069E8D77" w:rsidR="00DF562C" w:rsidRDefault="0018256A" w:rsidP="0031572F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Dual 2</w:t>
      </w:r>
      <w:r w:rsidR="009B7B79">
        <w:rPr>
          <w:bCs/>
        </w:rPr>
        <w:t>5</w:t>
      </w:r>
      <w:r>
        <w:rPr>
          <w:bCs/>
        </w:rPr>
        <w:t xml:space="preserve"> Gb </w:t>
      </w:r>
    </w:p>
    <w:p w14:paraId="1643D7A9" w14:textId="211E3A56" w:rsidR="004704FF" w:rsidRDefault="009B7B79" w:rsidP="0031572F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Mellanox SH2200 Switch Module</w:t>
      </w:r>
    </w:p>
    <w:p w14:paraId="4162744A" w14:textId="17F75EC9" w:rsidR="006A5F38" w:rsidRDefault="002F1D67" w:rsidP="0031572F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Up to </w:t>
      </w:r>
      <w:r w:rsidR="006A5F38">
        <w:rPr>
          <w:bCs/>
        </w:rPr>
        <w:t xml:space="preserve">640 TB per </w:t>
      </w:r>
      <w:r w:rsidR="00320765">
        <w:rPr>
          <w:bCs/>
        </w:rPr>
        <w:t>12</w:t>
      </w:r>
      <w:r w:rsidR="006A5F38">
        <w:rPr>
          <w:bCs/>
        </w:rPr>
        <w:t>000 Chassis</w:t>
      </w:r>
    </w:p>
    <w:p w14:paraId="07B01B69" w14:textId="70724A27" w:rsidR="00135478" w:rsidRDefault="00297749" w:rsidP="00B82E6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Enhanced Tier – Used for Dedicated IaaS Tenants</w:t>
      </w:r>
    </w:p>
    <w:p w14:paraId="6B93A816" w14:textId="6C520E7A" w:rsidR="00297749" w:rsidRDefault="007075B8" w:rsidP="007075B8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HP DL </w:t>
      </w:r>
      <w:r w:rsidR="00A245BC">
        <w:rPr>
          <w:bCs/>
        </w:rPr>
        <w:t>3</w:t>
      </w:r>
      <w:r w:rsidR="00BF0F94">
        <w:rPr>
          <w:bCs/>
        </w:rPr>
        <w:t xml:space="preserve">60 </w:t>
      </w:r>
    </w:p>
    <w:p w14:paraId="23025143" w14:textId="3B81EA91" w:rsidR="00FC1EAC" w:rsidRDefault="004C3E6E" w:rsidP="007075B8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Dual </w:t>
      </w:r>
      <w:r w:rsidR="005B3C24">
        <w:rPr>
          <w:bCs/>
        </w:rPr>
        <w:t>16</w:t>
      </w:r>
      <w:r>
        <w:rPr>
          <w:bCs/>
        </w:rPr>
        <w:t>-core 2.8 G</w:t>
      </w:r>
      <w:r w:rsidR="00EA45BA">
        <w:rPr>
          <w:bCs/>
        </w:rPr>
        <w:t>H</w:t>
      </w:r>
      <w:r>
        <w:rPr>
          <w:bCs/>
        </w:rPr>
        <w:t>z</w:t>
      </w:r>
    </w:p>
    <w:p w14:paraId="1BBA7D7F" w14:textId="069E3AE7" w:rsidR="004C3E6E" w:rsidRDefault="004C3E6E" w:rsidP="007075B8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128 GB RAM</w:t>
      </w:r>
    </w:p>
    <w:p w14:paraId="7F4651EF" w14:textId="2770D118" w:rsidR="004C3E6E" w:rsidRDefault="000057CA" w:rsidP="007075B8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Dual 25 Gb NIC</w:t>
      </w:r>
    </w:p>
    <w:p w14:paraId="2E124C87" w14:textId="54B888D7" w:rsidR="000057CA" w:rsidRDefault="000057CA" w:rsidP="007075B8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>(</w:t>
      </w:r>
      <w:r w:rsidR="00651AAE">
        <w:rPr>
          <w:bCs/>
        </w:rPr>
        <w:t>4</w:t>
      </w:r>
      <w:r w:rsidR="00F601E1">
        <w:rPr>
          <w:bCs/>
        </w:rPr>
        <w:t xml:space="preserve">) </w:t>
      </w:r>
      <w:r w:rsidR="00651AAE">
        <w:rPr>
          <w:bCs/>
        </w:rPr>
        <w:t>3</w:t>
      </w:r>
      <w:r w:rsidR="00F601E1">
        <w:rPr>
          <w:bCs/>
        </w:rPr>
        <w:t>.</w:t>
      </w:r>
      <w:r w:rsidR="00651AAE">
        <w:rPr>
          <w:bCs/>
        </w:rPr>
        <w:t>6</w:t>
      </w:r>
      <w:r w:rsidR="00F601E1">
        <w:rPr>
          <w:bCs/>
        </w:rPr>
        <w:t xml:space="preserve"> TB SSD</w:t>
      </w:r>
    </w:p>
    <w:p w14:paraId="46667D2B" w14:textId="41AFE3CD" w:rsidR="00651AAE" w:rsidRPr="00B82E6E" w:rsidRDefault="00651AAE" w:rsidP="007075B8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lastRenderedPageBreak/>
        <w:t>(2)</w:t>
      </w:r>
      <w:r w:rsidR="006619E8">
        <w:rPr>
          <w:bCs/>
        </w:rPr>
        <w:t>1.2 TB SSD</w:t>
      </w:r>
    </w:p>
    <w:p w14:paraId="7FCB7261" w14:textId="3F02FB50" w:rsidR="00957544" w:rsidRPr="000E3A1F" w:rsidRDefault="00A14F13" w:rsidP="003713E5">
      <w:pPr>
        <w:rPr>
          <w:b/>
        </w:rPr>
      </w:pPr>
      <w:r>
        <w:rPr>
          <w:b/>
        </w:rPr>
        <w:tab/>
      </w:r>
    </w:p>
    <w:p w14:paraId="23BF77C3" w14:textId="468F8BBB" w:rsidR="00957544" w:rsidRDefault="00957544" w:rsidP="005A1DC1">
      <w:pPr>
        <w:pStyle w:val="Heading1"/>
        <w:numPr>
          <w:ilvl w:val="0"/>
          <w:numId w:val="0"/>
        </w:numPr>
      </w:pPr>
      <w:r w:rsidRPr="00957544">
        <w:t>Project Scope</w:t>
      </w:r>
    </w:p>
    <w:p w14:paraId="56290A62" w14:textId="6A21DFB6" w:rsidR="00957544" w:rsidRDefault="00957544" w:rsidP="00957544">
      <w:r w:rsidRPr="00957544">
        <w:t xml:space="preserve">Below are the </w:t>
      </w:r>
      <w:r>
        <w:t>requirements obtained from the key sta</w:t>
      </w:r>
      <w:r w:rsidR="00AA2F3A">
        <w:t xml:space="preserve">keholders at </w:t>
      </w:r>
      <w:r w:rsidR="00E234E7">
        <w:t>Z</w:t>
      </w:r>
      <w:r w:rsidR="006B3675">
        <w:t>i</w:t>
      </w:r>
      <w:r w:rsidR="00E234E7">
        <w:t>l</w:t>
      </w:r>
      <w:r w:rsidR="006B3675">
        <w:t>u</w:t>
      </w:r>
      <w:r w:rsidR="00E234E7">
        <w:t xml:space="preserve">ngele </w:t>
      </w:r>
      <w:r w:rsidR="006B3675">
        <w:t>Cloud Services</w:t>
      </w:r>
      <w:r>
        <w:t>.</w:t>
      </w:r>
    </w:p>
    <w:p w14:paraId="634DD8F2" w14:textId="77777777" w:rsidR="00957544" w:rsidRDefault="00957544" w:rsidP="00957544"/>
    <w:p w14:paraId="15E70469" w14:textId="0054294B" w:rsidR="00957544" w:rsidRPr="00A30C14" w:rsidRDefault="008807B3" w:rsidP="00957544">
      <w:pPr>
        <w:rPr>
          <w:b/>
        </w:rPr>
      </w:pPr>
      <w:r>
        <w:rPr>
          <w:b/>
        </w:rPr>
        <w:t>Eric Moana</w:t>
      </w:r>
      <w:r w:rsidR="00957544" w:rsidRPr="00A30C14">
        <w:rPr>
          <w:b/>
        </w:rPr>
        <w:t>, Chief Information Officer</w:t>
      </w:r>
    </w:p>
    <w:p w14:paraId="7F804D8C" w14:textId="77777777" w:rsidR="00C2284E" w:rsidRDefault="00C2284E" w:rsidP="00957544">
      <w:pPr>
        <w:rPr>
          <w:i/>
        </w:rPr>
      </w:pPr>
    </w:p>
    <w:p w14:paraId="61ABDED7" w14:textId="1F57CD08" w:rsidR="00957544" w:rsidRDefault="00957544" w:rsidP="00957544">
      <w:pPr>
        <w:rPr>
          <w:i/>
        </w:rPr>
      </w:pPr>
      <w:r w:rsidRPr="005D71EF">
        <w:rPr>
          <w:i/>
        </w:rPr>
        <w:t>Our increased expansion as a</w:t>
      </w:r>
      <w:r w:rsidR="0097560D">
        <w:rPr>
          <w:i/>
        </w:rPr>
        <w:t>n</w:t>
      </w:r>
      <w:r w:rsidRPr="005D71EF">
        <w:rPr>
          <w:i/>
        </w:rPr>
        <w:t xml:space="preserve"> </w:t>
      </w:r>
      <w:r w:rsidR="00913E0F">
        <w:rPr>
          <w:i/>
        </w:rPr>
        <w:t>organization</w:t>
      </w:r>
      <w:r w:rsidRPr="005D71EF">
        <w:rPr>
          <w:i/>
        </w:rPr>
        <w:t xml:space="preserve"> is key to our continued success.  Our expansion will come in the form of </w:t>
      </w:r>
      <w:r w:rsidR="00577D52">
        <w:rPr>
          <w:i/>
        </w:rPr>
        <w:t>additional service offering</w:t>
      </w:r>
      <w:r w:rsidR="009B738D">
        <w:rPr>
          <w:i/>
        </w:rPr>
        <w:t>s</w:t>
      </w:r>
      <w:r w:rsidR="00092AF5">
        <w:rPr>
          <w:i/>
        </w:rPr>
        <w:t xml:space="preserve"> (both Asset-heavy and Asset-light)</w:t>
      </w:r>
      <w:r w:rsidR="00A164B1">
        <w:rPr>
          <w:i/>
        </w:rPr>
        <w:t xml:space="preserve">, </w:t>
      </w:r>
      <w:r w:rsidR="00E41903">
        <w:rPr>
          <w:i/>
        </w:rPr>
        <w:t xml:space="preserve">entrance into new markets, partnerships with </w:t>
      </w:r>
      <w:r w:rsidR="00D06312">
        <w:rPr>
          <w:i/>
        </w:rPr>
        <w:t>Hyperscale</w:t>
      </w:r>
      <w:r w:rsidR="00265A20">
        <w:rPr>
          <w:i/>
        </w:rPr>
        <w:t xml:space="preserve"> providers (Alibaba Cloud, Azure, AWS, </w:t>
      </w:r>
      <w:proofErr w:type="spellStart"/>
      <w:r w:rsidR="00147A94">
        <w:rPr>
          <w:i/>
        </w:rPr>
        <w:t>etc</w:t>
      </w:r>
      <w:proofErr w:type="spellEnd"/>
      <w:r w:rsidR="00147A94">
        <w:rPr>
          <w:i/>
        </w:rPr>
        <w:t xml:space="preserve">…) </w:t>
      </w:r>
    </w:p>
    <w:p w14:paraId="0B0DF748" w14:textId="77777777" w:rsidR="00044A42" w:rsidRDefault="00044A42" w:rsidP="00957544">
      <w:pPr>
        <w:rPr>
          <w:i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952"/>
        <w:gridCol w:w="5945"/>
      </w:tblGrid>
      <w:tr w:rsidR="00EB558B" w14:paraId="0C17444A" w14:textId="77777777" w:rsidTr="00B8570F">
        <w:tc>
          <w:tcPr>
            <w:tcW w:w="2952" w:type="dxa"/>
          </w:tcPr>
          <w:p w14:paraId="7EF8CF62" w14:textId="7AD42384" w:rsidR="00EB558B" w:rsidRDefault="00EB558B" w:rsidP="00957544">
            <w:pPr>
              <w:rPr>
                <w:i/>
              </w:rPr>
            </w:pPr>
            <w:r>
              <w:rPr>
                <w:i/>
              </w:rPr>
              <w:t>Requirement Number</w:t>
            </w:r>
          </w:p>
        </w:tc>
        <w:tc>
          <w:tcPr>
            <w:tcW w:w="5945" w:type="dxa"/>
          </w:tcPr>
          <w:p w14:paraId="2A38EDD2" w14:textId="37637005" w:rsidR="00EB558B" w:rsidRDefault="00EB558B" w:rsidP="00957544">
            <w:pPr>
              <w:rPr>
                <w:i/>
              </w:rPr>
            </w:pPr>
            <w:r>
              <w:rPr>
                <w:i/>
              </w:rPr>
              <w:t>Requirement</w:t>
            </w:r>
          </w:p>
        </w:tc>
      </w:tr>
      <w:tr w:rsidR="00EB558B" w14:paraId="3E656AE2" w14:textId="77777777" w:rsidTr="00B8570F">
        <w:tc>
          <w:tcPr>
            <w:tcW w:w="2952" w:type="dxa"/>
          </w:tcPr>
          <w:p w14:paraId="73A37B35" w14:textId="6B1F3D3C" w:rsidR="00EB558B" w:rsidRDefault="00EB558B" w:rsidP="00957544">
            <w:pPr>
              <w:rPr>
                <w:i/>
              </w:rPr>
            </w:pPr>
            <w:r>
              <w:rPr>
                <w:i/>
              </w:rPr>
              <w:t>Requirement 1</w:t>
            </w:r>
          </w:p>
        </w:tc>
        <w:tc>
          <w:tcPr>
            <w:tcW w:w="5945" w:type="dxa"/>
          </w:tcPr>
          <w:p w14:paraId="61BAA686" w14:textId="77202F51" w:rsidR="00EB558B" w:rsidRDefault="00EB558B" w:rsidP="00957544">
            <w:pPr>
              <w:rPr>
                <w:i/>
              </w:rPr>
            </w:pPr>
            <w:r>
              <w:rPr>
                <w:i/>
              </w:rPr>
              <w:t xml:space="preserve">Security is paramount. We need to protect our </w:t>
            </w:r>
            <w:r w:rsidR="00B22F6D">
              <w:rPr>
                <w:i/>
              </w:rPr>
              <w:t>tenants</w:t>
            </w:r>
            <w:r w:rsidR="00CE77CB">
              <w:rPr>
                <w:i/>
              </w:rPr>
              <w:t>’</w:t>
            </w:r>
            <w:r w:rsidR="00B22F6D">
              <w:rPr>
                <w:i/>
              </w:rPr>
              <w:t xml:space="preserve"> </w:t>
            </w:r>
            <w:r w:rsidR="00147A94">
              <w:rPr>
                <w:i/>
              </w:rPr>
              <w:t>application</w:t>
            </w:r>
            <w:r w:rsidR="00CE77CB">
              <w:rPr>
                <w:i/>
              </w:rPr>
              <w:t>s</w:t>
            </w:r>
            <w:r>
              <w:rPr>
                <w:i/>
              </w:rPr>
              <w:t xml:space="preserve"> from internal and external threats.</w:t>
            </w:r>
          </w:p>
        </w:tc>
      </w:tr>
      <w:tr w:rsidR="00EB558B" w14:paraId="63C5902E" w14:textId="77777777" w:rsidTr="00B8570F">
        <w:tc>
          <w:tcPr>
            <w:tcW w:w="2952" w:type="dxa"/>
          </w:tcPr>
          <w:p w14:paraId="53C2264F" w14:textId="1F3EFBE1" w:rsidR="00EB558B" w:rsidRDefault="00EB558B" w:rsidP="00957544">
            <w:pPr>
              <w:rPr>
                <w:i/>
              </w:rPr>
            </w:pPr>
            <w:r>
              <w:rPr>
                <w:i/>
              </w:rPr>
              <w:t>Requirement 2</w:t>
            </w:r>
          </w:p>
        </w:tc>
        <w:tc>
          <w:tcPr>
            <w:tcW w:w="5945" w:type="dxa"/>
          </w:tcPr>
          <w:p w14:paraId="5A44861B" w14:textId="0A5B1BAA" w:rsidR="00EB558B" w:rsidRDefault="00883C3D" w:rsidP="00957544">
            <w:pPr>
              <w:rPr>
                <w:i/>
              </w:rPr>
            </w:pPr>
            <w:r>
              <w:rPr>
                <w:i/>
              </w:rPr>
              <w:t>The solution must scale beyond 1500 tenants</w:t>
            </w:r>
          </w:p>
        </w:tc>
      </w:tr>
      <w:tr w:rsidR="00645398" w14:paraId="2C4796C6" w14:textId="77777777" w:rsidTr="00B8570F">
        <w:tc>
          <w:tcPr>
            <w:tcW w:w="2952" w:type="dxa"/>
          </w:tcPr>
          <w:p w14:paraId="1DA26325" w14:textId="3057A46D" w:rsidR="00645398" w:rsidRDefault="00645398" w:rsidP="00957544">
            <w:pPr>
              <w:rPr>
                <w:i/>
              </w:rPr>
            </w:pPr>
            <w:r>
              <w:rPr>
                <w:i/>
              </w:rPr>
              <w:t>Requirement 3</w:t>
            </w:r>
          </w:p>
        </w:tc>
        <w:tc>
          <w:tcPr>
            <w:tcW w:w="5945" w:type="dxa"/>
          </w:tcPr>
          <w:p w14:paraId="79C24114" w14:textId="6C9FDA46" w:rsidR="00645398" w:rsidRDefault="006B7C99" w:rsidP="00957544">
            <w:pPr>
              <w:rPr>
                <w:i/>
              </w:rPr>
            </w:pPr>
            <w:r>
              <w:rPr>
                <w:i/>
              </w:rPr>
              <w:t xml:space="preserve">We must be able to provide integration with </w:t>
            </w:r>
            <w:r w:rsidR="00F0782E">
              <w:rPr>
                <w:i/>
              </w:rPr>
              <w:t>external security solutions for some of our tenants (Palo Alto, etc..)</w:t>
            </w:r>
          </w:p>
        </w:tc>
      </w:tr>
      <w:tr w:rsidR="00EB558B" w14:paraId="68355352" w14:textId="77777777" w:rsidTr="00B8570F">
        <w:tc>
          <w:tcPr>
            <w:tcW w:w="2952" w:type="dxa"/>
          </w:tcPr>
          <w:p w14:paraId="2D3928C7" w14:textId="56880722" w:rsidR="00EB558B" w:rsidRDefault="00645398" w:rsidP="00957544">
            <w:pPr>
              <w:rPr>
                <w:i/>
              </w:rPr>
            </w:pPr>
            <w:r>
              <w:rPr>
                <w:i/>
              </w:rPr>
              <w:t>Requirement 4</w:t>
            </w:r>
          </w:p>
        </w:tc>
        <w:tc>
          <w:tcPr>
            <w:tcW w:w="5945" w:type="dxa"/>
          </w:tcPr>
          <w:p w14:paraId="04DE1BA2" w14:textId="7BDA4FC3" w:rsidR="00EB558B" w:rsidRDefault="00733095" w:rsidP="00957544">
            <w:pPr>
              <w:rPr>
                <w:i/>
              </w:rPr>
            </w:pPr>
            <w:r>
              <w:rPr>
                <w:i/>
              </w:rPr>
              <w:t xml:space="preserve">Tenants Should only have access and visibility to their applications </w:t>
            </w:r>
            <w:r w:rsidR="00F66D4D">
              <w:rPr>
                <w:i/>
              </w:rPr>
              <w:t>and self-servi</w:t>
            </w:r>
            <w:r w:rsidR="0093463C">
              <w:rPr>
                <w:i/>
              </w:rPr>
              <w:t xml:space="preserve">ce provisioning and management, where necessary, but </w:t>
            </w:r>
            <w:r w:rsidR="00F87271">
              <w:rPr>
                <w:i/>
              </w:rPr>
              <w:t>not to those of other tenants</w:t>
            </w:r>
            <w:r w:rsidR="005516E3">
              <w:rPr>
                <w:i/>
              </w:rPr>
              <w:t>.</w:t>
            </w:r>
          </w:p>
        </w:tc>
      </w:tr>
      <w:tr w:rsidR="00EB558B" w14:paraId="260A4D0F" w14:textId="77777777" w:rsidTr="00B8570F">
        <w:tc>
          <w:tcPr>
            <w:tcW w:w="2952" w:type="dxa"/>
          </w:tcPr>
          <w:p w14:paraId="60CA5DF5" w14:textId="304CE02F" w:rsidR="00EB558B" w:rsidRDefault="00EB558B" w:rsidP="00957544">
            <w:pPr>
              <w:rPr>
                <w:i/>
              </w:rPr>
            </w:pPr>
            <w:r>
              <w:rPr>
                <w:i/>
              </w:rPr>
              <w:t xml:space="preserve">Requirement </w:t>
            </w:r>
            <w:r w:rsidR="00645398">
              <w:rPr>
                <w:i/>
              </w:rPr>
              <w:t>5</w:t>
            </w:r>
          </w:p>
        </w:tc>
        <w:tc>
          <w:tcPr>
            <w:tcW w:w="5945" w:type="dxa"/>
          </w:tcPr>
          <w:p w14:paraId="4E8372CB" w14:textId="7B32C9FB" w:rsidR="00EB558B" w:rsidRDefault="00EB558B" w:rsidP="00957544">
            <w:pPr>
              <w:rPr>
                <w:i/>
              </w:rPr>
            </w:pPr>
            <w:r>
              <w:rPr>
                <w:i/>
              </w:rPr>
              <w:t>Adhere to regulatory compliance</w:t>
            </w:r>
            <w:r w:rsidR="00B0108B">
              <w:rPr>
                <w:i/>
              </w:rPr>
              <w:t xml:space="preserve"> </w:t>
            </w:r>
            <w:r w:rsidR="0036637C">
              <w:rPr>
                <w:i/>
              </w:rPr>
              <w:t xml:space="preserve">in the markets </w:t>
            </w:r>
            <w:r w:rsidR="00A63670">
              <w:rPr>
                <w:i/>
              </w:rPr>
              <w:t xml:space="preserve">we provide services </w:t>
            </w:r>
            <w:r w:rsidR="0036637C">
              <w:rPr>
                <w:i/>
              </w:rPr>
              <w:t xml:space="preserve">and for the verticals we serve. </w:t>
            </w:r>
          </w:p>
        </w:tc>
      </w:tr>
    </w:tbl>
    <w:p w14:paraId="31D4302B" w14:textId="77777777" w:rsidR="00044A42" w:rsidRDefault="00044A42" w:rsidP="00957544">
      <w:pPr>
        <w:rPr>
          <w:i/>
        </w:rPr>
      </w:pPr>
    </w:p>
    <w:p w14:paraId="27D75558" w14:textId="77777777" w:rsidR="00957544" w:rsidRDefault="00957544" w:rsidP="00957544">
      <w:pPr>
        <w:rPr>
          <w:i/>
        </w:rPr>
      </w:pPr>
    </w:p>
    <w:p w14:paraId="0AF1CA84" w14:textId="77777777" w:rsidR="00957544" w:rsidRPr="00CF0CAD" w:rsidRDefault="00957544" w:rsidP="00957544">
      <w:pPr>
        <w:rPr>
          <w:i/>
          <w:color w:val="C0504D" w:themeColor="accent2"/>
        </w:rPr>
      </w:pPr>
    </w:p>
    <w:p w14:paraId="7FD2541E" w14:textId="70A26AC0" w:rsidR="00957544" w:rsidRPr="000F7387" w:rsidRDefault="009719A1" w:rsidP="00957544">
      <w:pPr>
        <w:rPr>
          <w:b/>
        </w:rPr>
      </w:pPr>
      <w:r>
        <w:rPr>
          <w:b/>
        </w:rPr>
        <w:t xml:space="preserve">Ava </w:t>
      </w:r>
      <w:proofErr w:type="spellStart"/>
      <w:r>
        <w:rPr>
          <w:b/>
        </w:rPr>
        <w:t>Masango</w:t>
      </w:r>
      <w:proofErr w:type="spellEnd"/>
      <w:r w:rsidR="0078142E" w:rsidRPr="000F7387">
        <w:rPr>
          <w:b/>
        </w:rPr>
        <w:t>, IT Director</w:t>
      </w:r>
    </w:p>
    <w:p w14:paraId="7D4AF6E1" w14:textId="77777777" w:rsidR="00817FB5" w:rsidRPr="000F7387" w:rsidRDefault="00817FB5" w:rsidP="00957544">
      <w:pPr>
        <w:rPr>
          <w:i/>
        </w:rPr>
      </w:pPr>
    </w:p>
    <w:p w14:paraId="42F2087F" w14:textId="4D675D9C" w:rsidR="00957544" w:rsidRDefault="00957544" w:rsidP="00957544">
      <w:pPr>
        <w:rPr>
          <w:i/>
        </w:rPr>
      </w:pPr>
      <w:r w:rsidRPr="000F7387">
        <w:rPr>
          <w:i/>
        </w:rPr>
        <w:t xml:space="preserve">As we continue to grow our company and subsequently our IT infrastructure </w:t>
      </w:r>
      <w:r w:rsidR="00A60EB3">
        <w:rPr>
          <w:i/>
        </w:rPr>
        <w:t xml:space="preserve">by expanding our existing footprint and </w:t>
      </w:r>
      <w:r w:rsidR="006850B6">
        <w:rPr>
          <w:i/>
        </w:rPr>
        <w:t>entry into new markets</w:t>
      </w:r>
      <w:r w:rsidR="0029194A">
        <w:rPr>
          <w:i/>
        </w:rPr>
        <w:t>,</w:t>
      </w:r>
      <w:r w:rsidR="006850B6">
        <w:rPr>
          <w:i/>
        </w:rPr>
        <w:t xml:space="preserve"> </w:t>
      </w:r>
      <w:r w:rsidR="007E45AB">
        <w:rPr>
          <w:i/>
        </w:rPr>
        <w:t>we must</w:t>
      </w:r>
      <w:r w:rsidRPr="000F7387">
        <w:rPr>
          <w:i/>
        </w:rPr>
        <w:t xml:space="preserve"> keep our operations as centralized as possible.  </w:t>
      </w:r>
      <w:r w:rsidR="0078142E" w:rsidRPr="000F7387">
        <w:rPr>
          <w:i/>
        </w:rPr>
        <w:t xml:space="preserve">We use physical devices to provide network and security services. As we grow, we need to </w:t>
      </w:r>
      <w:r w:rsidR="00B62475">
        <w:rPr>
          <w:i/>
        </w:rPr>
        <w:t xml:space="preserve">make better use of the VMware Cloud Provider Pod stack and move to </w:t>
      </w:r>
      <w:r w:rsidR="007411BC">
        <w:rPr>
          <w:i/>
        </w:rPr>
        <w:t>a complete SDDC, providing us the agility</w:t>
      </w:r>
      <w:r w:rsidR="008B53B0">
        <w:rPr>
          <w:i/>
        </w:rPr>
        <w:t xml:space="preserve"> in </w:t>
      </w:r>
      <w:r w:rsidR="008A3D2C">
        <w:rPr>
          <w:i/>
        </w:rPr>
        <w:t xml:space="preserve">Tenant onboarding and </w:t>
      </w:r>
      <w:r w:rsidR="00F93A50">
        <w:rPr>
          <w:i/>
        </w:rPr>
        <w:t>management</w:t>
      </w:r>
      <w:r w:rsidR="001914F2">
        <w:rPr>
          <w:i/>
        </w:rPr>
        <w:t xml:space="preserve">. </w:t>
      </w:r>
      <w:r w:rsidR="009E39B9">
        <w:rPr>
          <w:i/>
        </w:rPr>
        <w:t xml:space="preserve">We also want to take advantage of </w:t>
      </w:r>
      <w:r w:rsidR="00F7606C">
        <w:rPr>
          <w:i/>
        </w:rPr>
        <w:t>easy service mon</w:t>
      </w:r>
      <w:r w:rsidR="0077584C">
        <w:rPr>
          <w:i/>
        </w:rPr>
        <w:t xml:space="preserve">etization </w:t>
      </w:r>
      <w:r w:rsidR="00FC61BD">
        <w:rPr>
          <w:i/>
        </w:rPr>
        <w:t>and 3</w:t>
      </w:r>
      <w:r w:rsidR="00FC61BD" w:rsidRPr="00FC61BD">
        <w:rPr>
          <w:i/>
          <w:vertAlign w:val="superscript"/>
        </w:rPr>
        <w:t>rd</w:t>
      </w:r>
      <w:r w:rsidR="00FC61BD">
        <w:rPr>
          <w:i/>
        </w:rPr>
        <w:t xml:space="preserve"> party integration</w:t>
      </w:r>
      <w:r w:rsidR="00194582">
        <w:rPr>
          <w:i/>
        </w:rPr>
        <w:t xml:space="preserve">. </w:t>
      </w:r>
    </w:p>
    <w:p w14:paraId="26E716FC" w14:textId="0A699206" w:rsidR="00194582" w:rsidRDefault="00194582" w:rsidP="00957544">
      <w:pPr>
        <w:rPr>
          <w:i/>
        </w:rPr>
      </w:pPr>
    </w:p>
    <w:p w14:paraId="0F13A6CE" w14:textId="39F28EEA" w:rsidR="00194582" w:rsidRPr="000F7387" w:rsidRDefault="00194582" w:rsidP="00957544">
      <w:pPr>
        <w:rPr>
          <w:i/>
        </w:rPr>
      </w:pPr>
      <w:proofErr w:type="gramStart"/>
      <w:r>
        <w:rPr>
          <w:i/>
        </w:rPr>
        <w:t>The majority of</w:t>
      </w:r>
      <w:proofErr w:type="gramEnd"/>
      <w:r>
        <w:rPr>
          <w:i/>
        </w:rPr>
        <w:t xml:space="preserve"> our customers use our Shared </w:t>
      </w:r>
      <w:r w:rsidR="003D1505">
        <w:rPr>
          <w:i/>
        </w:rPr>
        <w:t>IaaS. Only a handful have a Dedicated IaaS</w:t>
      </w:r>
      <w:r w:rsidR="009E1A91">
        <w:rPr>
          <w:i/>
        </w:rPr>
        <w:t>. Some customers have workloads running in both th</w:t>
      </w:r>
      <w:r w:rsidR="00904913">
        <w:rPr>
          <w:i/>
        </w:rPr>
        <w:t xml:space="preserve">e Shared IaaS and Dedicated IaaS. </w:t>
      </w:r>
    </w:p>
    <w:p w14:paraId="5A3CC4E1" w14:textId="77777777" w:rsidR="00957544" w:rsidRPr="000F7387" w:rsidRDefault="00957544" w:rsidP="00957544">
      <w:pPr>
        <w:rPr>
          <w:i/>
        </w:rPr>
      </w:pPr>
    </w:p>
    <w:p w14:paraId="5FF22217" w14:textId="77777777" w:rsidR="00957544" w:rsidRDefault="00957544" w:rsidP="00957544">
      <w:pPr>
        <w:rPr>
          <w:i/>
          <w:color w:val="C0504D" w:themeColor="accent2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952"/>
        <w:gridCol w:w="5945"/>
      </w:tblGrid>
      <w:tr w:rsidR="00EB558B" w14:paraId="6623E8BC" w14:textId="77777777" w:rsidTr="00B8570F">
        <w:tc>
          <w:tcPr>
            <w:tcW w:w="2952" w:type="dxa"/>
          </w:tcPr>
          <w:p w14:paraId="35300E60" w14:textId="49E739CD" w:rsidR="00EB558B" w:rsidRPr="0043359D" w:rsidRDefault="00EB558B" w:rsidP="00957544">
            <w:pPr>
              <w:rPr>
                <w:i/>
              </w:rPr>
            </w:pPr>
            <w:r>
              <w:rPr>
                <w:i/>
              </w:rPr>
              <w:lastRenderedPageBreak/>
              <w:t xml:space="preserve">Requirement </w:t>
            </w:r>
            <w:r w:rsidR="0030283C">
              <w:rPr>
                <w:i/>
              </w:rPr>
              <w:t>6</w:t>
            </w:r>
          </w:p>
        </w:tc>
        <w:tc>
          <w:tcPr>
            <w:tcW w:w="5945" w:type="dxa"/>
          </w:tcPr>
          <w:p w14:paraId="0FA442D5" w14:textId="2B00063E" w:rsidR="00EB558B" w:rsidRPr="0043359D" w:rsidRDefault="00EB558B" w:rsidP="00957544">
            <w:pPr>
              <w:rPr>
                <w:i/>
              </w:rPr>
            </w:pPr>
            <w:r>
              <w:rPr>
                <w:i/>
              </w:rPr>
              <w:t>Centralized Management is mandatory. The existing physical security mechanism is no longer scalable.</w:t>
            </w:r>
          </w:p>
        </w:tc>
      </w:tr>
      <w:tr w:rsidR="00EB558B" w14:paraId="15F7AB60" w14:textId="77777777" w:rsidTr="00B8570F">
        <w:tc>
          <w:tcPr>
            <w:tcW w:w="2952" w:type="dxa"/>
          </w:tcPr>
          <w:p w14:paraId="0AA46631" w14:textId="3311870E" w:rsidR="00EB558B" w:rsidRPr="0043359D" w:rsidRDefault="00EB558B" w:rsidP="00957544">
            <w:pPr>
              <w:rPr>
                <w:i/>
              </w:rPr>
            </w:pPr>
            <w:r w:rsidRPr="0043359D">
              <w:rPr>
                <w:i/>
              </w:rPr>
              <w:t xml:space="preserve">Requirement </w:t>
            </w:r>
            <w:r w:rsidR="0030283C">
              <w:rPr>
                <w:i/>
              </w:rPr>
              <w:t>7</w:t>
            </w:r>
          </w:p>
        </w:tc>
        <w:tc>
          <w:tcPr>
            <w:tcW w:w="5945" w:type="dxa"/>
          </w:tcPr>
          <w:p w14:paraId="5FF11CDF" w14:textId="300C9131" w:rsidR="00EB558B" w:rsidRPr="0043359D" w:rsidRDefault="00C31CCF" w:rsidP="00957544">
            <w:pPr>
              <w:rPr>
                <w:i/>
              </w:rPr>
            </w:pPr>
            <w:r>
              <w:rPr>
                <w:i/>
              </w:rPr>
              <w:t>For some of our customers with compliance requi</w:t>
            </w:r>
            <w:r w:rsidR="00265E60">
              <w:rPr>
                <w:i/>
              </w:rPr>
              <w:t>rements</w:t>
            </w:r>
            <w:r w:rsidR="00A036B3">
              <w:rPr>
                <w:i/>
              </w:rPr>
              <w:t>,</w:t>
            </w:r>
            <w:r w:rsidR="00265E60">
              <w:rPr>
                <w:i/>
              </w:rPr>
              <w:t xml:space="preserve"> we need to provide security via 3</w:t>
            </w:r>
            <w:r w:rsidR="00265E60" w:rsidRPr="00265E60">
              <w:rPr>
                <w:i/>
                <w:vertAlign w:val="superscript"/>
              </w:rPr>
              <w:t>rd</w:t>
            </w:r>
            <w:r w:rsidR="00265E60">
              <w:rPr>
                <w:i/>
              </w:rPr>
              <w:t xml:space="preserve"> party appliances</w:t>
            </w:r>
            <w:r w:rsidR="001D0D3D">
              <w:rPr>
                <w:i/>
              </w:rPr>
              <w:t>. We also need to provide endpoint protection</w:t>
            </w:r>
            <w:r w:rsidR="00143E5B">
              <w:rPr>
                <w:i/>
              </w:rPr>
              <w:t xml:space="preserve"> for these tenants</w:t>
            </w:r>
          </w:p>
        </w:tc>
      </w:tr>
      <w:tr w:rsidR="00EB558B" w14:paraId="38AF3798" w14:textId="77777777" w:rsidTr="00B8570F">
        <w:tc>
          <w:tcPr>
            <w:tcW w:w="2952" w:type="dxa"/>
          </w:tcPr>
          <w:p w14:paraId="59763BB8" w14:textId="6A45DB47" w:rsidR="00EB558B" w:rsidRPr="0043359D" w:rsidRDefault="00EB558B" w:rsidP="00957544">
            <w:pPr>
              <w:rPr>
                <w:i/>
              </w:rPr>
            </w:pPr>
            <w:r w:rsidRPr="0043359D">
              <w:rPr>
                <w:i/>
              </w:rPr>
              <w:t xml:space="preserve">Requirement </w:t>
            </w:r>
            <w:r w:rsidR="0030283C">
              <w:rPr>
                <w:i/>
              </w:rPr>
              <w:t>8</w:t>
            </w:r>
          </w:p>
        </w:tc>
        <w:tc>
          <w:tcPr>
            <w:tcW w:w="5945" w:type="dxa"/>
          </w:tcPr>
          <w:p w14:paraId="27DDE460" w14:textId="795CC6B2" w:rsidR="00EB558B" w:rsidRPr="0043359D" w:rsidRDefault="00CB1F7F" w:rsidP="00957544">
            <w:pPr>
              <w:rPr>
                <w:i/>
              </w:rPr>
            </w:pPr>
            <w:r>
              <w:rPr>
                <w:i/>
              </w:rPr>
              <w:t>Our data</w:t>
            </w:r>
            <w:r w:rsidR="00405436">
              <w:rPr>
                <w:i/>
              </w:rPr>
              <w:t xml:space="preserve"> </w:t>
            </w:r>
            <w:r>
              <w:rPr>
                <w:i/>
              </w:rPr>
              <w:t xml:space="preserve">center design uses </w:t>
            </w:r>
            <w:r w:rsidR="00405436">
              <w:rPr>
                <w:i/>
              </w:rPr>
              <w:t xml:space="preserve">the </w:t>
            </w:r>
            <w:r>
              <w:rPr>
                <w:i/>
              </w:rPr>
              <w:t>avai</w:t>
            </w:r>
            <w:r w:rsidR="004C72A9">
              <w:rPr>
                <w:i/>
              </w:rPr>
              <w:t>lability zone model</w:t>
            </w:r>
            <w:r w:rsidR="00EB558B">
              <w:rPr>
                <w:i/>
              </w:rPr>
              <w:t>.</w:t>
            </w:r>
            <w:r w:rsidR="004C72A9">
              <w:rPr>
                <w:i/>
              </w:rPr>
              <w:t xml:space="preserve"> In each city where we provide </w:t>
            </w:r>
            <w:r w:rsidR="00A64754">
              <w:rPr>
                <w:i/>
              </w:rPr>
              <w:t>services,</w:t>
            </w:r>
            <w:r w:rsidR="004C72A9">
              <w:rPr>
                <w:i/>
              </w:rPr>
              <w:t xml:space="preserve"> we have 2 or more da</w:t>
            </w:r>
            <w:r w:rsidR="002B3811">
              <w:rPr>
                <w:i/>
              </w:rPr>
              <w:t>ta centers within a 10</w:t>
            </w:r>
            <w:r w:rsidR="00405436">
              <w:rPr>
                <w:i/>
              </w:rPr>
              <w:t>-</w:t>
            </w:r>
            <w:r w:rsidR="002B3811">
              <w:rPr>
                <w:i/>
              </w:rPr>
              <w:t xml:space="preserve">mile radius to account for site failures. </w:t>
            </w:r>
            <w:r w:rsidR="00EC0AE1">
              <w:rPr>
                <w:i/>
              </w:rPr>
              <w:t xml:space="preserve">The solution should allow for </w:t>
            </w:r>
            <w:r w:rsidR="005E0C41">
              <w:rPr>
                <w:i/>
              </w:rPr>
              <w:t xml:space="preserve">streamline mobility of tenant workloads </w:t>
            </w:r>
            <w:r w:rsidR="00EC7570">
              <w:rPr>
                <w:i/>
              </w:rPr>
              <w:t>without the need to reconfigure networking or security policies</w:t>
            </w:r>
          </w:p>
        </w:tc>
      </w:tr>
      <w:tr w:rsidR="00EB558B" w14:paraId="2E4DBE41" w14:textId="77777777" w:rsidTr="00B8570F">
        <w:tc>
          <w:tcPr>
            <w:tcW w:w="2952" w:type="dxa"/>
          </w:tcPr>
          <w:p w14:paraId="34F4958A" w14:textId="5844CEB4" w:rsidR="00EB558B" w:rsidRPr="0043359D" w:rsidRDefault="00EB558B" w:rsidP="00957544">
            <w:pPr>
              <w:rPr>
                <w:i/>
              </w:rPr>
            </w:pPr>
            <w:r w:rsidRPr="0043359D">
              <w:rPr>
                <w:i/>
              </w:rPr>
              <w:t xml:space="preserve">Requirement </w:t>
            </w:r>
            <w:r w:rsidR="0030283C">
              <w:rPr>
                <w:i/>
              </w:rPr>
              <w:t>9</w:t>
            </w:r>
          </w:p>
        </w:tc>
        <w:tc>
          <w:tcPr>
            <w:tcW w:w="5945" w:type="dxa"/>
          </w:tcPr>
          <w:p w14:paraId="2619A860" w14:textId="5AF7ECEF" w:rsidR="00EB558B" w:rsidRPr="0043359D" w:rsidRDefault="00EB558B" w:rsidP="00957544">
            <w:pPr>
              <w:rPr>
                <w:i/>
              </w:rPr>
            </w:pPr>
            <w:r w:rsidRPr="0043359D">
              <w:rPr>
                <w:i/>
              </w:rPr>
              <w:t>Reduce dependence on physical security appliances</w:t>
            </w:r>
            <w:r>
              <w:rPr>
                <w:i/>
              </w:rPr>
              <w:t>.</w:t>
            </w:r>
            <w:r w:rsidR="006025F9">
              <w:rPr>
                <w:i/>
              </w:rPr>
              <w:t xml:space="preserve"> Most network and security services should be deployed through software.</w:t>
            </w:r>
          </w:p>
        </w:tc>
      </w:tr>
      <w:tr w:rsidR="00EB558B" w14:paraId="1A58B733" w14:textId="77777777" w:rsidTr="00B8570F">
        <w:tc>
          <w:tcPr>
            <w:tcW w:w="2952" w:type="dxa"/>
          </w:tcPr>
          <w:p w14:paraId="77888ED7" w14:textId="1B13A890" w:rsidR="00EB558B" w:rsidRPr="0043359D" w:rsidRDefault="00EB558B" w:rsidP="00957544">
            <w:pPr>
              <w:rPr>
                <w:i/>
              </w:rPr>
            </w:pPr>
            <w:r w:rsidRPr="0043359D">
              <w:rPr>
                <w:i/>
              </w:rPr>
              <w:t xml:space="preserve">Requirement </w:t>
            </w:r>
            <w:r w:rsidR="0030283C">
              <w:rPr>
                <w:i/>
              </w:rPr>
              <w:t>10</w:t>
            </w:r>
          </w:p>
        </w:tc>
        <w:tc>
          <w:tcPr>
            <w:tcW w:w="5945" w:type="dxa"/>
          </w:tcPr>
          <w:p w14:paraId="4CDCB608" w14:textId="66A47753" w:rsidR="00EB558B" w:rsidRPr="0043359D" w:rsidRDefault="00EB558B" w:rsidP="00957544">
            <w:pPr>
              <w:rPr>
                <w:i/>
              </w:rPr>
            </w:pPr>
            <w:r w:rsidRPr="0043359D">
              <w:rPr>
                <w:i/>
              </w:rPr>
              <w:t>Possible 3</w:t>
            </w:r>
            <w:r w:rsidRPr="0043359D">
              <w:rPr>
                <w:i/>
                <w:vertAlign w:val="superscript"/>
              </w:rPr>
              <w:t>rd</w:t>
            </w:r>
            <w:r w:rsidRPr="0043359D">
              <w:rPr>
                <w:i/>
              </w:rPr>
              <w:t xml:space="preserve"> party integration</w:t>
            </w:r>
            <w:r w:rsidR="00F03579">
              <w:rPr>
                <w:i/>
              </w:rPr>
              <w:t>.</w:t>
            </w:r>
            <w:r w:rsidR="00EA36CD">
              <w:rPr>
                <w:i/>
              </w:rPr>
              <w:t xml:space="preserve"> The security policies leveraged should be easily modifiable to seamlessly integrate 3</w:t>
            </w:r>
            <w:r w:rsidR="00EA36CD" w:rsidRPr="00EA36CD">
              <w:rPr>
                <w:i/>
                <w:vertAlign w:val="superscript"/>
              </w:rPr>
              <w:t>rd</w:t>
            </w:r>
            <w:r w:rsidR="00EA36CD">
              <w:rPr>
                <w:i/>
              </w:rPr>
              <w:t xml:space="preserve"> party product</w:t>
            </w:r>
            <w:r w:rsidR="00BE4AE5">
              <w:rPr>
                <w:i/>
              </w:rPr>
              <w:t>s</w:t>
            </w:r>
            <w:r w:rsidR="00EA36CD">
              <w:rPr>
                <w:i/>
              </w:rPr>
              <w:t>.</w:t>
            </w:r>
            <w:r w:rsidR="00906D70">
              <w:rPr>
                <w:i/>
              </w:rPr>
              <w:t xml:space="preserve"> We need </w:t>
            </w:r>
            <w:r w:rsidR="00831600">
              <w:rPr>
                <w:i/>
              </w:rPr>
              <w:t>t</w:t>
            </w:r>
            <w:r w:rsidR="00132B7C">
              <w:rPr>
                <w:i/>
              </w:rPr>
              <w:t>he</w:t>
            </w:r>
            <w:r w:rsidR="00831600">
              <w:rPr>
                <w:i/>
              </w:rPr>
              <w:t xml:space="preserve"> flexibility to only license and deploy </w:t>
            </w:r>
            <w:r w:rsidR="00EB7C66">
              <w:rPr>
                <w:i/>
              </w:rPr>
              <w:t>3</w:t>
            </w:r>
            <w:r w:rsidR="00EB7C66" w:rsidRPr="00EB7C66">
              <w:rPr>
                <w:i/>
                <w:vertAlign w:val="superscript"/>
              </w:rPr>
              <w:t>rd</w:t>
            </w:r>
            <w:r w:rsidR="00EB7C66">
              <w:rPr>
                <w:i/>
              </w:rPr>
              <w:t xml:space="preserve"> party </w:t>
            </w:r>
            <w:r w:rsidR="00831600">
              <w:rPr>
                <w:i/>
              </w:rPr>
              <w:t>security appliances as needed</w:t>
            </w:r>
            <w:r w:rsidR="00A64754">
              <w:rPr>
                <w:i/>
              </w:rPr>
              <w:t xml:space="preserve">. </w:t>
            </w:r>
          </w:p>
        </w:tc>
      </w:tr>
      <w:tr w:rsidR="00EB558B" w14:paraId="3A316ED3" w14:textId="77777777" w:rsidTr="00B8570F">
        <w:tc>
          <w:tcPr>
            <w:tcW w:w="2952" w:type="dxa"/>
          </w:tcPr>
          <w:p w14:paraId="5878E356" w14:textId="2D51AB05" w:rsidR="00EB558B" w:rsidRPr="0043359D" w:rsidRDefault="00EB558B" w:rsidP="00957544">
            <w:pPr>
              <w:rPr>
                <w:i/>
              </w:rPr>
            </w:pPr>
            <w:r w:rsidRPr="0043359D">
              <w:rPr>
                <w:i/>
              </w:rPr>
              <w:t>Requirement 1</w:t>
            </w:r>
            <w:r w:rsidR="0030283C">
              <w:rPr>
                <w:i/>
              </w:rPr>
              <w:t>1</w:t>
            </w:r>
          </w:p>
        </w:tc>
        <w:tc>
          <w:tcPr>
            <w:tcW w:w="5945" w:type="dxa"/>
          </w:tcPr>
          <w:p w14:paraId="30B642D8" w14:textId="48F3292B" w:rsidR="00EB558B" w:rsidRPr="0043359D" w:rsidRDefault="0063780F" w:rsidP="00957544">
            <w:pPr>
              <w:rPr>
                <w:i/>
              </w:rPr>
            </w:pPr>
            <w:r>
              <w:rPr>
                <w:i/>
              </w:rPr>
              <w:t xml:space="preserve">All tenants will </w:t>
            </w:r>
            <w:r w:rsidR="00450F3F">
              <w:rPr>
                <w:i/>
              </w:rPr>
              <w:t>require access to shared services we provide</w:t>
            </w:r>
            <w:r w:rsidR="002643FB">
              <w:rPr>
                <w:i/>
              </w:rPr>
              <w:t xml:space="preserve"> (</w:t>
            </w:r>
            <w:r w:rsidR="002D53FA">
              <w:rPr>
                <w:i/>
              </w:rPr>
              <w:t>AD, DNS, NTP</w:t>
            </w:r>
            <w:r w:rsidR="00B87DF1">
              <w:rPr>
                <w:i/>
              </w:rPr>
              <w:t>)</w:t>
            </w:r>
          </w:p>
        </w:tc>
      </w:tr>
      <w:tr w:rsidR="00645398" w14:paraId="33C099AE" w14:textId="77777777" w:rsidTr="00B8570F">
        <w:tc>
          <w:tcPr>
            <w:tcW w:w="2952" w:type="dxa"/>
          </w:tcPr>
          <w:p w14:paraId="092EF320" w14:textId="649BCB35" w:rsidR="00645398" w:rsidRPr="0043359D" w:rsidRDefault="00645398" w:rsidP="00957544">
            <w:pPr>
              <w:rPr>
                <w:i/>
              </w:rPr>
            </w:pPr>
            <w:r>
              <w:rPr>
                <w:i/>
              </w:rPr>
              <w:t>Requirement 1</w:t>
            </w:r>
            <w:r w:rsidR="0030283C">
              <w:rPr>
                <w:i/>
              </w:rPr>
              <w:t>2</w:t>
            </w:r>
          </w:p>
        </w:tc>
        <w:tc>
          <w:tcPr>
            <w:tcW w:w="5945" w:type="dxa"/>
          </w:tcPr>
          <w:p w14:paraId="6931BA2F" w14:textId="46195807" w:rsidR="00645398" w:rsidRDefault="00B87DF1" w:rsidP="00957544">
            <w:pPr>
              <w:rPr>
                <w:i/>
              </w:rPr>
            </w:pPr>
            <w:r>
              <w:rPr>
                <w:i/>
              </w:rPr>
              <w:t xml:space="preserve">Shared services must have </w:t>
            </w:r>
            <w:r w:rsidR="001630A2">
              <w:rPr>
                <w:i/>
              </w:rPr>
              <w:t>a 99.9</w:t>
            </w:r>
            <w:r w:rsidR="007A11A3">
              <w:rPr>
                <w:i/>
              </w:rPr>
              <w:t>9</w:t>
            </w:r>
            <w:r w:rsidR="001630A2">
              <w:rPr>
                <w:i/>
              </w:rPr>
              <w:t xml:space="preserve">% uptime </w:t>
            </w:r>
          </w:p>
        </w:tc>
      </w:tr>
      <w:tr w:rsidR="00645398" w14:paraId="77DE3A6C" w14:textId="77777777" w:rsidTr="00B8570F">
        <w:tc>
          <w:tcPr>
            <w:tcW w:w="2952" w:type="dxa"/>
          </w:tcPr>
          <w:p w14:paraId="247FD5FD" w14:textId="0366E490" w:rsidR="00645398" w:rsidRDefault="00645398" w:rsidP="00957544">
            <w:pPr>
              <w:rPr>
                <w:i/>
              </w:rPr>
            </w:pPr>
            <w:r>
              <w:rPr>
                <w:i/>
              </w:rPr>
              <w:t>Requirement 1</w:t>
            </w:r>
            <w:r w:rsidR="0030283C">
              <w:rPr>
                <w:i/>
              </w:rPr>
              <w:t>3</w:t>
            </w:r>
          </w:p>
        </w:tc>
        <w:tc>
          <w:tcPr>
            <w:tcW w:w="5945" w:type="dxa"/>
          </w:tcPr>
          <w:p w14:paraId="57411C0E" w14:textId="5227D7CB" w:rsidR="00645398" w:rsidRDefault="00915F59" w:rsidP="00957544">
            <w:pPr>
              <w:rPr>
                <w:i/>
              </w:rPr>
            </w:pPr>
            <w:r>
              <w:rPr>
                <w:i/>
              </w:rPr>
              <w:t>The s</w:t>
            </w:r>
            <w:r w:rsidR="00645398">
              <w:rPr>
                <w:i/>
              </w:rPr>
              <w:t>ecurity Posture of all workloads must remain consistent even as the move from site to site. This must happen without</w:t>
            </w:r>
            <w:r w:rsidR="007E1520">
              <w:rPr>
                <w:i/>
              </w:rPr>
              <w:t xml:space="preserve"> any</w:t>
            </w:r>
            <w:r w:rsidR="00645398">
              <w:rPr>
                <w:i/>
              </w:rPr>
              <w:t xml:space="preserve"> </w:t>
            </w:r>
            <w:r w:rsidR="00FD0537">
              <w:rPr>
                <w:i/>
              </w:rPr>
              <w:t>additional administrative overhead</w:t>
            </w:r>
          </w:p>
        </w:tc>
      </w:tr>
    </w:tbl>
    <w:p w14:paraId="1630C390" w14:textId="77777777" w:rsidR="0043359D" w:rsidRDefault="0043359D" w:rsidP="00957544">
      <w:pPr>
        <w:rPr>
          <w:i/>
          <w:color w:val="C0504D" w:themeColor="accent2"/>
        </w:rPr>
      </w:pPr>
    </w:p>
    <w:p w14:paraId="67CB32DE" w14:textId="77777777" w:rsidR="0043359D" w:rsidRPr="00CF0CAD" w:rsidRDefault="0043359D" w:rsidP="00957544">
      <w:pPr>
        <w:rPr>
          <w:i/>
          <w:color w:val="C0504D" w:themeColor="accent2"/>
        </w:rPr>
      </w:pPr>
    </w:p>
    <w:p w14:paraId="4250B2DF" w14:textId="05356432" w:rsidR="00957544" w:rsidRPr="0034434F" w:rsidRDefault="00B10147" w:rsidP="00957544">
      <w:pPr>
        <w:rPr>
          <w:b/>
        </w:rPr>
      </w:pPr>
      <w:r>
        <w:rPr>
          <w:b/>
        </w:rPr>
        <w:t>Chaka Kgosi</w:t>
      </w:r>
      <w:r w:rsidR="00651D57">
        <w:rPr>
          <w:b/>
        </w:rPr>
        <w:t xml:space="preserve">, </w:t>
      </w:r>
      <w:r w:rsidR="001B5A2D">
        <w:rPr>
          <w:b/>
        </w:rPr>
        <w:t>Cloud Architect</w:t>
      </w:r>
    </w:p>
    <w:p w14:paraId="097828A9" w14:textId="312FAF16" w:rsidR="00957544" w:rsidRDefault="001656BF" w:rsidP="00957544">
      <w:pPr>
        <w:rPr>
          <w:i/>
        </w:rPr>
      </w:pPr>
      <w:r>
        <w:rPr>
          <w:i/>
        </w:rPr>
        <w:t xml:space="preserve">Our </w:t>
      </w:r>
      <w:r w:rsidR="00FE308C">
        <w:rPr>
          <w:i/>
        </w:rPr>
        <w:t xml:space="preserve">three tiers of compute </w:t>
      </w:r>
      <w:r>
        <w:rPr>
          <w:i/>
        </w:rPr>
        <w:t xml:space="preserve">are </w:t>
      </w:r>
      <w:r w:rsidR="00FE308C">
        <w:rPr>
          <w:i/>
        </w:rPr>
        <w:t xml:space="preserve">organized in </w:t>
      </w:r>
      <w:r w:rsidR="00E40E47">
        <w:rPr>
          <w:i/>
        </w:rPr>
        <w:t>3 different types of clusters</w:t>
      </w:r>
      <w:r w:rsidR="00CE2BCC">
        <w:rPr>
          <w:i/>
        </w:rPr>
        <w:t xml:space="preserve"> tier-1 and tier-2 are </w:t>
      </w:r>
      <w:r w:rsidR="004B2D5C">
        <w:rPr>
          <w:i/>
        </w:rPr>
        <w:t>used in our Shared IaaS solution and tier-3 exist as dedicated clusters per tenant</w:t>
      </w:r>
      <w:r w:rsidR="005F5AB6">
        <w:rPr>
          <w:i/>
        </w:rPr>
        <w:t>. Most of the tenants with workloads in tier</w:t>
      </w:r>
      <w:r w:rsidR="002F62A6">
        <w:rPr>
          <w:i/>
        </w:rPr>
        <w:t>-</w:t>
      </w:r>
      <w:r w:rsidR="005F5AB6">
        <w:rPr>
          <w:i/>
        </w:rPr>
        <w:t xml:space="preserve">3 </w:t>
      </w:r>
      <w:r w:rsidR="00E0130B">
        <w:rPr>
          <w:i/>
        </w:rPr>
        <w:t>need to consume external (non-</w:t>
      </w:r>
      <w:proofErr w:type="spellStart"/>
      <w:r w:rsidR="00E0130B">
        <w:rPr>
          <w:i/>
        </w:rPr>
        <w:t>ns</w:t>
      </w:r>
      <w:r w:rsidR="00BB5D50">
        <w:rPr>
          <w:i/>
        </w:rPr>
        <w:t>x</w:t>
      </w:r>
      <w:proofErr w:type="spellEnd"/>
      <w:r w:rsidR="00BB5D50">
        <w:rPr>
          <w:i/>
        </w:rPr>
        <w:t xml:space="preserve"> native) security services (IDS/IPS, </w:t>
      </w:r>
      <w:r w:rsidR="00631EFC">
        <w:rPr>
          <w:i/>
        </w:rPr>
        <w:t xml:space="preserve">Advanced </w:t>
      </w:r>
      <w:r w:rsidR="00BB5D50">
        <w:rPr>
          <w:i/>
        </w:rPr>
        <w:t xml:space="preserve">L7 Firewall, </w:t>
      </w:r>
      <w:proofErr w:type="spellStart"/>
      <w:r w:rsidR="00BB5D50">
        <w:rPr>
          <w:i/>
        </w:rPr>
        <w:t>etc</w:t>
      </w:r>
      <w:proofErr w:type="spellEnd"/>
      <w:r w:rsidR="00BB5D50">
        <w:rPr>
          <w:i/>
        </w:rPr>
        <w:t>…)</w:t>
      </w:r>
      <w:r w:rsidR="00631EFC">
        <w:rPr>
          <w:i/>
        </w:rPr>
        <w:t xml:space="preserve">. Some of these Tier-3 customers may also have workloads running in tier-2 and </w:t>
      </w:r>
      <w:r w:rsidR="007502DB">
        <w:rPr>
          <w:i/>
        </w:rPr>
        <w:t>thus need to have connectivity between their shared and dedicated virtual datacenters</w:t>
      </w:r>
      <w:r w:rsidR="001A6514">
        <w:rPr>
          <w:i/>
        </w:rPr>
        <w:t xml:space="preserve">. </w:t>
      </w:r>
    </w:p>
    <w:p w14:paraId="56D5231D" w14:textId="49B0ED6C" w:rsidR="001A6514" w:rsidRDefault="001A6514" w:rsidP="00957544">
      <w:pPr>
        <w:rPr>
          <w:i/>
        </w:rPr>
      </w:pPr>
    </w:p>
    <w:p w14:paraId="23911291" w14:textId="6D3EB4F3" w:rsidR="001A6514" w:rsidRDefault="001A6514" w:rsidP="00957544">
      <w:pPr>
        <w:rPr>
          <w:i/>
        </w:rPr>
      </w:pPr>
      <w:r>
        <w:rPr>
          <w:i/>
        </w:rPr>
        <w:t xml:space="preserve">Most tier-2 customers do not </w:t>
      </w:r>
      <w:r w:rsidR="00465864">
        <w:rPr>
          <w:i/>
        </w:rPr>
        <w:t>need</w:t>
      </w:r>
      <w:r>
        <w:rPr>
          <w:i/>
        </w:rPr>
        <w:t xml:space="preserve"> external security </w:t>
      </w:r>
      <w:r w:rsidR="00553B16">
        <w:rPr>
          <w:i/>
        </w:rPr>
        <w:t>services,</w:t>
      </w:r>
      <w:r>
        <w:rPr>
          <w:i/>
        </w:rPr>
        <w:t xml:space="preserve"> b</w:t>
      </w:r>
      <w:r w:rsidR="00657220">
        <w:rPr>
          <w:i/>
        </w:rPr>
        <w:t>u</w:t>
      </w:r>
      <w:r>
        <w:rPr>
          <w:i/>
        </w:rPr>
        <w:t>t we do off</w:t>
      </w:r>
      <w:r w:rsidR="00657220">
        <w:rPr>
          <w:i/>
        </w:rPr>
        <w:t>er th</w:t>
      </w:r>
      <w:r w:rsidR="00465864">
        <w:rPr>
          <w:i/>
        </w:rPr>
        <w:t>ese</w:t>
      </w:r>
      <w:r w:rsidR="00657220">
        <w:rPr>
          <w:i/>
        </w:rPr>
        <w:t xml:space="preserve"> services to all customers (shared and dedicated) </w:t>
      </w:r>
    </w:p>
    <w:p w14:paraId="7AB16B6C" w14:textId="77777777" w:rsidR="007C5F4B" w:rsidRDefault="007C5F4B" w:rsidP="00957544">
      <w:pPr>
        <w:rPr>
          <w:i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952"/>
        <w:gridCol w:w="5945"/>
      </w:tblGrid>
      <w:tr w:rsidR="00EB558B" w14:paraId="39EA386F" w14:textId="77777777" w:rsidTr="00B8570F">
        <w:tc>
          <w:tcPr>
            <w:tcW w:w="2952" w:type="dxa"/>
          </w:tcPr>
          <w:p w14:paraId="7BA73F3E" w14:textId="4AB62C85" w:rsidR="00EB558B" w:rsidRPr="00B9270D" w:rsidRDefault="00EB558B" w:rsidP="00957544">
            <w:pPr>
              <w:rPr>
                <w:i/>
              </w:rPr>
            </w:pPr>
            <w:r w:rsidRPr="00B9270D">
              <w:rPr>
                <w:i/>
              </w:rPr>
              <w:t>Requirement 1</w:t>
            </w:r>
            <w:r w:rsidR="0030283C">
              <w:rPr>
                <w:i/>
              </w:rPr>
              <w:t>4</w:t>
            </w:r>
          </w:p>
        </w:tc>
        <w:tc>
          <w:tcPr>
            <w:tcW w:w="5945" w:type="dxa"/>
          </w:tcPr>
          <w:p w14:paraId="5A3223AF" w14:textId="77556656" w:rsidR="00EB558B" w:rsidRPr="00B9270D" w:rsidRDefault="008834D9" w:rsidP="00957544">
            <w:pPr>
              <w:rPr>
                <w:i/>
              </w:rPr>
            </w:pPr>
            <w:r>
              <w:rPr>
                <w:i/>
              </w:rPr>
              <w:t>We need</w:t>
            </w:r>
            <w:r w:rsidR="00267D42">
              <w:rPr>
                <w:i/>
              </w:rPr>
              <w:t xml:space="preserve"> </w:t>
            </w:r>
            <w:r w:rsidR="00BC3DC5">
              <w:rPr>
                <w:i/>
              </w:rPr>
              <w:t xml:space="preserve">to </w:t>
            </w:r>
            <w:r w:rsidR="00267D42">
              <w:rPr>
                <w:i/>
              </w:rPr>
              <w:t>provide</w:t>
            </w:r>
            <w:r>
              <w:rPr>
                <w:i/>
              </w:rPr>
              <w:t xml:space="preserve"> </w:t>
            </w:r>
            <w:r w:rsidR="00704690">
              <w:rPr>
                <w:i/>
              </w:rPr>
              <w:t>ten</w:t>
            </w:r>
            <w:r w:rsidR="002F5619">
              <w:rPr>
                <w:i/>
              </w:rPr>
              <w:t>a</w:t>
            </w:r>
            <w:r w:rsidR="00704690">
              <w:rPr>
                <w:i/>
              </w:rPr>
              <w:t>nts in both our shared and dedicated Iaa</w:t>
            </w:r>
            <w:r w:rsidR="002F5619">
              <w:rPr>
                <w:i/>
              </w:rPr>
              <w:t>S</w:t>
            </w:r>
            <w:r w:rsidR="00267D42">
              <w:rPr>
                <w:i/>
              </w:rPr>
              <w:t xml:space="preserve"> solution access to </w:t>
            </w:r>
            <w:r w:rsidR="00CA3ACA">
              <w:rPr>
                <w:i/>
              </w:rPr>
              <w:t xml:space="preserve">enhanced security services if desired. </w:t>
            </w:r>
          </w:p>
        </w:tc>
      </w:tr>
      <w:tr w:rsidR="00033689" w14:paraId="40F1DBE9" w14:textId="77777777" w:rsidTr="00B8570F">
        <w:tc>
          <w:tcPr>
            <w:tcW w:w="2952" w:type="dxa"/>
          </w:tcPr>
          <w:p w14:paraId="527523E2" w14:textId="5140EC68" w:rsidR="00033689" w:rsidRPr="00B9270D" w:rsidRDefault="00033689" w:rsidP="00957544">
            <w:pPr>
              <w:rPr>
                <w:i/>
              </w:rPr>
            </w:pPr>
            <w:r>
              <w:rPr>
                <w:i/>
              </w:rPr>
              <w:t>Requirement 1</w:t>
            </w:r>
            <w:r w:rsidR="0030283C">
              <w:rPr>
                <w:i/>
              </w:rPr>
              <w:t>5</w:t>
            </w:r>
          </w:p>
        </w:tc>
        <w:tc>
          <w:tcPr>
            <w:tcW w:w="5945" w:type="dxa"/>
          </w:tcPr>
          <w:p w14:paraId="72EE7455" w14:textId="7392B2A5" w:rsidR="00033689" w:rsidRPr="00B9270D" w:rsidRDefault="00CA3ACA" w:rsidP="00957544">
            <w:pPr>
              <w:rPr>
                <w:i/>
              </w:rPr>
            </w:pPr>
            <w:r>
              <w:rPr>
                <w:i/>
              </w:rPr>
              <w:t xml:space="preserve">The solution needs to scale beyond 1500 tenants </w:t>
            </w:r>
            <w:r w:rsidR="005D510E">
              <w:rPr>
                <w:i/>
              </w:rPr>
              <w:t xml:space="preserve">with 5% or less of those tenants </w:t>
            </w:r>
            <w:r w:rsidR="009C70E5">
              <w:rPr>
                <w:i/>
              </w:rPr>
              <w:t>using our dedicated IaaS solution</w:t>
            </w:r>
          </w:p>
        </w:tc>
      </w:tr>
      <w:tr w:rsidR="00033689" w14:paraId="2C7B342C" w14:textId="77777777" w:rsidTr="00B8570F">
        <w:tc>
          <w:tcPr>
            <w:tcW w:w="2952" w:type="dxa"/>
          </w:tcPr>
          <w:p w14:paraId="1A70CE74" w14:textId="7C6FF5B0" w:rsidR="00033689" w:rsidRDefault="00033689" w:rsidP="00957544">
            <w:pPr>
              <w:rPr>
                <w:i/>
              </w:rPr>
            </w:pPr>
            <w:r>
              <w:rPr>
                <w:i/>
              </w:rPr>
              <w:lastRenderedPageBreak/>
              <w:t>Requirement 1</w:t>
            </w:r>
            <w:r w:rsidR="0030283C">
              <w:rPr>
                <w:i/>
              </w:rPr>
              <w:t>6</w:t>
            </w:r>
          </w:p>
        </w:tc>
        <w:tc>
          <w:tcPr>
            <w:tcW w:w="5945" w:type="dxa"/>
          </w:tcPr>
          <w:p w14:paraId="74AD03E4" w14:textId="7A7DF430" w:rsidR="00033689" w:rsidRDefault="007C4EA1" w:rsidP="00957544">
            <w:pPr>
              <w:rPr>
                <w:i/>
              </w:rPr>
            </w:pPr>
            <w:r>
              <w:rPr>
                <w:i/>
              </w:rPr>
              <w:t xml:space="preserve">Due to security requirements, dedicated tenants cannot share T0 gateways </w:t>
            </w:r>
            <w:r w:rsidR="00D55022">
              <w:rPr>
                <w:i/>
              </w:rPr>
              <w:t>with other tenants</w:t>
            </w:r>
          </w:p>
        </w:tc>
      </w:tr>
      <w:tr w:rsidR="00033689" w14:paraId="108EE9CE" w14:textId="77777777" w:rsidTr="00B8570F">
        <w:tc>
          <w:tcPr>
            <w:tcW w:w="2952" w:type="dxa"/>
          </w:tcPr>
          <w:p w14:paraId="34C42B54" w14:textId="75ED04E5" w:rsidR="00033689" w:rsidRDefault="00033689" w:rsidP="00957544">
            <w:pPr>
              <w:rPr>
                <w:i/>
              </w:rPr>
            </w:pPr>
            <w:r>
              <w:rPr>
                <w:i/>
              </w:rPr>
              <w:t>Requirement 1</w:t>
            </w:r>
            <w:r w:rsidR="0030283C">
              <w:rPr>
                <w:i/>
              </w:rPr>
              <w:t>7</w:t>
            </w:r>
          </w:p>
        </w:tc>
        <w:tc>
          <w:tcPr>
            <w:tcW w:w="5945" w:type="dxa"/>
          </w:tcPr>
          <w:p w14:paraId="64BF0E27" w14:textId="123D6E85" w:rsidR="00033689" w:rsidRDefault="00B61F68" w:rsidP="00957544">
            <w:pPr>
              <w:rPr>
                <w:i/>
              </w:rPr>
            </w:pPr>
            <w:r>
              <w:rPr>
                <w:i/>
              </w:rPr>
              <w:t xml:space="preserve">Dedicated </w:t>
            </w:r>
            <w:r w:rsidR="00F93CFA">
              <w:rPr>
                <w:i/>
              </w:rPr>
              <w:t xml:space="preserve">IaaS tenants are provided access to both our VDI solution and </w:t>
            </w:r>
            <w:r w:rsidR="00E9763D">
              <w:rPr>
                <w:i/>
              </w:rPr>
              <w:t>site-to-site VPN as a value-added service</w:t>
            </w:r>
            <w:r w:rsidR="00033689">
              <w:rPr>
                <w:i/>
              </w:rPr>
              <w:t xml:space="preserve"> </w:t>
            </w:r>
          </w:p>
        </w:tc>
      </w:tr>
      <w:tr w:rsidR="00EB558B" w14:paraId="2C8EFE07" w14:textId="77777777" w:rsidTr="00B8570F">
        <w:tc>
          <w:tcPr>
            <w:tcW w:w="2952" w:type="dxa"/>
          </w:tcPr>
          <w:p w14:paraId="140AA721" w14:textId="0CA43061" w:rsidR="00EB558B" w:rsidRPr="00B9270D" w:rsidRDefault="00EB558B" w:rsidP="00957544">
            <w:pPr>
              <w:rPr>
                <w:i/>
              </w:rPr>
            </w:pPr>
            <w:r w:rsidRPr="00B9270D">
              <w:rPr>
                <w:i/>
              </w:rPr>
              <w:t>Requirement 1</w:t>
            </w:r>
            <w:r w:rsidR="0030283C">
              <w:rPr>
                <w:i/>
              </w:rPr>
              <w:t>8</w:t>
            </w:r>
          </w:p>
        </w:tc>
        <w:tc>
          <w:tcPr>
            <w:tcW w:w="5945" w:type="dxa"/>
          </w:tcPr>
          <w:p w14:paraId="77BA52B5" w14:textId="5F2598C3" w:rsidR="00EB558B" w:rsidRPr="00B9270D" w:rsidRDefault="00CA3997" w:rsidP="00957544">
            <w:pPr>
              <w:rPr>
                <w:i/>
              </w:rPr>
            </w:pPr>
            <w:r>
              <w:rPr>
                <w:i/>
              </w:rPr>
              <w:t xml:space="preserve">Tenants </w:t>
            </w:r>
            <w:r w:rsidR="005D2976">
              <w:rPr>
                <w:i/>
              </w:rPr>
              <w:t>must be isolated from one another. One tenant should not be allowed access to other tenants</w:t>
            </w:r>
          </w:p>
        </w:tc>
      </w:tr>
      <w:tr w:rsidR="00EB558B" w14:paraId="4CA71880" w14:textId="77777777" w:rsidTr="00B8570F">
        <w:tc>
          <w:tcPr>
            <w:tcW w:w="2952" w:type="dxa"/>
          </w:tcPr>
          <w:p w14:paraId="04B42C03" w14:textId="3AA00760" w:rsidR="00EB558B" w:rsidRPr="00B9270D" w:rsidRDefault="00EB558B" w:rsidP="00957544">
            <w:pPr>
              <w:rPr>
                <w:i/>
              </w:rPr>
            </w:pPr>
            <w:r w:rsidRPr="00B9270D">
              <w:rPr>
                <w:i/>
              </w:rPr>
              <w:t>Requirement 1</w:t>
            </w:r>
            <w:r w:rsidR="00FD0537">
              <w:rPr>
                <w:i/>
              </w:rPr>
              <w:t>9</w:t>
            </w:r>
          </w:p>
        </w:tc>
        <w:tc>
          <w:tcPr>
            <w:tcW w:w="5945" w:type="dxa"/>
          </w:tcPr>
          <w:p w14:paraId="0F091DEC" w14:textId="219B0655" w:rsidR="00EB558B" w:rsidRPr="00B9270D" w:rsidRDefault="00420ECC" w:rsidP="00957544">
            <w:pPr>
              <w:rPr>
                <w:i/>
              </w:rPr>
            </w:pPr>
            <w:r>
              <w:rPr>
                <w:i/>
              </w:rPr>
              <w:t xml:space="preserve">All </w:t>
            </w:r>
            <w:r w:rsidR="000E1EA1">
              <w:rPr>
                <w:i/>
              </w:rPr>
              <w:t>tenants must have access to shared services provided by ZCS</w:t>
            </w:r>
          </w:p>
        </w:tc>
      </w:tr>
      <w:tr w:rsidR="00EB558B" w14:paraId="4567FF08" w14:textId="77777777" w:rsidTr="00B8570F">
        <w:tc>
          <w:tcPr>
            <w:tcW w:w="2952" w:type="dxa"/>
          </w:tcPr>
          <w:p w14:paraId="4163C3F0" w14:textId="1B816DA0" w:rsidR="00EB558B" w:rsidRPr="00B9270D" w:rsidRDefault="00EB558B" w:rsidP="00957544">
            <w:pPr>
              <w:rPr>
                <w:i/>
              </w:rPr>
            </w:pPr>
            <w:r w:rsidRPr="00B9270D">
              <w:rPr>
                <w:i/>
              </w:rPr>
              <w:t xml:space="preserve">Requirement </w:t>
            </w:r>
            <w:r w:rsidR="00FD0537">
              <w:rPr>
                <w:i/>
              </w:rPr>
              <w:t>20</w:t>
            </w:r>
          </w:p>
        </w:tc>
        <w:tc>
          <w:tcPr>
            <w:tcW w:w="5945" w:type="dxa"/>
          </w:tcPr>
          <w:p w14:paraId="2B609512" w14:textId="2F8D19B2" w:rsidR="00EB558B" w:rsidRPr="00B9270D" w:rsidRDefault="006E1B3A" w:rsidP="00957544">
            <w:pPr>
              <w:rPr>
                <w:i/>
              </w:rPr>
            </w:pPr>
            <w:r>
              <w:rPr>
                <w:i/>
              </w:rPr>
              <w:t>The solution must mini</w:t>
            </w:r>
            <w:r w:rsidR="00ED4872">
              <w:rPr>
                <w:i/>
              </w:rPr>
              <w:t>mize administrative overhead</w:t>
            </w:r>
          </w:p>
        </w:tc>
      </w:tr>
      <w:tr w:rsidR="00EB558B" w14:paraId="2CEA39DA" w14:textId="77777777" w:rsidTr="00B8570F">
        <w:tc>
          <w:tcPr>
            <w:tcW w:w="2952" w:type="dxa"/>
          </w:tcPr>
          <w:p w14:paraId="41AFB870" w14:textId="62A6AED5" w:rsidR="00EB558B" w:rsidRPr="00B9270D" w:rsidRDefault="00EB558B" w:rsidP="00957544">
            <w:pPr>
              <w:rPr>
                <w:i/>
              </w:rPr>
            </w:pPr>
            <w:r w:rsidRPr="00B9270D">
              <w:rPr>
                <w:i/>
              </w:rPr>
              <w:t xml:space="preserve">Requirement </w:t>
            </w:r>
            <w:r w:rsidR="00FD0537">
              <w:rPr>
                <w:i/>
              </w:rPr>
              <w:t>2</w:t>
            </w:r>
            <w:r w:rsidRPr="00B9270D">
              <w:rPr>
                <w:i/>
              </w:rPr>
              <w:t>1</w:t>
            </w:r>
          </w:p>
        </w:tc>
        <w:tc>
          <w:tcPr>
            <w:tcW w:w="5945" w:type="dxa"/>
          </w:tcPr>
          <w:p w14:paraId="0D43750F" w14:textId="1AD344D0" w:rsidR="00EB558B" w:rsidRPr="00B9270D" w:rsidRDefault="00ED4872" w:rsidP="00957544">
            <w:pPr>
              <w:rPr>
                <w:i/>
              </w:rPr>
            </w:pPr>
            <w:r>
              <w:rPr>
                <w:i/>
              </w:rPr>
              <w:t>Route-based VPN must be use</w:t>
            </w:r>
            <w:r w:rsidR="0033418F">
              <w:rPr>
                <w:i/>
              </w:rPr>
              <w:t>d</w:t>
            </w:r>
            <w:r>
              <w:rPr>
                <w:i/>
              </w:rPr>
              <w:t xml:space="preserve"> for site-to-site VPN </w:t>
            </w:r>
            <w:r w:rsidR="00387715">
              <w:rPr>
                <w:i/>
              </w:rPr>
              <w:t xml:space="preserve">configuration from tenants’ dedicated </w:t>
            </w:r>
            <w:r w:rsidR="00AD34D6">
              <w:rPr>
                <w:i/>
              </w:rPr>
              <w:t>IaaS and their on-premise datacenter</w:t>
            </w:r>
          </w:p>
        </w:tc>
      </w:tr>
    </w:tbl>
    <w:p w14:paraId="03731077" w14:textId="77777777" w:rsidR="007C5F4B" w:rsidRPr="0034434F" w:rsidRDefault="007C5F4B" w:rsidP="00957544">
      <w:pPr>
        <w:rPr>
          <w:b/>
          <w:i/>
        </w:rPr>
      </w:pPr>
    </w:p>
    <w:p w14:paraId="61BC9709" w14:textId="77777777" w:rsidR="00957544" w:rsidRPr="0034434F" w:rsidRDefault="00957544" w:rsidP="00957544"/>
    <w:p w14:paraId="39743E9B" w14:textId="77777777" w:rsidR="00563FC9" w:rsidRPr="002945E6" w:rsidRDefault="00563FC9" w:rsidP="00957544"/>
    <w:p w14:paraId="4BCCEA56" w14:textId="77777777" w:rsidR="005D04EE" w:rsidRPr="00CF0CAD" w:rsidRDefault="005D04EE" w:rsidP="00957544">
      <w:pPr>
        <w:rPr>
          <w:color w:val="C0504D" w:themeColor="accent2"/>
        </w:rPr>
      </w:pPr>
    </w:p>
    <w:p w14:paraId="2F0BA8E7" w14:textId="0FCB1F5A" w:rsidR="001932E6" w:rsidRPr="002945E6" w:rsidRDefault="002945E6" w:rsidP="00957544">
      <w:pPr>
        <w:rPr>
          <w:b/>
        </w:rPr>
      </w:pPr>
      <w:r>
        <w:rPr>
          <w:b/>
        </w:rPr>
        <w:t>Steven Waugh</w:t>
      </w:r>
      <w:r w:rsidR="004773EC" w:rsidRPr="002945E6">
        <w:rPr>
          <w:b/>
        </w:rPr>
        <w:t>, Net</w:t>
      </w:r>
      <w:r w:rsidR="003D6852" w:rsidRPr="002945E6">
        <w:rPr>
          <w:b/>
        </w:rPr>
        <w:t>work Administrator</w:t>
      </w:r>
    </w:p>
    <w:p w14:paraId="6D5B6860" w14:textId="77777777" w:rsidR="001932E6" w:rsidRPr="002945E6" w:rsidRDefault="001932E6" w:rsidP="00957544"/>
    <w:p w14:paraId="3FB6A5D6" w14:textId="77777777" w:rsidR="00220061" w:rsidRDefault="00220061" w:rsidP="00957544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952"/>
        <w:gridCol w:w="6512"/>
      </w:tblGrid>
      <w:tr w:rsidR="00EB558B" w14:paraId="0EE100C0" w14:textId="77777777" w:rsidTr="002E50BF">
        <w:tc>
          <w:tcPr>
            <w:tcW w:w="2952" w:type="dxa"/>
          </w:tcPr>
          <w:p w14:paraId="31A510D8" w14:textId="36DD20B4" w:rsidR="00EB558B" w:rsidRDefault="00EB558B" w:rsidP="00957544">
            <w:r>
              <w:t xml:space="preserve">Requirement </w:t>
            </w:r>
            <w:r w:rsidR="008D14DD">
              <w:t>2</w:t>
            </w:r>
            <w:r w:rsidR="00FD0537">
              <w:t>2</w:t>
            </w:r>
          </w:p>
        </w:tc>
        <w:tc>
          <w:tcPr>
            <w:tcW w:w="6512" w:type="dxa"/>
          </w:tcPr>
          <w:p w14:paraId="2483EF0F" w14:textId="6FE5E1BB" w:rsidR="00EB558B" w:rsidRDefault="00EB558B" w:rsidP="00957544">
            <w:r>
              <w:t>All</w:t>
            </w:r>
            <w:r w:rsidR="00DF1440">
              <w:t xml:space="preserve"> Tenant</w:t>
            </w:r>
            <w:r>
              <w:t xml:space="preserve"> applications need communication with </w:t>
            </w:r>
            <w:r w:rsidR="001D0F45">
              <w:t>Shared services provided by ZCS (</w:t>
            </w:r>
            <w:r w:rsidRPr="003065CD">
              <w:rPr>
                <w:noProof/>
              </w:rPr>
              <w:t>AD</w:t>
            </w:r>
            <w:r>
              <w:t>, DNS</w:t>
            </w:r>
            <w:r w:rsidR="00605123">
              <w:t>,</w:t>
            </w:r>
            <w:r>
              <w:t xml:space="preserve"> and</w:t>
            </w:r>
            <w:r w:rsidR="001D0F45">
              <w:t xml:space="preserve"> NTP</w:t>
            </w:r>
            <w:r>
              <w:t xml:space="preserve"> services</w:t>
            </w:r>
            <w:r w:rsidR="001D0F45">
              <w:t xml:space="preserve">, </w:t>
            </w:r>
            <w:proofErr w:type="spellStart"/>
            <w:r w:rsidR="001D0F45">
              <w:t>etc</w:t>
            </w:r>
            <w:proofErr w:type="spellEnd"/>
            <w:r w:rsidR="001D0F45">
              <w:t>…).</w:t>
            </w:r>
            <w:r>
              <w:t xml:space="preserve"> These services are running </w:t>
            </w:r>
            <w:r w:rsidR="00435F0B">
              <w:t xml:space="preserve">in the Physical infrastructure on </w:t>
            </w:r>
            <w:r w:rsidR="00813FA7">
              <w:t>bare metal</w:t>
            </w:r>
            <w:r w:rsidR="00435F0B">
              <w:t xml:space="preserve"> servers</w:t>
            </w:r>
            <w:r w:rsidR="003F14FC">
              <w:t>.</w:t>
            </w:r>
          </w:p>
        </w:tc>
      </w:tr>
      <w:tr w:rsidR="00EB558B" w14:paraId="423213FC" w14:textId="77777777" w:rsidTr="002E50BF">
        <w:tc>
          <w:tcPr>
            <w:tcW w:w="2952" w:type="dxa"/>
          </w:tcPr>
          <w:p w14:paraId="68E688CF" w14:textId="1D217421" w:rsidR="00EB558B" w:rsidRDefault="00A96E87" w:rsidP="00957544">
            <w:r>
              <w:t xml:space="preserve">Requirement </w:t>
            </w:r>
            <w:r w:rsidR="00CD4988">
              <w:t>2</w:t>
            </w:r>
            <w:r w:rsidR="00FD0537">
              <w:t>3</w:t>
            </w:r>
          </w:p>
        </w:tc>
        <w:tc>
          <w:tcPr>
            <w:tcW w:w="6512" w:type="dxa"/>
          </w:tcPr>
          <w:p w14:paraId="6F1B5CD7" w14:textId="6111B619" w:rsidR="00EB558B" w:rsidRDefault="009D7C94" w:rsidP="00957544">
            <w:r>
              <w:t xml:space="preserve">Tenants should </w:t>
            </w:r>
            <w:r w:rsidR="00813FA7">
              <w:t>have external</w:t>
            </w:r>
            <w:r>
              <w:t xml:space="preserve"> access </w:t>
            </w:r>
            <w:r w:rsidR="00605123">
              <w:t xml:space="preserve">to </w:t>
            </w:r>
            <w:r>
              <w:t>the</w:t>
            </w:r>
            <w:r w:rsidR="00813FA7">
              <w:t>i</w:t>
            </w:r>
            <w:r>
              <w:t>r</w:t>
            </w:r>
            <w:r w:rsidR="00EB558B">
              <w:t xml:space="preserve"> applications on port 443</w:t>
            </w:r>
            <w:r w:rsidR="003F14FC">
              <w:t>.</w:t>
            </w:r>
            <w:r w:rsidR="00813FA7">
              <w:t xml:space="preserve"> </w:t>
            </w:r>
          </w:p>
        </w:tc>
      </w:tr>
      <w:tr w:rsidR="00EB558B" w14:paraId="7E9E5C89" w14:textId="77777777" w:rsidTr="002E50BF">
        <w:tc>
          <w:tcPr>
            <w:tcW w:w="2952" w:type="dxa"/>
          </w:tcPr>
          <w:p w14:paraId="163579AD" w14:textId="68C1D2CB" w:rsidR="00EB558B" w:rsidRDefault="00EB558B" w:rsidP="00957544">
            <w:r>
              <w:t xml:space="preserve">Requirement </w:t>
            </w:r>
            <w:r w:rsidR="00CD4988">
              <w:t>2</w:t>
            </w:r>
            <w:r w:rsidR="00FD0537">
              <w:t>4</w:t>
            </w:r>
          </w:p>
        </w:tc>
        <w:tc>
          <w:tcPr>
            <w:tcW w:w="6512" w:type="dxa"/>
          </w:tcPr>
          <w:p w14:paraId="1C898E22" w14:textId="26EB3A78" w:rsidR="00EB558B" w:rsidRDefault="00BB62B2" w:rsidP="00957544">
            <w:r>
              <w:t xml:space="preserve">Tenants </w:t>
            </w:r>
            <w:r w:rsidR="009166CB">
              <w:t xml:space="preserve">with </w:t>
            </w:r>
            <w:r w:rsidR="00394531">
              <w:t>enhanced</w:t>
            </w:r>
            <w:r w:rsidR="009166CB">
              <w:t xml:space="preserve"> performance </w:t>
            </w:r>
            <w:r w:rsidR="00394531">
              <w:t xml:space="preserve">and security </w:t>
            </w:r>
            <w:r w:rsidR="009166CB">
              <w:t xml:space="preserve">requirements will access their apps </w:t>
            </w:r>
            <w:r w:rsidR="00D20D07">
              <w:t xml:space="preserve">via a Horizon VDI </w:t>
            </w:r>
            <w:r w:rsidR="006C1348">
              <w:t>running</w:t>
            </w:r>
            <w:r w:rsidR="00D20D07">
              <w:t xml:space="preserve"> </w:t>
            </w:r>
            <w:r w:rsidR="006C1348">
              <w:t>i</w:t>
            </w:r>
            <w:r w:rsidR="00D20D07">
              <w:t xml:space="preserve">n a dedicated VDI cluster </w:t>
            </w:r>
            <w:r w:rsidR="005F1B3C">
              <w:t>in the environment</w:t>
            </w:r>
            <w:r w:rsidR="006C1348">
              <w:t xml:space="preserve">. </w:t>
            </w:r>
            <w:r w:rsidR="00BA212F">
              <w:t>This VDI pool is a shared</w:t>
            </w:r>
            <w:r w:rsidR="00285AF3">
              <w:t xml:space="preserve"> (Floating)</w:t>
            </w:r>
            <w:r w:rsidR="00BA212F">
              <w:t xml:space="preserve"> Pool and should be accessible to all </w:t>
            </w:r>
            <w:r w:rsidR="00CF5728">
              <w:t xml:space="preserve">users </w:t>
            </w:r>
            <w:r w:rsidR="00082688">
              <w:t>who have subscribed to the solution via their browser and the Horizon View Client</w:t>
            </w:r>
          </w:p>
        </w:tc>
      </w:tr>
      <w:tr w:rsidR="00EB558B" w14:paraId="4EECFE86" w14:textId="77777777" w:rsidTr="002E50BF">
        <w:tc>
          <w:tcPr>
            <w:tcW w:w="2952" w:type="dxa"/>
          </w:tcPr>
          <w:p w14:paraId="1C50EAC2" w14:textId="70702FB3" w:rsidR="00EB558B" w:rsidRDefault="00EB558B" w:rsidP="00957544">
            <w:r>
              <w:t xml:space="preserve">Requirement </w:t>
            </w:r>
            <w:r w:rsidR="00CD4988">
              <w:t>2</w:t>
            </w:r>
            <w:r w:rsidR="00FD0537">
              <w:t>5</w:t>
            </w:r>
          </w:p>
        </w:tc>
        <w:tc>
          <w:tcPr>
            <w:tcW w:w="6512" w:type="dxa"/>
          </w:tcPr>
          <w:p w14:paraId="674AD909" w14:textId="5D8E7A5C" w:rsidR="00EB558B" w:rsidRPr="003F14FC" w:rsidRDefault="000703BF" w:rsidP="00957544">
            <w:r>
              <w:t>From the Shared VDI environment</w:t>
            </w:r>
            <w:r w:rsidR="00FB4D40">
              <w:t>,</w:t>
            </w:r>
            <w:r>
              <w:t xml:space="preserve"> admin users </w:t>
            </w:r>
            <w:r w:rsidR="007913DB">
              <w:t xml:space="preserve">should have </w:t>
            </w:r>
            <w:r w:rsidR="00FB4D40">
              <w:t>HTTP</w:t>
            </w:r>
            <w:r w:rsidR="007913DB">
              <w:t xml:space="preserve">, </w:t>
            </w:r>
            <w:r w:rsidR="00FB4D40">
              <w:t>HTTPS</w:t>
            </w:r>
            <w:r w:rsidR="007913DB">
              <w:t xml:space="preserve">, </w:t>
            </w:r>
            <w:r w:rsidR="00FB4D40">
              <w:t>SSH</w:t>
            </w:r>
            <w:r w:rsidR="007913DB">
              <w:t xml:space="preserve"> </w:t>
            </w:r>
            <w:r w:rsidR="00FB4D40">
              <w:t>RDP</w:t>
            </w:r>
            <w:r w:rsidR="00915F59">
              <w:t>,</w:t>
            </w:r>
            <w:r w:rsidR="007913DB">
              <w:t xml:space="preserve"> and </w:t>
            </w:r>
            <w:r w:rsidR="00FB4D40">
              <w:t>VNC</w:t>
            </w:r>
            <w:r w:rsidR="007913DB">
              <w:t xml:space="preserve"> access to their virtual machines</w:t>
            </w:r>
            <w:r w:rsidR="003F14FC" w:rsidRPr="003F14FC">
              <w:t>.</w:t>
            </w:r>
          </w:p>
        </w:tc>
      </w:tr>
      <w:tr w:rsidR="00EB558B" w14:paraId="74D8D228" w14:textId="77777777" w:rsidTr="002E50BF">
        <w:tc>
          <w:tcPr>
            <w:tcW w:w="2952" w:type="dxa"/>
          </w:tcPr>
          <w:p w14:paraId="74ED3198" w14:textId="3933AFA1" w:rsidR="00EB558B" w:rsidRDefault="00EB558B" w:rsidP="00957544">
            <w:r>
              <w:t xml:space="preserve">Requirement </w:t>
            </w:r>
            <w:r w:rsidR="00CD4988">
              <w:t>2</w:t>
            </w:r>
            <w:r w:rsidR="00FD0537">
              <w:t>6</w:t>
            </w:r>
          </w:p>
        </w:tc>
        <w:tc>
          <w:tcPr>
            <w:tcW w:w="6512" w:type="dxa"/>
          </w:tcPr>
          <w:p w14:paraId="4A948908" w14:textId="0628B9A3" w:rsidR="00EB558B" w:rsidRDefault="005D57C6" w:rsidP="00957544">
            <w:r>
              <w:t>Future-</w:t>
            </w:r>
            <w:r w:rsidR="00EB558B">
              <w:t xml:space="preserve">proof the deployment </w:t>
            </w:r>
            <w:r w:rsidR="00EB558B" w:rsidRPr="003065CD">
              <w:rPr>
                <w:noProof/>
              </w:rPr>
              <w:t>for</w:t>
            </w:r>
            <w:r w:rsidR="00EB558B">
              <w:t xml:space="preserve"> 3</w:t>
            </w:r>
            <w:r w:rsidR="00EB558B" w:rsidRPr="00220061">
              <w:rPr>
                <w:vertAlign w:val="superscript"/>
              </w:rPr>
              <w:t>rd</w:t>
            </w:r>
            <w:r w:rsidR="00EB558B">
              <w:t xml:space="preserve"> party guest </w:t>
            </w:r>
            <w:r w:rsidR="00EB558B" w:rsidRPr="0072259D">
              <w:t>introspection</w:t>
            </w:r>
            <w:r w:rsidR="00F0347D" w:rsidRPr="0072259D">
              <w:t xml:space="preserve">. </w:t>
            </w:r>
            <w:r w:rsidR="0072259D" w:rsidRPr="0072259D">
              <w:t xml:space="preserve">We are looking </w:t>
            </w:r>
            <w:r w:rsidR="0072259D" w:rsidRPr="003065CD">
              <w:rPr>
                <w:noProof/>
              </w:rPr>
              <w:t>at</w:t>
            </w:r>
            <w:r w:rsidR="0072259D" w:rsidRPr="0072259D">
              <w:t xml:space="preserve"> 3</w:t>
            </w:r>
            <w:r w:rsidR="0072259D" w:rsidRPr="0072259D">
              <w:rPr>
                <w:vertAlign w:val="superscript"/>
              </w:rPr>
              <w:t>rd</w:t>
            </w:r>
            <w:r w:rsidR="0072259D" w:rsidRPr="0072259D">
              <w:t xml:space="preserve"> party guest introspection services. We need the infrastructure to be prepared for integrating the 3</w:t>
            </w:r>
            <w:r w:rsidR="0072259D" w:rsidRPr="0072259D">
              <w:rPr>
                <w:vertAlign w:val="superscript"/>
              </w:rPr>
              <w:t>rd</w:t>
            </w:r>
            <w:r w:rsidR="0072259D" w:rsidRPr="0072259D">
              <w:t xml:space="preserve"> party product in the future. We also want the consultant to create a policy to consume this 3</w:t>
            </w:r>
            <w:r w:rsidR="0072259D" w:rsidRPr="0072259D">
              <w:rPr>
                <w:vertAlign w:val="superscript"/>
              </w:rPr>
              <w:t>rd</w:t>
            </w:r>
            <w:r w:rsidR="0072259D" w:rsidRPr="0072259D">
              <w:t xml:space="preserve"> party product once it is deployed.</w:t>
            </w:r>
          </w:p>
        </w:tc>
      </w:tr>
      <w:tr w:rsidR="000850B4" w14:paraId="13B1CBF2" w14:textId="77777777" w:rsidTr="002E50BF">
        <w:tc>
          <w:tcPr>
            <w:tcW w:w="2952" w:type="dxa"/>
          </w:tcPr>
          <w:p w14:paraId="30EF54C7" w14:textId="19BE0DEC" w:rsidR="000850B4" w:rsidRDefault="000850B4" w:rsidP="00957544">
            <w:r>
              <w:t xml:space="preserve">Requirement </w:t>
            </w:r>
            <w:r w:rsidR="00E9590D">
              <w:t>2</w:t>
            </w:r>
            <w:r w:rsidR="00FD0537">
              <w:t>7</w:t>
            </w:r>
          </w:p>
        </w:tc>
        <w:tc>
          <w:tcPr>
            <w:tcW w:w="6512" w:type="dxa"/>
          </w:tcPr>
          <w:p w14:paraId="68941335" w14:textId="6D21DF7A" w:rsidR="000850B4" w:rsidRDefault="00034EED" w:rsidP="00957544">
            <w:r>
              <w:t>With potential</w:t>
            </w:r>
            <w:r w:rsidR="0089646C">
              <w:t>ly</w:t>
            </w:r>
            <w:r>
              <w:t xml:space="preserve"> multiple virtual routers the solution should mini</w:t>
            </w:r>
            <w:r w:rsidR="004D3E05">
              <w:t xml:space="preserve">mize the need to update BGP neighbor </w:t>
            </w:r>
            <w:r w:rsidR="00B36EFF">
              <w:t>configuration every time a new T0 gateway is deployed</w:t>
            </w:r>
          </w:p>
        </w:tc>
      </w:tr>
    </w:tbl>
    <w:p w14:paraId="66940233" w14:textId="77777777" w:rsidR="003713E5" w:rsidRPr="00CF0CAD" w:rsidRDefault="003713E5">
      <w:pPr>
        <w:rPr>
          <w:color w:val="C0504D" w:themeColor="accent2"/>
        </w:rPr>
      </w:pPr>
    </w:p>
    <w:sectPr w:rsidR="003713E5" w:rsidRPr="00CF0CAD" w:rsidSect="002A46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2EB"/>
    <w:multiLevelType w:val="hybridMultilevel"/>
    <w:tmpl w:val="447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15B67"/>
    <w:multiLevelType w:val="hybridMultilevel"/>
    <w:tmpl w:val="7452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537B"/>
    <w:multiLevelType w:val="hybridMultilevel"/>
    <w:tmpl w:val="9F86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85E51"/>
    <w:multiLevelType w:val="hybridMultilevel"/>
    <w:tmpl w:val="1BC6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D4F35"/>
    <w:multiLevelType w:val="hybridMultilevel"/>
    <w:tmpl w:val="3084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A24B3"/>
    <w:multiLevelType w:val="hybridMultilevel"/>
    <w:tmpl w:val="4BD0F9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CDD78A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NjczAEJzI1NTcyUdpeDU4uLM/DyQAtNaAElMPgMsAAAA"/>
  </w:docVars>
  <w:rsids>
    <w:rsidRoot w:val="00C33229"/>
    <w:rsid w:val="000057CA"/>
    <w:rsid w:val="00005B6D"/>
    <w:rsid w:val="00013E05"/>
    <w:rsid w:val="000219BE"/>
    <w:rsid w:val="00024AD1"/>
    <w:rsid w:val="000257E5"/>
    <w:rsid w:val="00033689"/>
    <w:rsid w:val="00034EED"/>
    <w:rsid w:val="00036D5D"/>
    <w:rsid w:val="00037BEF"/>
    <w:rsid w:val="00040E1E"/>
    <w:rsid w:val="00044A42"/>
    <w:rsid w:val="0005391A"/>
    <w:rsid w:val="00065B86"/>
    <w:rsid w:val="000703BF"/>
    <w:rsid w:val="00071D45"/>
    <w:rsid w:val="000757E7"/>
    <w:rsid w:val="00075EE5"/>
    <w:rsid w:val="00076558"/>
    <w:rsid w:val="0008105B"/>
    <w:rsid w:val="00082688"/>
    <w:rsid w:val="000850B4"/>
    <w:rsid w:val="00091B52"/>
    <w:rsid w:val="00092AF5"/>
    <w:rsid w:val="0009511F"/>
    <w:rsid w:val="000C11C4"/>
    <w:rsid w:val="000C2311"/>
    <w:rsid w:val="000C5413"/>
    <w:rsid w:val="000D3D64"/>
    <w:rsid w:val="000D602E"/>
    <w:rsid w:val="000E1EA1"/>
    <w:rsid w:val="000E3A1F"/>
    <w:rsid w:val="000F7387"/>
    <w:rsid w:val="001029EF"/>
    <w:rsid w:val="0010665E"/>
    <w:rsid w:val="00106FC1"/>
    <w:rsid w:val="00107E21"/>
    <w:rsid w:val="00116408"/>
    <w:rsid w:val="00117354"/>
    <w:rsid w:val="00123708"/>
    <w:rsid w:val="0013022A"/>
    <w:rsid w:val="00132B7C"/>
    <w:rsid w:val="00135478"/>
    <w:rsid w:val="00137A4B"/>
    <w:rsid w:val="00137EEF"/>
    <w:rsid w:val="00143E5B"/>
    <w:rsid w:val="00147A94"/>
    <w:rsid w:val="00151E58"/>
    <w:rsid w:val="0015606B"/>
    <w:rsid w:val="0016020E"/>
    <w:rsid w:val="001630A2"/>
    <w:rsid w:val="001656BF"/>
    <w:rsid w:val="00175129"/>
    <w:rsid w:val="00181C9F"/>
    <w:rsid w:val="0018256A"/>
    <w:rsid w:val="00184748"/>
    <w:rsid w:val="00185556"/>
    <w:rsid w:val="001900D4"/>
    <w:rsid w:val="00190796"/>
    <w:rsid w:val="001914F2"/>
    <w:rsid w:val="001932E6"/>
    <w:rsid w:val="00194582"/>
    <w:rsid w:val="001A6514"/>
    <w:rsid w:val="001B316B"/>
    <w:rsid w:val="001B5A2D"/>
    <w:rsid w:val="001D0D3D"/>
    <w:rsid w:val="001D0F45"/>
    <w:rsid w:val="0020469D"/>
    <w:rsid w:val="00207DBB"/>
    <w:rsid w:val="00220061"/>
    <w:rsid w:val="00225CA2"/>
    <w:rsid w:val="00236D6B"/>
    <w:rsid w:val="00240D9B"/>
    <w:rsid w:val="00244C4A"/>
    <w:rsid w:val="0025053F"/>
    <w:rsid w:val="002643FB"/>
    <w:rsid w:val="00265A20"/>
    <w:rsid w:val="00265E60"/>
    <w:rsid w:val="00266265"/>
    <w:rsid w:val="00267D42"/>
    <w:rsid w:val="00270E48"/>
    <w:rsid w:val="00275D6A"/>
    <w:rsid w:val="00285AF3"/>
    <w:rsid w:val="0029194A"/>
    <w:rsid w:val="002945E6"/>
    <w:rsid w:val="00297749"/>
    <w:rsid w:val="002A46C9"/>
    <w:rsid w:val="002A6170"/>
    <w:rsid w:val="002B0C13"/>
    <w:rsid w:val="002B3811"/>
    <w:rsid w:val="002C1EC3"/>
    <w:rsid w:val="002D16CD"/>
    <w:rsid w:val="002D53FA"/>
    <w:rsid w:val="002E4B8B"/>
    <w:rsid w:val="002E50BF"/>
    <w:rsid w:val="002F1D67"/>
    <w:rsid w:val="002F2BEF"/>
    <w:rsid w:val="002F5619"/>
    <w:rsid w:val="002F62A6"/>
    <w:rsid w:val="0030283C"/>
    <w:rsid w:val="003065CD"/>
    <w:rsid w:val="0031037D"/>
    <w:rsid w:val="0031572F"/>
    <w:rsid w:val="00316DFA"/>
    <w:rsid w:val="00320765"/>
    <w:rsid w:val="00320974"/>
    <w:rsid w:val="00325C58"/>
    <w:rsid w:val="00325CB9"/>
    <w:rsid w:val="0033418F"/>
    <w:rsid w:val="00341764"/>
    <w:rsid w:val="0034434F"/>
    <w:rsid w:val="00364537"/>
    <w:rsid w:val="00366309"/>
    <w:rsid w:val="0036637C"/>
    <w:rsid w:val="00367864"/>
    <w:rsid w:val="003713E5"/>
    <w:rsid w:val="0037154B"/>
    <w:rsid w:val="00375AF1"/>
    <w:rsid w:val="0038335F"/>
    <w:rsid w:val="00387715"/>
    <w:rsid w:val="00394531"/>
    <w:rsid w:val="003957B1"/>
    <w:rsid w:val="003977CC"/>
    <w:rsid w:val="003A18EE"/>
    <w:rsid w:val="003A3671"/>
    <w:rsid w:val="003A3740"/>
    <w:rsid w:val="003C40A2"/>
    <w:rsid w:val="003C51DE"/>
    <w:rsid w:val="003D1505"/>
    <w:rsid w:val="003D2DB9"/>
    <w:rsid w:val="003D6852"/>
    <w:rsid w:val="003E5ADD"/>
    <w:rsid w:val="003E7B9E"/>
    <w:rsid w:val="003F14FC"/>
    <w:rsid w:val="003F16BB"/>
    <w:rsid w:val="003F5499"/>
    <w:rsid w:val="003F73E6"/>
    <w:rsid w:val="00405436"/>
    <w:rsid w:val="00420ECC"/>
    <w:rsid w:val="00423136"/>
    <w:rsid w:val="00426A60"/>
    <w:rsid w:val="004319C7"/>
    <w:rsid w:val="00432FAB"/>
    <w:rsid w:val="0043359D"/>
    <w:rsid w:val="00433C93"/>
    <w:rsid w:val="00435F0B"/>
    <w:rsid w:val="004368F8"/>
    <w:rsid w:val="00450F3F"/>
    <w:rsid w:val="00463165"/>
    <w:rsid w:val="0046381E"/>
    <w:rsid w:val="00465864"/>
    <w:rsid w:val="004704FF"/>
    <w:rsid w:val="00472AB2"/>
    <w:rsid w:val="004773EC"/>
    <w:rsid w:val="00486F32"/>
    <w:rsid w:val="004953B4"/>
    <w:rsid w:val="00495C99"/>
    <w:rsid w:val="00496EC0"/>
    <w:rsid w:val="004A5FBA"/>
    <w:rsid w:val="004A7482"/>
    <w:rsid w:val="004B0C9A"/>
    <w:rsid w:val="004B2D5C"/>
    <w:rsid w:val="004B539D"/>
    <w:rsid w:val="004C1561"/>
    <w:rsid w:val="004C3E6E"/>
    <w:rsid w:val="004C72A9"/>
    <w:rsid w:val="004D3E05"/>
    <w:rsid w:val="004D54BB"/>
    <w:rsid w:val="004E45A3"/>
    <w:rsid w:val="004F0CAE"/>
    <w:rsid w:val="004F3698"/>
    <w:rsid w:val="004F4A3B"/>
    <w:rsid w:val="004F79DF"/>
    <w:rsid w:val="00504F29"/>
    <w:rsid w:val="00512AB8"/>
    <w:rsid w:val="0052545E"/>
    <w:rsid w:val="00533207"/>
    <w:rsid w:val="005516E3"/>
    <w:rsid w:val="00553B16"/>
    <w:rsid w:val="00553C3F"/>
    <w:rsid w:val="00563FC9"/>
    <w:rsid w:val="0056406D"/>
    <w:rsid w:val="00575EFF"/>
    <w:rsid w:val="00577D52"/>
    <w:rsid w:val="00590362"/>
    <w:rsid w:val="00593F44"/>
    <w:rsid w:val="0059675B"/>
    <w:rsid w:val="005A1DC1"/>
    <w:rsid w:val="005A1FF2"/>
    <w:rsid w:val="005B3C24"/>
    <w:rsid w:val="005B4A60"/>
    <w:rsid w:val="005C447A"/>
    <w:rsid w:val="005D04EE"/>
    <w:rsid w:val="005D0B1E"/>
    <w:rsid w:val="005D2976"/>
    <w:rsid w:val="005D510E"/>
    <w:rsid w:val="005D57C6"/>
    <w:rsid w:val="005E0C41"/>
    <w:rsid w:val="005F01A7"/>
    <w:rsid w:val="005F1B3C"/>
    <w:rsid w:val="005F5AB6"/>
    <w:rsid w:val="005F6ED7"/>
    <w:rsid w:val="0060117D"/>
    <w:rsid w:val="006025F9"/>
    <w:rsid w:val="00605123"/>
    <w:rsid w:val="0060752B"/>
    <w:rsid w:val="0061349B"/>
    <w:rsid w:val="00631EFC"/>
    <w:rsid w:val="0063780F"/>
    <w:rsid w:val="00643C2F"/>
    <w:rsid w:val="00645398"/>
    <w:rsid w:val="00647D03"/>
    <w:rsid w:val="00651AAE"/>
    <w:rsid w:val="00651D57"/>
    <w:rsid w:val="00656A3E"/>
    <w:rsid w:val="00657220"/>
    <w:rsid w:val="00657F4D"/>
    <w:rsid w:val="006619E8"/>
    <w:rsid w:val="006775E7"/>
    <w:rsid w:val="006839D2"/>
    <w:rsid w:val="00683D09"/>
    <w:rsid w:val="006850B6"/>
    <w:rsid w:val="00693977"/>
    <w:rsid w:val="006A5F38"/>
    <w:rsid w:val="006A703E"/>
    <w:rsid w:val="006B092F"/>
    <w:rsid w:val="006B3675"/>
    <w:rsid w:val="006B7C99"/>
    <w:rsid w:val="006C1348"/>
    <w:rsid w:val="006C6283"/>
    <w:rsid w:val="006E03EC"/>
    <w:rsid w:val="006E1B3A"/>
    <w:rsid w:val="006F4B48"/>
    <w:rsid w:val="006F748C"/>
    <w:rsid w:val="00704690"/>
    <w:rsid w:val="007075B8"/>
    <w:rsid w:val="00707F82"/>
    <w:rsid w:val="007104D9"/>
    <w:rsid w:val="007221D4"/>
    <w:rsid w:val="0072259D"/>
    <w:rsid w:val="007266FF"/>
    <w:rsid w:val="00733095"/>
    <w:rsid w:val="0074060E"/>
    <w:rsid w:val="007411BC"/>
    <w:rsid w:val="007446DE"/>
    <w:rsid w:val="007502DB"/>
    <w:rsid w:val="007656EB"/>
    <w:rsid w:val="0077584C"/>
    <w:rsid w:val="007778F1"/>
    <w:rsid w:val="0078142E"/>
    <w:rsid w:val="007913DB"/>
    <w:rsid w:val="0079518A"/>
    <w:rsid w:val="007A11A3"/>
    <w:rsid w:val="007B26D0"/>
    <w:rsid w:val="007C135B"/>
    <w:rsid w:val="007C4EA1"/>
    <w:rsid w:val="007C5F4B"/>
    <w:rsid w:val="007E1520"/>
    <w:rsid w:val="007E45AB"/>
    <w:rsid w:val="007F07BB"/>
    <w:rsid w:val="007F1F0E"/>
    <w:rsid w:val="007F35C3"/>
    <w:rsid w:val="007F5834"/>
    <w:rsid w:val="00813FA7"/>
    <w:rsid w:val="00817FB5"/>
    <w:rsid w:val="008206B5"/>
    <w:rsid w:val="00821A6F"/>
    <w:rsid w:val="00823EA3"/>
    <w:rsid w:val="00831600"/>
    <w:rsid w:val="00834052"/>
    <w:rsid w:val="00836790"/>
    <w:rsid w:val="008367A6"/>
    <w:rsid w:val="00857BD9"/>
    <w:rsid w:val="008601FE"/>
    <w:rsid w:val="00862173"/>
    <w:rsid w:val="008741B4"/>
    <w:rsid w:val="008807B3"/>
    <w:rsid w:val="008834D9"/>
    <w:rsid w:val="00883C3D"/>
    <w:rsid w:val="008841D2"/>
    <w:rsid w:val="008902CE"/>
    <w:rsid w:val="00891609"/>
    <w:rsid w:val="008924BE"/>
    <w:rsid w:val="0089646C"/>
    <w:rsid w:val="008A3D2C"/>
    <w:rsid w:val="008B1924"/>
    <w:rsid w:val="008B1BD4"/>
    <w:rsid w:val="008B53B0"/>
    <w:rsid w:val="008D14DD"/>
    <w:rsid w:val="008D26CF"/>
    <w:rsid w:val="008D3921"/>
    <w:rsid w:val="008D5EF8"/>
    <w:rsid w:val="008E1903"/>
    <w:rsid w:val="008F22C5"/>
    <w:rsid w:val="008F2820"/>
    <w:rsid w:val="008F73E2"/>
    <w:rsid w:val="009016BE"/>
    <w:rsid w:val="00904913"/>
    <w:rsid w:val="00905C60"/>
    <w:rsid w:val="00906D70"/>
    <w:rsid w:val="00910A9D"/>
    <w:rsid w:val="00913E0F"/>
    <w:rsid w:val="00915F59"/>
    <w:rsid w:val="009166CB"/>
    <w:rsid w:val="009239C7"/>
    <w:rsid w:val="009255F2"/>
    <w:rsid w:val="0093463C"/>
    <w:rsid w:val="00934DA4"/>
    <w:rsid w:val="00936901"/>
    <w:rsid w:val="00947472"/>
    <w:rsid w:val="00957544"/>
    <w:rsid w:val="009704FD"/>
    <w:rsid w:val="009719A1"/>
    <w:rsid w:val="009745C1"/>
    <w:rsid w:val="0097560D"/>
    <w:rsid w:val="00993B33"/>
    <w:rsid w:val="009B738D"/>
    <w:rsid w:val="009B7B79"/>
    <w:rsid w:val="009C70E5"/>
    <w:rsid w:val="009D27DC"/>
    <w:rsid w:val="009D5CE1"/>
    <w:rsid w:val="009D7C94"/>
    <w:rsid w:val="009E1620"/>
    <w:rsid w:val="009E1A91"/>
    <w:rsid w:val="009E39B9"/>
    <w:rsid w:val="009E3DF9"/>
    <w:rsid w:val="009F3B25"/>
    <w:rsid w:val="009F3C84"/>
    <w:rsid w:val="00A00212"/>
    <w:rsid w:val="00A036B3"/>
    <w:rsid w:val="00A039D5"/>
    <w:rsid w:val="00A14F13"/>
    <w:rsid w:val="00A164B1"/>
    <w:rsid w:val="00A240D9"/>
    <w:rsid w:val="00A245BC"/>
    <w:rsid w:val="00A37717"/>
    <w:rsid w:val="00A44E6D"/>
    <w:rsid w:val="00A52E4C"/>
    <w:rsid w:val="00A56162"/>
    <w:rsid w:val="00A56B08"/>
    <w:rsid w:val="00A60EB3"/>
    <w:rsid w:val="00A63296"/>
    <w:rsid w:val="00A63670"/>
    <w:rsid w:val="00A64754"/>
    <w:rsid w:val="00A652BC"/>
    <w:rsid w:val="00A7495F"/>
    <w:rsid w:val="00A76EAF"/>
    <w:rsid w:val="00A76F59"/>
    <w:rsid w:val="00A77547"/>
    <w:rsid w:val="00A8087C"/>
    <w:rsid w:val="00A92859"/>
    <w:rsid w:val="00A961DC"/>
    <w:rsid w:val="00A96E87"/>
    <w:rsid w:val="00AA11EA"/>
    <w:rsid w:val="00AA2F3A"/>
    <w:rsid w:val="00AA409C"/>
    <w:rsid w:val="00AA5278"/>
    <w:rsid w:val="00AB0A23"/>
    <w:rsid w:val="00AC17DC"/>
    <w:rsid w:val="00AC2DB1"/>
    <w:rsid w:val="00AD0327"/>
    <w:rsid w:val="00AD34D6"/>
    <w:rsid w:val="00AE4B04"/>
    <w:rsid w:val="00AE4F4B"/>
    <w:rsid w:val="00AF6830"/>
    <w:rsid w:val="00B0108B"/>
    <w:rsid w:val="00B032DD"/>
    <w:rsid w:val="00B07EF5"/>
    <w:rsid w:val="00B10147"/>
    <w:rsid w:val="00B22F6D"/>
    <w:rsid w:val="00B265DA"/>
    <w:rsid w:val="00B36EFF"/>
    <w:rsid w:val="00B43A61"/>
    <w:rsid w:val="00B5497A"/>
    <w:rsid w:val="00B61F68"/>
    <w:rsid w:val="00B62475"/>
    <w:rsid w:val="00B63637"/>
    <w:rsid w:val="00B80660"/>
    <w:rsid w:val="00B82E6E"/>
    <w:rsid w:val="00B8570F"/>
    <w:rsid w:val="00B87DF1"/>
    <w:rsid w:val="00B9270D"/>
    <w:rsid w:val="00B93427"/>
    <w:rsid w:val="00B966F0"/>
    <w:rsid w:val="00BA212F"/>
    <w:rsid w:val="00BA2C6E"/>
    <w:rsid w:val="00BA4AA2"/>
    <w:rsid w:val="00BB5D50"/>
    <w:rsid w:val="00BB62B2"/>
    <w:rsid w:val="00BC3DC5"/>
    <w:rsid w:val="00BC6255"/>
    <w:rsid w:val="00BE2B9C"/>
    <w:rsid w:val="00BE45D6"/>
    <w:rsid w:val="00BE4AE5"/>
    <w:rsid w:val="00BF07DD"/>
    <w:rsid w:val="00BF0F94"/>
    <w:rsid w:val="00BF1866"/>
    <w:rsid w:val="00BF5EF3"/>
    <w:rsid w:val="00BF6304"/>
    <w:rsid w:val="00C02F7D"/>
    <w:rsid w:val="00C15336"/>
    <w:rsid w:val="00C2284E"/>
    <w:rsid w:val="00C31C84"/>
    <w:rsid w:val="00C31CCF"/>
    <w:rsid w:val="00C32809"/>
    <w:rsid w:val="00C33229"/>
    <w:rsid w:val="00C340FE"/>
    <w:rsid w:val="00C3458B"/>
    <w:rsid w:val="00C42187"/>
    <w:rsid w:val="00C44B69"/>
    <w:rsid w:val="00C45216"/>
    <w:rsid w:val="00C72CA0"/>
    <w:rsid w:val="00C73BC2"/>
    <w:rsid w:val="00C9215B"/>
    <w:rsid w:val="00CA140D"/>
    <w:rsid w:val="00CA3997"/>
    <w:rsid w:val="00CA3ACA"/>
    <w:rsid w:val="00CB1F7F"/>
    <w:rsid w:val="00CB385B"/>
    <w:rsid w:val="00CC692F"/>
    <w:rsid w:val="00CD4988"/>
    <w:rsid w:val="00CD5F12"/>
    <w:rsid w:val="00CE0B8A"/>
    <w:rsid w:val="00CE1BCD"/>
    <w:rsid w:val="00CE2BCC"/>
    <w:rsid w:val="00CE77CB"/>
    <w:rsid w:val="00CF0197"/>
    <w:rsid w:val="00CF0CAD"/>
    <w:rsid w:val="00CF5728"/>
    <w:rsid w:val="00D03541"/>
    <w:rsid w:val="00D06312"/>
    <w:rsid w:val="00D12C33"/>
    <w:rsid w:val="00D20D07"/>
    <w:rsid w:val="00D24993"/>
    <w:rsid w:val="00D46677"/>
    <w:rsid w:val="00D5037B"/>
    <w:rsid w:val="00D50455"/>
    <w:rsid w:val="00D51041"/>
    <w:rsid w:val="00D53051"/>
    <w:rsid w:val="00D55022"/>
    <w:rsid w:val="00D55B85"/>
    <w:rsid w:val="00D573F2"/>
    <w:rsid w:val="00D761F5"/>
    <w:rsid w:val="00D81E9D"/>
    <w:rsid w:val="00D860EE"/>
    <w:rsid w:val="00D959FE"/>
    <w:rsid w:val="00DB0AA4"/>
    <w:rsid w:val="00DB7DE5"/>
    <w:rsid w:val="00DE6EBE"/>
    <w:rsid w:val="00DF1440"/>
    <w:rsid w:val="00DF4FFE"/>
    <w:rsid w:val="00DF562C"/>
    <w:rsid w:val="00DF7083"/>
    <w:rsid w:val="00E0130B"/>
    <w:rsid w:val="00E17CB6"/>
    <w:rsid w:val="00E207EE"/>
    <w:rsid w:val="00E234E7"/>
    <w:rsid w:val="00E24A71"/>
    <w:rsid w:val="00E338B8"/>
    <w:rsid w:val="00E339B8"/>
    <w:rsid w:val="00E355CE"/>
    <w:rsid w:val="00E40E47"/>
    <w:rsid w:val="00E41903"/>
    <w:rsid w:val="00E55746"/>
    <w:rsid w:val="00E635CB"/>
    <w:rsid w:val="00E85613"/>
    <w:rsid w:val="00E8765E"/>
    <w:rsid w:val="00E9590D"/>
    <w:rsid w:val="00E95CE7"/>
    <w:rsid w:val="00E96F23"/>
    <w:rsid w:val="00E9763D"/>
    <w:rsid w:val="00EA1CC4"/>
    <w:rsid w:val="00EA36CD"/>
    <w:rsid w:val="00EA45BA"/>
    <w:rsid w:val="00EB03DE"/>
    <w:rsid w:val="00EB1674"/>
    <w:rsid w:val="00EB558B"/>
    <w:rsid w:val="00EB7C66"/>
    <w:rsid w:val="00EC0AE1"/>
    <w:rsid w:val="00EC7570"/>
    <w:rsid w:val="00ED0DDB"/>
    <w:rsid w:val="00ED207E"/>
    <w:rsid w:val="00ED345B"/>
    <w:rsid w:val="00ED38A6"/>
    <w:rsid w:val="00ED4872"/>
    <w:rsid w:val="00F0347D"/>
    <w:rsid w:val="00F0350F"/>
    <w:rsid w:val="00F03579"/>
    <w:rsid w:val="00F0782E"/>
    <w:rsid w:val="00F07FA6"/>
    <w:rsid w:val="00F249B7"/>
    <w:rsid w:val="00F30D1C"/>
    <w:rsid w:val="00F342B8"/>
    <w:rsid w:val="00F41511"/>
    <w:rsid w:val="00F44B72"/>
    <w:rsid w:val="00F470B2"/>
    <w:rsid w:val="00F50EC8"/>
    <w:rsid w:val="00F538AE"/>
    <w:rsid w:val="00F54544"/>
    <w:rsid w:val="00F601E1"/>
    <w:rsid w:val="00F66D4D"/>
    <w:rsid w:val="00F727BF"/>
    <w:rsid w:val="00F73313"/>
    <w:rsid w:val="00F75271"/>
    <w:rsid w:val="00F7606C"/>
    <w:rsid w:val="00F8182B"/>
    <w:rsid w:val="00F87271"/>
    <w:rsid w:val="00F903BE"/>
    <w:rsid w:val="00F93A50"/>
    <w:rsid w:val="00F93CFA"/>
    <w:rsid w:val="00FA13D4"/>
    <w:rsid w:val="00FA3DAD"/>
    <w:rsid w:val="00FB076D"/>
    <w:rsid w:val="00FB4D40"/>
    <w:rsid w:val="00FB785D"/>
    <w:rsid w:val="00FC1EAC"/>
    <w:rsid w:val="00FC2D3C"/>
    <w:rsid w:val="00FC61BD"/>
    <w:rsid w:val="00FC7854"/>
    <w:rsid w:val="00FD0537"/>
    <w:rsid w:val="00FE308C"/>
    <w:rsid w:val="00FE568B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6F852"/>
  <w14:defaultImageDpi w14:val="330"/>
  <w15:docId w15:val="{ABC930DF-14ED-475C-8E8E-38ADDD5C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29"/>
  </w:style>
  <w:style w:type="paragraph" w:styleId="Heading1">
    <w:name w:val="heading 1"/>
    <w:basedOn w:val="Normal"/>
    <w:next w:val="Normal"/>
    <w:link w:val="Heading1Char"/>
    <w:uiPriority w:val="9"/>
    <w:qFormat/>
    <w:rsid w:val="00C3322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22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22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2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2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2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2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2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2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2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2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2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2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2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2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2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57544"/>
    <w:pPr>
      <w:ind w:left="720"/>
      <w:contextualSpacing/>
    </w:pPr>
  </w:style>
  <w:style w:type="table" w:styleId="TableGrid">
    <w:name w:val="Table Grid"/>
    <w:basedOn w:val="TableNormal"/>
    <w:uiPriority w:val="59"/>
    <w:rsid w:val="00106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C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5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8039452E70D4B85571C137DC97309" ma:contentTypeVersion="13" ma:contentTypeDescription="Create a new document." ma:contentTypeScope="" ma:versionID="2bc9890f0fd5251b51018475857ab1c9">
  <xsd:schema xmlns:xsd="http://www.w3.org/2001/XMLSchema" xmlns:xs="http://www.w3.org/2001/XMLSchema" xmlns:p="http://schemas.microsoft.com/office/2006/metadata/properties" xmlns:ns3="4157adfd-3859-4d3e-97d9-4fd30d515bf3" xmlns:ns4="2b9a48b6-cd1a-4ccc-ab2e-4aaec460ff9f" targetNamespace="http://schemas.microsoft.com/office/2006/metadata/properties" ma:root="true" ma:fieldsID="7df6423a2c7102642f0ea33d1773ca43" ns3:_="" ns4:_="">
    <xsd:import namespace="4157adfd-3859-4d3e-97d9-4fd30d515bf3"/>
    <xsd:import namespace="2b9a48b6-cd1a-4ccc-ab2e-4aaec460ff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7adfd-3859-4d3e-97d9-4fd30d515b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a48b6-cd1a-4ccc-ab2e-4aaec460f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D214B-DE46-4FB7-9DB7-B5088676F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7adfd-3859-4d3e-97d9-4fd30d515bf3"/>
    <ds:schemaRef ds:uri="2b9a48b6-cd1a-4ccc-ab2e-4aaec460f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28D6CD-5686-46E5-BB22-0F29E60A8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336DE-D311-465F-ACC9-63318F449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5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RODNEY MCINTOSH</cp:lastModifiedBy>
  <cp:revision>213</cp:revision>
  <dcterms:created xsi:type="dcterms:W3CDTF">2020-07-27T04:07:00Z</dcterms:created>
  <dcterms:modified xsi:type="dcterms:W3CDTF">2020-10-16T20:53:00Z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0x010100D5B8039452E70D4B85571C137DC97309</vt:lpwstr>
  </property>
</Properties>
</file>