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jc w:val="left"/>
      </w:pPr>
      <w:r>
        <w:rPr>
          <w:rFonts w:ascii="Times New Roman" w:cs="Times New Roman" w:eastAsia="Times New Roman" w:hAnsi="Times New Roman"/>
          <w:b/>
          <w:bCs/>
          <w:sz w:val="28"/>
          <w:szCs w:val="28"/>
        </w:rPr>
        <w:t xml:space="preserve">Selecting puppies for underrepresented alleles conserves genetic diversity: a forward simulation in three dog breeds</w:t>
      </w:r>
    </w:p>
    <w:p>
      <w:pPr>
        <w:spacing w:after="120" w:line="480"/>
        <w:jc w:val="left"/>
      </w:pPr>
      <w:r>
        <w:rPr>
          <w:rFonts w:ascii="Times New Roman" w:cs="Times New Roman" w:eastAsia="Times New Roman" w:hAnsi="Times New Roman"/>
          <w:i/>
          <w:iCs/>
          <w:sz w:val="24"/>
          <w:szCs w:val="24"/>
        </w:rPr>
        <w:t xml:space="preserve">Natalie Green Tessier</w:t>
      </w:r>
    </w:p>
    <w:p>
      <w:pPr>
        <w:spacing w:after="240" w:line="480"/>
        <w:jc w:val="left"/>
      </w:pPr>
      <w:r>
        <w:rPr>
          <w:rFonts w:ascii="Times New Roman" w:cs="Times New Roman" w:eastAsia="Times New Roman" w:hAnsi="Times New Roman"/>
          <w:sz w:val="24"/>
          <w:szCs w:val="24"/>
        </w:rPr>
        <w:t xml:space="preserve">Running title: Selecting puppies to conserve diversity</w:t>
      </w:r>
    </w:p>
    <w:p>
      <w:pPr>
        <w:pStyle w:val="Heading1"/>
        <w:spacing w:after="120" w:before="240" w:line="480"/>
      </w:pPr>
      <w:r>
        <w:rPr>
          <w:rFonts w:ascii="Times New Roman" w:cs="Times New Roman" w:eastAsia="Times New Roman" w:hAnsi="Times New Roman"/>
          <w:b/>
          <w:bCs/>
          <w:sz w:val="26"/>
          <w:szCs w:val="26"/>
        </w:rPr>
        <w:t xml:space="preserve">Abstract</w:t>
      </w:r>
    </w:p>
    <w:p>
      <w:pPr>
        <w:spacing w:after="120" w:line="480"/>
        <w:jc w:val="left"/>
      </w:pPr>
      <w:r>
        <w:rPr>
          <w:rFonts w:ascii="Times New Roman" w:cs="Times New Roman" w:eastAsia="Times New Roman" w:hAnsi="Times New Roman"/>
          <w:sz w:val="24"/>
          <w:szCs w:val="24"/>
        </w:rPr>
        <w:t xml:space="preserve">Purebred dog breeds, </w:t>
      </w:r>
      <w:r>
        <w:rPr>
          <w:rFonts w:ascii="Times New Roman" w:cs="Times New Roman" w:eastAsia="Times New Roman" w:hAnsi="Times New Roman"/>
          <w:i/>
          <w:iCs/>
          <w:sz w:val="24"/>
          <w:szCs w:val="24"/>
        </w:rPr>
        <w:t xml:space="preserve">Canis lupus familiaris</w:t>
      </w:r>
      <w:r>
        <w:rPr>
          <w:rFonts w:ascii="Times New Roman" w:cs="Times New Roman" w:eastAsia="Times New Roman" w:hAnsi="Times New Roman"/>
          <w:sz w:val="24"/>
          <w:szCs w:val="24"/>
        </w:rPr>
        <w:t xml:space="preserve">, have genetic bottlenecks that leave a large proportion of allelic variation at low frequencies and at risk of loss. Inbreeding avoidance, the historical method of maintaining variation, cannot stop those allele frequencies from lessening until that variation is lost. Genetic data allows direct selection of breeding stock best able to preserve original variation. In a forward simulation, we tested two selection strategies that chose puppies with more underrepresented alleles (high outlier index and low average genetic relatedness), and compared these with selecting the least inbred puppies, and with random selection. We tested three bottlenecked breeds with different population structure. Founder populations of 200 real dogs genotyped at 33 microsatellite loci were bred forward for 20 generations, 50 replicates per breed, with equalized family sizes and randomized mates. Selecting unusual puppies arrested allele loss in fewer than ten generations. Expected heterozygosity in Dobermans rose from 0.50 to 0.79 under high outlier index selection and to 0.78 under low average genetic relatedness selection. High outlier index selection kept inbreeding at or near zero without selecting against it; low average genetic relatedness selection raised it moderately. Selecting the least inbred puppies lowered inbreeding most but preserved markedly less allelic variation, losing three times as many alleles as outlier index selection. All three strategies outperformed random selection. Population structure and existing allelic variation affected outcomes. We recommend selection of breeding stock with more underrepresented alleles to prevent loss of original allelic variation while controlling inbreeding in purebred dogs.</w:t>
      </w:r>
    </w:p>
    <w:p>
      <w:pPr>
        <w:spacing w:after="120" w:line="480"/>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allelic variation, heterozygosity, bottleneck, inbreeding, purebred dogs, conservation genetics</w:t>
      </w:r>
    </w:p>
    <w:p>
      <w:pPr>
        <w:pStyle w:val="Heading1"/>
        <w:spacing w:after="120" w:before="240" w:line="480"/>
      </w:pPr>
      <w:r>
        <w:rPr>
          <w:rFonts w:ascii="Times New Roman" w:cs="Times New Roman" w:eastAsia="Times New Roman" w:hAnsi="Times New Roman"/>
          <w:b/>
          <w:bCs/>
          <w:sz w:val="26"/>
          <w:szCs w:val="26"/>
        </w:rPr>
        <w:t xml:space="preserve">Introduction</w:t>
      </w:r>
    </w:p>
    <w:p>
      <w:pPr>
        <w:spacing w:after="120" w:line="480"/>
        <w:jc w:val="left"/>
      </w:pPr>
      <w:r>
        <w:rPr>
          <w:rFonts w:ascii="Times New Roman" w:cs="Times New Roman" w:eastAsia="Times New Roman" w:hAnsi="Times New Roman"/>
          <w:sz w:val="24"/>
          <w:szCs w:val="24"/>
        </w:rPr>
        <w:t xml:space="preserve">Many, though not all, purebred dog breeds have experienced a genetic bottleneck due to historical events, traditional breeding practices, and popular sire syndrome. This is evident from high average inbreeding and depleted allelic richness (Leroy, 2011; Marsden et al., 2016; Willi et al., 2022). Most scientific literature focuses on inbreeding as the cause of health problems in purebred dogs (Bannasch et al., 2021). Limiting inbreeding, therefore, is the correct response. Active preservation of original allelic variation, however, is equally important (Allendorf, 1986), though it gets little focus in dog breeding literature and communities. Inbreeding levels can be relatively low or stable even while distinct alleles are lost to drift (Allendorf et al., 2024). Without monitoring allelic variation, we cannot understand the rate of loss or how to prevent it.</w:t>
      </w:r>
    </w:p>
    <w:p>
      <w:pPr>
        <w:spacing w:after="120" w:line="480"/>
        <w:jc w:val="left"/>
      </w:pPr>
      <w:r>
        <w:rPr>
          <w:rFonts w:ascii="Times New Roman" w:cs="Times New Roman" w:eastAsia="Times New Roman" w:hAnsi="Times New Roman"/>
          <w:sz w:val="24"/>
          <w:szCs w:val="24"/>
        </w:rPr>
        <w:t xml:space="preserve">“Genetic diversity” is an overarching term that is sometimes used to mean heterozygosity (when alleles at a locus are not identical) and sometimes used to mean allelic variation (how many distinct alleles are found at any given locus). Heterozygosity and allelic variation are two different axes that, combined, determine how genetically diverse a breed is. Each axis has a matching instrument. Large panels of single nucleotide polymorphisms read “same or different” at many thousands of sites, giving detailed estimates of inbreeding and runs of homozygosity. Panels of well-validated polymorphic loci read “common or uncommon” through allele count, allele frequencies, and population structure. These two instruments do different, necessary tasks well. Neither is expendable.</w:t>
      </w:r>
    </w:p>
    <w:p>
      <w:pPr>
        <w:spacing w:after="120" w:line="480"/>
        <w:jc w:val="left"/>
      </w:pPr>
      <w:r>
        <w:rPr>
          <w:rFonts w:ascii="Times New Roman" w:cs="Times New Roman" w:eastAsia="Times New Roman" w:hAnsi="Times New Roman"/>
          <w:sz w:val="24"/>
          <w:szCs w:val="24"/>
        </w:rPr>
        <w:t xml:space="preserve">Heterozygosity in a population is necessary for short-term adaptive capacity. It lowers the frequency of expression of deleterious recessives (Sams &amp; Boyko, 2019), and is associated with better immune function (Brambilla et al., 2018) and higher fertility (Chu et al., 2019). It is also the natural result of ample allelic richness at relatively balanced frequencies. That allelic richness, while not in and of itself protective (Teixeira &amp; Huber, 2021; but see Kardos et al., 2021), is the raw genetic material necessary for long-term adaptive capacity in any population, variation used to survive new biological threats and changing climates (Caballero &amp; García-Dorado, 2013; Allendorf et al., 2024). Allelic variation also determines how much heterozygosity is possible in a population (Fernández et al., 2004).</w:t>
      </w:r>
    </w:p>
    <w:p>
      <w:pPr>
        <w:spacing w:after="120" w:line="480"/>
        <w:jc w:val="left"/>
      </w:pPr>
      <w:r>
        <w:rPr>
          <w:rFonts w:ascii="Times New Roman" w:cs="Times New Roman" w:eastAsia="Times New Roman" w:hAnsi="Times New Roman"/>
          <w:sz w:val="24"/>
          <w:szCs w:val="24"/>
        </w:rPr>
        <w:t xml:space="preserve">Low-frequency alleles in purebred dogs descend from the breed’s founders, and most are uncommon due to a bottleneck, not because they are deleterious. Drift during a bottleneck lowers the frequencies of underrepresented alleles without regard to their effect, and by sheer volume, most of those are ordinary, benign variation. We cannot abandon the likely majority of benign allelic variation due to the likely minority of deleterious alleles, but we must have some filter. Raising the frequencies of all underrepresented alleles, while still selecting and screening for robust good health, is the best way to separate the benign from the deleterious, and mirrors natural selection to some extent. Allelic variation at accessible frequencies offers the ability to mitigate bottleneck effects and to breed away from the extreme dysfunctional morphology found in some breeds. When genes for functional phenotype are gone from a breed, there is no other option than to outcross to another breed. While existing allelic variation needs conservation, any outcross programs that bring in new variation also need more than inbreeding avoidance to raise the frequencies of any new variation high enough to have a beneficial effect on a breed.</w:t>
      </w:r>
    </w:p>
    <w:p>
      <w:pPr>
        <w:spacing w:after="120" w:line="480"/>
        <w:jc w:val="left"/>
      </w:pPr>
      <w:r>
        <w:rPr>
          <w:rFonts w:ascii="Times New Roman" w:cs="Times New Roman" w:eastAsia="Times New Roman" w:hAnsi="Times New Roman"/>
          <w:sz w:val="24"/>
          <w:szCs w:val="24"/>
        </w:rPr>
        <w:t xml:space="preserve">Pedersen et al. (2015) found a pronounced imbalance in Standard Poodles, with 70% of the breed’s genetic diversity residing in only 30% of the dogs. Those genetic outliers owe their ancestry to bloodlines largely outside the popular ones whose multi-generational inbreeding produced that breed’s bottleneck. To conserve underrepresented ancestry, we must identify the genetic outliers that carry a larger proportion of lower-frequency alleles. We can estimate this from complete, accurate pedigrees of 15 generations or more, or we can use multi-allelic marker panels. Genetic data, properly assessed, is far easier and more direct.</w:t>
      </w:r>
    </w:p>
    <w:p>
      <w:pPr>
        <w:spacing w:after="120" w:line="480"/>
        <w:jc w:val="left"/>
      </w:pPr>
      <w:r>
        <w:rPr>
          <w:rFonts w:ascii="Times New Roman" w:cs="Times New Roman" w:eastAsia="Times New Roman" w:hAnsi="Times New Roman"/>
          <w:sz w:val="24"/>
          <w:szCs w:val="24"/>
        </w:rPr>
        <w:t xml:space="preserve">Until relatively recently, breeders only had pedigrees to help with inbreeding and outcrossing. Pedigree-based calculations assume all full siblings are equal, since the coefficient of inbreeding between parents estimates the average heterozygosity of their offspring. Focus remained, therefore, on mate selection and mate relatedness because these were the available levers to adjust population structure. These are inherently measures of heterozygosity (same or different) and not of allelic variation (common or uncommon). This focus on heterozygosity continued into the age of genetics and genomics, even though those tools offer breeders expanded capabilities to conserve allelic variation and not just avoid inbreeding. Every litter has a range of results and now these can be assessed. Puppy selection offers more power to change the breed than mate selection, since it can stack the deck in favor of variation by ensuring there’s more allelic richness conserved in each successive generation.</w:t>
      </w:r>
    </w:p>
    <w:p>
      <w:pPr>
        <w:spacing w:after="120" w:line="480"/>
        <w:jc w:val="left"/>
      </w:pPr>
      <w:r>
        <w:rPr>
          <w:rFonts w:ascii="Times New Roman" w:cs="Times New Roman" w:eastAsia="Times New Roman" w:hAnsi="Times New Roman"/>
          <w:sz w:val="24"/>
          <w:szCs w:val="24"/>
        </w:rPr>
        <w:t xml:space="preserve">Conserving allelic richness, however, requires separating the two dynamics. Heterozygosity depends on how genetically similar two mates are. Allelic variation conservation depends on how genetically similar two mates are to the rest of the breed. Common dogs can be inbred or outbred. Unusual dogs can be either as well.</w:t>
      </w:r>
    </w:p>
    <w:p>
      <w:pPr>
        <w:spacing w:after="120" w:line="480"/>
        <w:jc w:val="left"/>
      </w:pPr>
      <w:r>
        <w:rPr>
          <w:rFonts w:ascii="Times New Roman" w:cs="Times New Roman" w:eastAsia="Times New Roman" w:hAnsi="Times New Roman"/>
          <w:sz w:val="24"/>
          <w:szCs w:val="24"/>
        </w:rPr>
        <w:t xml:space="preserve">We use two measures to find the puppies most valuable to conservation, both predicted to find dogs with the most underrepresented ancestry. The first is average genetic relatedness, a genetic analog of mean kinship as described by Ballou and Lacy (1995), who used pedigree-based relatedness. A low average genetic relatedness identifies a dog likely to have a higher proportion of underrepresented alleles, and a high average genetic relatedness identifies a dog likely to have a higher proportion of high-frequency alleles.</w:t>
      </w:r>
    </w:p>
    <w:p>
      <w:pPr>
        <w:spacing w:after="120" w:line="480"/>
        <w:jc w:val="left"/>
      </w:pPr>
      <w:r>
        <w:rPr>
          <w:rFonts w:ascii="Times New Roman" w:cs="Times New Roman" w:eastAsia="Times New Roman" w:hAnsi="Times New Roman"/>
          <w:sz w:val="24"/>
          <w:szCs w:val="24"/>
        </w:rPr>
        <w:t xml:space="preserve">The second measure is the outlier index, which assesses proportions of low-, mid- and high-frequency alleles found in one dog to estimate how unusual that dog is likely to be. A high outlier index identifies dogs with a higher proportion of mid- and low-frequency alleles and a low outlier index identifies dogs with more high-frequency alleles.</w:t>
      </w:r>
    </w:p>
    <w:p>
      <w:pPr>
        <w:spacing w:after="120" w:line="480"/>
        <w:jc w:val="left"/>
      </w:pPr>
      <w:r>
        <w:rPr>
          <w:rFonts w:ascii="Times New Roman" w:cs="Times New Roman" w:eastAsia="Times New Roman" w:hAnsi="Times New Roman"/>
          <w:sz w:val="24"/>
          <w:szCs w:val="24"/>
        </w:rPr>
        <w:t xml:space="preserve">Sams et al. (2020) tested pairwise mate selection using a simulated small panel of polymorphic loci and described their study as a first step. We used a commercially available panel of carefully selected and validated polymorphic loci and founder populations of real dogs and their genotypes. We tested population-level metrics that identify puppies with more underrepresented alleles rather than selecting on genetic distance between two dogs. Small panels are not optimal for maximizing heterozygosity — but they are excellent for identifying unusual individuals.</w:t>
      </w:r>
    </w:p>
    <w:p>
      <w:pPr>
        <w:spacing w:after="120" w:line="480"/>
        <w:jc w:val="left"/>
      </w:pPr>
      <w:r>
        <w:rPr>
          <w:rFonts w:ascii="Times New Roman" w:cs="Times New Roman" w:eastAsia="Times New Roman" w:hAnsi="Times New Roman"/>
          <w:sz w:val="24"/>
          <w:szCs w:val="24"/>
        </w:rPr>
        <w:t xml:space="preserve">We performed this forward simulation using these limited founder populations to test whether selecting for underrepresented alleles better preserves both short-term and long-term adaptive capacity in a breed than selecting against inbreeding or selecting randomly. We did not know the long-term outcomes of selection strategy, or how much power these various metrics might have. We hoped to see clear differences that could help breeders and benefit the breeds that most need management. We expected that selecting for underrepresented alleles consistently would preserve more allelic richness. We did not know the extent to which it could also lower or control inbreeding without ever selecting against inbreeding.</w:t>
      </w:r>
    </w:p>
    <w:p>
      <w:pPr>
        <w:pStyle w:val="Heading1"/>
        <w:spacing w:after="120" w:before="240" w:line="480"/>
      </w:pPr>
      <w:r>
        <w:rPr>
          <w:rFonts w:ascii="Times New Roman" w:cs="Times New Roman" w:eastAsia="Times New Roman" w:hAnsi="Times New Roman"/>
          <w:b/>
          <w:bCs/>
          <w:sz w:val="26"/>
          <w:szCs w:val="26"/>
        </w:rPr>
        <w:t xml:space="preserve">Methods</w:t>
      </w:r>
    </w:p>
    <w:p>
      <w:pPr>
        <w:spacing w:after="120" w:line="480"/>
        <w:jc w:val="left"/>
      </w:pPr>
      <w:r>
        <w:rPr>
          <w:rFonts w:ascii="Times New Roman" w:cs="Times New Roman" w:eastAsia="Times New Roman" w:hAnsi="Times New Roman"/>
          <w:sz w:val="24"/>
          <w:szCs w:val="24"/>
        </w:rPr>
        <w:t xml:space="preserve">We tested “keeper” puppy selection rather than mate selection, because it is more consistently within a breeder’s control.</w:t>
      </w:r>
    </w:p>
    <w:p>
      <w:pPr>
        <w:spacing w:after="120" w:line="480"/>
        <w:jc w:val="left"/>
      </w:pPr>
      <w:r>
        <w:rPr>
          <w:rFonts w:ascii="Times New Roman" w:cs="Times New Roman" w:eastAsia="Times New Roman" w:hAnsi="Times New Roman"/>
          <w:sz w:val="24"/>
          <w:szCs w:val="24"/>
        </w:rPr>
        <w:t xml:space="preserve">Every dog was bred exactly once and every pair contributed two keepers to the next generation, so family size was held equal across the breeding population. This was deliberate as it made it possible to isolate the effects of each strategy used. Equalizing the number of offspring each dog contributes keeps any single dog from being more influential in a generation. It also slows the loss of diversity (Wang et al., 2016). It is also achievable as a cooperative project among diversity minded breeders. It would require 50 breeders to own 4 dogs, bred once each for this project.</w:t>
      </w:r>
    </w:p>
    <w:p>
      <w:pPr>
        <w:spacing w:after="120" w:line="480"/>
        <w:jc w:val="left"/>
      </w:pPr>
      <w:r>
        <w:rPr>
          <w:rFonts w:ascii="Times New Roman" w:cs="Times New Roman" w:eastAsia="Times New Roman" w:hAnsi="Times New Roman"/>
          <w:sz w:val="24"/>
          <w:szCs w:val="24"/>
        </w:rPr>
        <w:t xml:space="preserve">We did not include mutation in the simulation. Over 20 generations, the mutation rate at microsatellite loci is too low to count on for replacing lost alleles, and building it in would imply a potential benefit more probable than it is.</w:t>
      </w:r>
    </w:p>
    <w:p>
      <w:pPr>
        <w:pStyle w:val="Heading2"/>
        <w:spacing w:after="120" w:before="240" w:line="480"/>
      </w:pPr>
      <w:r>
        <w:rPr>
          <w:rFonts w:ascii="Times New Roman" w:cs="Times New Roman" w:eastAsia="Times New Roman" w:hAnsi="Times New Roman"/>
          <w:b/>
          <w:bCs/>
          <w:sz w:val="24"/>
          <w:szCs w:val="24"/>
        </w:rPr>
        <w:t xml:space="preserve">The simulation</w:t>
      </w:r>
    </w:p>
    <w:p>
      <w:pPr>
        <w:spacing w:after="120" w:line="480"/>
        <w:jc w:val="left"/>
      </w:pPr>
      <w:r>
        <w:rPr>
          <w:rFonts w:ascii="Times New Roman" w:cs="Times New Roman" w:eastAsia="Times New Roman" w:hAnsi="Times New Roman"/>
          <w:sz w:val="24"/>
          <w:szCs w:val="24"/>
        </w:rPr>
        <w:t xml:space="preserve">We used a custom built, Python-based forward simulation application that uses real genotypes from dogs tested with the UC Davis VGL canine genetic diversity panel described below. That panel is available commercially and uses 33 microsatellite loci. Our simulation design has the same architecture as software such as VORTEX (Lacy, 1993; Lacy &amp; Pollak, 2014) and simuPOP (Peng &amp; Kimmel, 2005). It differs from those tools in that our founders are drawn from real STR genotypes rather than simulated, and we test keeper-selection at each generation rather than mate selection.</w:t>
      </w:r>
    </w:p>
    <w:p>
      <w:pPr>
        <w:spacing w:after="120" w:line="480"/>
        <w:jc w:val="left"/>
      </w:pPr>
      <w:r>
        <w:rPr>
          <w:rFonts w:ascii="Times New Roman" w:cs="Times New Roman" w:eastAsia="Times New Roman" w:hAnsi="Times New Roman"/>
          <w:sz w:val="24"/>
          <w:szCs w:val="24"/>
        </w:rPr>
        <w:t xml:space="preserve">Each replicate started with a new founder population with 100 males and 100 females with complete genotypes, randomly selected from a larger pool of the breed born after 1 January 2016. Because each founder population came from the same pool, some founders were in more than one replicate, but no founding generation was precisely the same 200 dogs.</w:t>
      </w:r>
    </w:p>
    <w:p>
      <w:pPr>
        <w:spacing w:after="120" w:line="480"/>
        <w:jc w:val="left"/>
      </w:pPr>
      <w:r>
        <w:rPr>
          <w:rFonts w:ascii="Times New Roman" w:cs="Times New Roman" w:eastAsia="Times New Roman" w:hAnsi="Times New Roman"/>
          <w:sz w:val="24"/>
          <w:szCs w:val="24"/>
        </w:rPr>
        <w:t xml:space="preserve">We calculated allele frequencies, distinct alleles, average alleles per locus, expected and observed heterozygosity, effective alleles per locus, inbreeding coefficient and mean internal relatedness of the founding population and every generation’s parent pool thereafter. We also tracked the percentages of low-frequency, mid-frequency and high-frequency alleles per generation to assess the rebalancing of allele frequencies. The thresholds for these were the same locus-specific thresholds used in the outlier index formula described below.</w:t>
      </w:r>
    </w:p>
    <w:p>
      <w:pPr>
        <w:spacing w:after="120" w:line="480"/>
        <w:jc w:val="left"/>
      </w:pPr>
      <w:r>
        <w:rPr>
          <w:rFonts w:ascii="Times New Roman" w:cs="Times New Roman" w:eastAsia="Times New Roman" w:hAnsi="Times New Roman"/>
          <w:sz w:val="24"/>
          <w:szCs w:val="24"/>
        </w:rPr>
        <w:t xml:space="preserve">Mates were paired randomly, one male to one female, and then each parent pair “produced” a litter of ten “puppies” using a Mendelian method of randomly selecting an allele from each parent at each locus and assembling ten new genotypes. Each puppy genotype was analyzed to determine its average genetic relatedness, outlier index and internal relatedness values. These ten puppy genotypes were then split randomly into two groups of five to simulate sexes. One puppy from each group was then selected based on the strategy being tested: lowest average genetic relatedness, highest outlier index, lowest internal relatedness, or randomly. One puppy was then randomly assigned a sex and the other was assigned the opposite sex, and the two were added to the parent pool for the next generation.</w:t>
      </w:r>
    </w:p>
    <w:p>
      <w:pPr>
        <w:spacing w:after="120" w:line="480"/>
        <w:jc w:val="left"/>
      </w:pPr>
      <w:r>
        <w:rPr>
          <w:rFonts w:ascii="Times New Roman" w:cs="Times New Roman" w:eastAsia="Times New Roman" w:hAnsi="Times New Roman"/>
          <w:sz w:val="24"/>
          <w:szCs w:val="24"/>
        </w:rPr>
        <w:t xml:space="preserve">We ran each simulation for 20 generations after the founding generation, 50 times per breed, in 3 breeds with different population structure. Data from these replicates are available with the supplementary material.</w:t>
      </w:r>
    </w:p>
    <w:p>
      <w:pPr>
        <w:pStyle w:val="Heading2"/>
        <w:spacing w:after="120" w:before="240" w:line="480"/>
      </w:pPr>
      <w:r>
        <w:rPr>
          <w:rFonts w:ascii="Times New Roman" w:cs="Times New Roman" w:eastAsia="Times New Roman" w:hAnsi="Times New Roman"/>
          <w:b/>
          <w:bCs/>
          <w:sz w:val="24"/>
          <w:szCs w:val="24"/>
        </w:rPr>
        <w:t xml:space="preserve">The selection strategies</w:t>
      </w:r>
    </w:p>
    <w:p>
      <w:pPr>
        <w:spacing w:after="120" w:line="480"/>
        <w:jc w:val="left"/>
      </w:pPr>
      <w:r>
        <w:rPr>
          <w:rFonts w:ascii="Times New Roman" w:cs="Times New Roman" w:eastAsia="Times New Roman" w:hAnsi="Times New Roman"/>
          <w:sz w:val="24"/>
          <w:szCs w:val="24"/>
        </w:rPr>
        <w:t xml:space="preserve">The algorithms for each strategy are as follows:</w:t>
      </w:r>
    </w:p>
    <w:p>
      <w:pPr>
        <w:spacing w:after="120" w:line="480"/>
        <w:jc w:val="left"/>
      </w:pPr>
      <w:r>
        <w:rPr>
          <w:rFonts w:ascii="Times New Roman" w:cs="Times New Roman" w:eastAsia="Times New Roman" w:hAnsi="Times New Roman"/>
          <w:sz w:val="24"/>
          <w:szCs w:val="24"/>
        </w:rPr>
        <w:t xml:space="preserve">The outlier index is computed per individual “puppy” using the parent generation’s allele frequencies. For each locus, with a distinct allele count of N in the parent generation, an allele is classified as low-frequency if it falls below 0.75/N, high-frequency if above 1.25/N, and mid-frequency if between these bounds. These thresholds are locus-specific rather than fixed, normalizing for variation in allelic richness across loci. The outlier index is then calculated as:</w:t>
      </w:r>
    </w:p>
    <w:p>
      <w:pPr>
        <w:spacing w:after="120" w:line="480"/>
        <w:jc w:val="left"/>
      </w:pPr>
      <w:r>
        <w:rPr>
          <w:rFonts w:ascii="Times New Roman" w:cs="Times New Roman" w:eastAsia="Times New Roman" w:hAnsi="Times New Roman"/>
          <w:sz w:val="24"/>
          <w:szCs w:val="24"/>
        </w:rPr>
        <w:t xml:space="preserve">OI = (Lf / Hf) + (Mf / 2L)</w:t>
      </w:r>
    </w:p>
    <w:p>
      <w:pPr>
        <w:spacing w:after="120" w:line="480"/>
        <w:jc w:val="left"/>
      </w:pPr>
      <w:r>
        <w:rPr>
          <w:rFonts w:ascii="Times New Roman" w:cs="Times New Roman" w:eastAsia="Times New Roman" w:hAnsi="Times New Roman"/>
          <w:sz w:val="24"/>
          <w:szCs w:val="24"/>
        </w:rPr>
        <w:t xml:space="preserve">where Lf is the count of the individual’s alleles classified as low-frequency, Hf is the count classified as high-frequency, Mf is the count classified as mid-frequency, and L is the total number of loci (33). The first term weights the ratio of all of a dog’s low-frequency to all of their high-frequency alleles; the second adds the percentage of their mid-frequency allele representation as a proportion of the individual’s total allele slots. If Hf = 0, the Lf/Hf term is set to 0. The outlier index is recalculated each generation against the parent generation’s allele frequencies.</w:t>
      </w:r>
    </w:p>
    <w:p>
      <w:pPr>
        <w:spacing w:after="120" w:line="480"/>
        <w:jc w:val="left"/>
      </w:pPr>
      <w:r>
        <w:rPr>
          <w:rFonts w:ascii="Times New Roman" w:cs="Times New Roman" w:eastAsia="Times New Roman" w:hAnsi="Times New Roman"/>
          <w:sz w:val="24"/>
          <w:szCs w:val="24"/>
        </w:rPr>
        <w:t xml:space="preserve">This index is heuristic rather than derived from a population-genetic model. It is a simple way to identify dogs with more unusual ancestry, since individual heterozygosity and inbreeding coefficients cannot “read” whether ancestry is unusual for a breed or not. The second term softens selection that could unduly favor all low-frequency alleles and penalize all higher-frequency alleles. A higher outlier index value identifies genetic outliers. Comparison of outlier index values of individuals can only be made to others in the same population.</w:t>
      </w:r>
    </w:p>
    <w:p>
      <w:pPr>
        <w:spacing w:after="120" w:line="480"/>
        <w:jc w:val="left"/>
      </w:pPr>
      <w:r>
        <w:rPr>
          <w:rFonts w:ascii="Times New Roman" w:cs="Times New Roman" w:eastAsia="Times New Roman" w:hAnsi="Times New Roman"/>
          <w:sz w:val="24"/>
          <w:szCs w:val="24"/>
        </w:rPr>
        <w:t xml:space="preserve">Average genetic relatedness is the molecular analog to mean kinship as described by Ballou and Lacy (1995), who used pedigree-based calculation. In any population, it is a single number derived from obtaining the numerical pairwise genetic relatedness value between each individual and every other individual in the population and averaging them. In this simulation, the average genetic relatedness of each individual “puppy” is the mean of the pairwise genetic relatedness values between that puppy and every dog in the parent generation, using the Wang (2002) pairwise estimator and the parent generation’s allele frequencies. Lower average genetic relatedness indicates an individual less related, on average, to the parent population. Averaging these pairwise values into a population-based metric is far more reliable and diminishes the noise found in any single pairwise genetic relatedness value. Average genetic relatedness calculated this way is also very effective at identifying ancestry from a population standpoint (Supplementary Figure S2b) without any reference to pedigrees. Average genetic relatedness is typically slightly higher or lower than zero. It is also dependent on the allele frequencies of each breed and generation.</w:t>
      </w:r>
    </w:p>
    <w:p>
      <w:pPr>
        <w:spacing w:after="120" w:line="480"/>
        <w:jc w:val="left"/>
      </w:pPr>
      <w:r>
        <w:rPr>
          <w:rFonts w:ascii="Times New Roman" w:cs="Times New Roman" w:eastAsia="Times New Roman" w:hAnsi="Times New Roman"/>
          <w:sz w:val="24"/>
          <w:szCs w:val="24"/>
        </w:rPr>
        <w:t xml:space="preserve">Internal relatedness is an inbreeding measure computed per individual following Amos et al. (2001): a frequency-weighted measure of homozygosity across the 33 loci, in which homozygosity for lower-frequency alleles is weighted more heavily. Lower internal relatedness indicates a less inbred individual.</w:t>
      </w:r>
    </w:p>
    <w:p>
      <w:pPr>
        <w:spacing w:after="120" w:line="480"/>
        <w:jc w:val="left"/>
      </w:pPr>
      <w:r>
        <w:rPr>
          <w:rFonts w:ascii="Times New Roman" w:cs="Times New Roman" w:eastAsia="Times New Roman" w:hAnsi="Times New Roman"/>
          <w:sz w:val="24"/>
          <w:szCs w:val="24"/>
        </w:rPr>
        <w:t xml:space="preserve">Random selection is the control: the same procedure with no metric applied, one puppy drawn at random from each group of five.</w:t>
      </w:r>
    </w:p>
    <w:p>
      <w:pPr>
        <w:pStyle w:val="Heading2"/>
        <w:spacing w:after="120" w:before="240" w:line="480"/>
      </w:pPr>
      <w:r>
        <w:rPr>
          <w:rFonts w:ascii="Times New Roman" w:cs="Times New Roman" w:eastAsia="Times New Roman" w:hAnsi="Times New Roman"/>
          <w:b/>
          <w:bCs/>
          <w:sz w:val="24"/>
          <w:szCs w:val="24"/>
        </w:rPr>
        <w:t xml:space="preserve">The three breeds</w:t>
      </w:r>
    </w:p>
    <w:p>
      <w:pPr>
        <w:spacing w:after="120" w:line="480"/>
        <w:jc w:val="left"/>
      </w:pPr>
      <w:r>
        <w:rPr>
          <w:rFonts w:ascii="Times New Roman" w:cs="Times New Roman" w:eastAsia="Times New Roman" w:hAnsi="Times New Roman"/>
          <w:sz w:val="24"/>
          <w:szCs w:val="24"/>
        </w:rPr>
        <w:t xml:space="preserve">We used Standard Poodles, Dobermans, and Flat-Coated Retrievers for this simulation because they all have pronounced bottlenecks and different population structure: the Standard Poodle maintains a few distinct lines but carries a documented imbalance, with most of its diversity concentrated in a small minority of dogs (Pedersen et al., 2015); the Doberman is a populous breed worldwide with both European lines (show and work) and American lines (show and pet), nearly all with the same bottleneck signature, meaning the lines are distinguishable but still closely related (Wade et al., 2023); and the Flat-Coated Retriever is too small to maintain distinct lines and may represent a population post-bottleneck. Breed-wide VGL statistics for the three breeds are summarized in Supplementary Table S8 (accessed August 20, 2026). The gap between retained and effective alleles in each breed runs from 58% to 71%, which suggests a genetic bottleneck signature. A close look at allele frequencies per locus confirms this, with one or two alleles typically at high frequencies and the bulk of alleles at quite low frequencies. Nowhere is this clearer than the DLA haplotypes in these breeds. For example, the highest frequency Doberman class II haplotype has a frequency of 0.770, while Standard Poodles have a dominant class II haplotype at 0.595 and Flat-Coated Retrievers at 0.415. Standard Poodles have significant allelic variation in the DLA, with 39 class II haplotypes, which accurately depicts the potential heterozygosity possible in the breed (UC Davis Veterinary Genetics Laboratory, accessed August 20, 2026). Dobermans have a more severe bottleneck as evidenced by their DLA, where the 19 class II haplotypes below the dominant one split just 0.23 of frequency between them. Flat-Coated Retriever DLA haplotypes are far more balanced in frequency but still very skewed, and they have only 12 class II haplotypes left in the breed.</w:t>
      </w:r>
    </w:p>
    <w:p>
      <w:pPr>
        <w:spacing w:after="120" w:line="480"/>
        <w:jc w:val="left"/>
      </w:pPr>
      <w:r>
        <w:rPr>
          <w:rFonts w:ascii="Times New Roman" w:cs="Times New Roman" w:eastAsia="Times New Roman" w:hAnsi="Times New Roman"/>
          <w:sz w:val="24"/>
          <w:szCs w:val="24"/>
        </w:rPr>
        <w:t xml:space="preserve">We took samples from an eligible pool of 3,765 Standard Poodles, 862 Dobermans, and 436 Flat-Coated Retrievers from the BetterBred database. These are subsets of totals in that database and the VGL database, which are separate. All dogs were born after 1 January 2016, and 3,540, 859, and 436 distinct dogs, respectively, were drawn as founders across the 50 replicates. Founder-pool expected heterozygosity matched the breed-wide VGL values within about 0.01 in every breed. All breeds are biologically capable of 10-puppy litters, and all breeder communities have some diversity minded breeders aware of the dangers of popular sires, making the family size restriction in the simulation design plausible.</w:t>
      </w:r>
    </w:p>
    <w:p/>
    <w:p>
      <w:pPr>
        <w:pStyle w:val="Heading2"/>
        <w:spacing w:after="120" w:before="240" w:line="480"/>
      </w:pPr>
      <w:r>
        <w:rPr>
          <w:rFonts w:ascii="Times New Roman" w:cs="Times New Roman" w:eastAsia="Times New Roman" w:hAnsi="Times New Roman"/>
          <w:b/>
          <w:bCs/>
          <w:sz w:val="24"/>
          <w:szCs w:val="24"/>
        </w:rPr>
        <w:t xml:space="preserve">The genotyping</w:t>
      </w:r>
    </w:p>
    <w:p>
      <w:pPr>
        <w:spacing w:after="120" w:line="480"/>
        <w:jc w:val="left"/>
      </w:pPr>
      <w:r>
        <w:rPr>
          <w:rFonts w:ascii="Times New Roman" w:cs="Times New Roman" w:eastAsia="Times New Roman" w:hAnsi="Times New Roman"/>
          <w:sz w:val="24"/>
          <w:szCs w:val="24"/>
        </w:rPr>
        <w:t xml:space="preserve">Genotyping is as described in Pedersen et al. (2015) and data were submitted by owners with permission to use for research since 2016.</w:t>
      </w:r>
    </w:p>
    <w:p>
      <w:pPr>
        <w:spacing w:after="120" w:line="480"/>
        <w:jc w:val="left"/>
      </w:pPr>
      <w:r>
        <w:rPr>
          <w:rFonts w:ascii="Times New Roman" w:cs="Times New Roman" w:eastAsia="Times New Roman" w:hAnsi="Times New Roman"/>
          <w:sz w:val="24"/>
          <w:szCs w:val="24"/>
        </w:rPr>
        <w:t xml:space="preserve">The 33 loci map to 25 canine autosomes (Pedersen et al., 2015; Wictum et al., 2013). Loci used were developed and validated for independent segregation, as required for the product rule in parentage and identity testing. In Wictum’s validation in 25 breeds, gametic disequilibrium was detected in 9.1% of within-breed locus pairs, but there was no consistent pattern in pairs or breeds. This disequilibrium had a random distribution, indicating that it was due to population inbreeding rather than physical linkage (Wictum et al., 2013). We mapped all 33 loci to canFam4 by in-silico PCR of the published primer pairs (Supplementary Table S7). The closest two loci are 6.75 Mb apart, beyond the distances over which linkage disequilibrium decays by half within dog breeds (0.4–3.2 Mb; Sutter et al., 2004). We therefore treat the loci as independent, as required by the outlier index, internal relatedness, and average genetic relatedness.</w:t>
      </w:r>
    </w:p>
    <w:p>
      <w:pPr>
        <w:spacing w:after="120" w:line="480"/>
        <w:jc w:val="left"/>
      </w:pPr>
      <w:r>
        <w:rPr>
          <w:rFonts w:ascii="Times New Roman" w:cs="Times New Roman" w:eastAsia="Times New Roman" w:hAnsi="Times New Roman"/>
          <w:sz w:val="24"/>
          <w:szCs w:val="24"/>
        </w:rPr>
        <w:t xml:space="preserve">The full VGL diversity panel comprises 40 STR loci; the remaining seven — four in the DLA class I region and three in class II — are tightly linked within their respective regions and inherited as extended haplotypes, and are excluded from these calculations.</w:t>
      </w:r>
    </w:p>
    <w:p>
      <w:pPr>
        <w:pStyle w:val="Heading2"/>
        <w:spacing w:after="120" w:before="240" w:line="480"/>
      </w:pPr>
      <w:r>
        <w:rPr>
          <w:rFonts w:ascii="Times New Roman" w:cs="Times New Roman" w:eastAsia="Times New Roman" w:hAnsi="Times New Roman"/>
          <w:b/>
          <w:bCs/>
          <w:sz w:val="24"/>
          <w:szCs w:val="24"/>
        </w:rPr>
        <w:t xml:space="preserve">Statistical analysis</w:t>
      </w:r>
    </w:p>
    <w:p>
      <w:pPr>
        <w:spacing w:after="120" w:line="480"/>
        <w:jc w:val="left"/>
      </w:pPr>
      <w:r>
        <w:rPr>
          <w:rFonts w:ascii="Times New Roman" w:cs="Times New Roman" w:eastAsia="Times New Roman" w:hAnsi="Times New Roman"/>
          <w:sz w:val="24"/>
          <w:szCs w:val="24"/>
        </w:rPr>
        <w:t xml:space="preserve">Because effective alleles (1/(1 − He,locus), averaged across the 33 loci) is calculated directly from expected heterozygosity, we report it only as a descriptor of expected heterozygosity and not as independent confirmation. Observed heterozygosity, by contrast, is a direct count of heterozygous genotypes rather than a function of expected heterozygosity, and is treated here as an independent outcome. We do not report effective population size here. The heterozygosity-decay estimator needs heterozygosity to be falling, and it falls only under random selection; outlier index, average genetic relatedness, and internal relatedness selection raise it, which results in negative values and is therefore uninformative.</w:t>
      </w:r>
    </w:p>
    <w:p>
      <w:pPr>
        <w:spacing w:after="120" w:line="480"/>
        <w:jc w:val="left"/>
      </w:pPr>
      <w:r>
        <w:rPr>
          <w:rFonts w:ascii="Times New Roman" w:cs="Times New Roman" w:eastAsia="Times New Roman" w:hAnsi="Times New Roman"/>
          <w:sz w:val="24"/>
          <w:szCs w:val="24"/>
        </w:rPr>
        <w:t xml:space="preserve">We interpret results primarily by effect sizes and replicate-level consistency, with the paired tests reported as supporting detail. We used two-sided Wilcoxon signed-rank tests to compare average alleles per locus, expected heterozygosity, effective alleles per locus, mean population internal relatedness, and observed heterozygosity at generation 20 between each strategy pair within each breed. Because all strategies and random selection used the same founder draw per replicate, comparisons were paired by replicate, which removes founder-draw variance from the contrast. Breed pools were finite, so some founder population draws had some dogs in common and therefore replicates within a breed are not fully independent. This is most so in the Flat-Coated Retriever, where each draw of 200 came from a pool of 436.</w:t>
      </w:r>
    </w:p>
    <w:p>
      <w:pPr>
        <w:spacing w:after="120" w:line="480"/>
        <w:jc w:val="left"/>
      </w:pPr>
      <w:r>
        <w:rPr>
          <w:rFonts w:ascii="Times New Roman" w:cs="Times New Roman" w:eastAsia="Times New Roman" w:hAnsi="Times New Roman"/>
          <w:sz w:val="24"/>
          <w:szCs w:val="24"/>
        </w:rPr>
        <w:t xml:space="preserve">The within-replicate pairing and the size and consistency of the differences across all 50 replicates, however, make this non-independence immaterial to the conclusions. P-values were Bonferroni-corrected for 18 simultaneous comparisons (6 pairs × 3 breeds) within each outcome variable. All tests were run in Python 3 using scipy.stats.wilcoxon. Full pairwise results for all five outcome variables are provided in Supplementary Tables S1–S5. The only effect sizes reported in the text (outlier index versus average genetic relatedness on expected heterozygosity) are Cohen’s d_z, the mean within-replicate difference divided by its standard deviation, consistent with the paired design.</w:t>
      </w:r>
    </w:p>
    <w:p>
      <w:pPr>
        <w:pStyle w:val="Heading1"/>
        <w:spacing w:after="120" w:before="240" w:line="480"/>
      </w:pPr>
      <w:r>
        <w:rPr>
          <w:rFonts w:ascii="Times New Roman" w:cs="Times New Roman" w:eastAsia="Times New Roman" w:hAnsi="Times New Roman"/>
          <w:b/>
          <w:bCs/>
          <w:sz w:val="26"/>
          <w:szCs w:val="26"/>
        </w:rPr>
        <w:t xml:space="preserve">Results</w:t>
      </w:r>
    </w:p>
    <w:p>
      <w:pPr>
        <w:pStyle w:val="Heading2"/>
        <w:spacing w:after="120" w:before="240" w:line="480"/>
      </w:pPr>
      <w:r>
        <w:rPr>
          <w:rFonts w:ascii="Times New Roman" w:cs="Times New Roman" w:eastAsia="Times New Roman" w:hAnsi="Times New Roman"/>
          <w:b/>
          <w:bCs/>
          <w:sz w:val="24"/>
          <w:szCs w:val="24"/>
        </w:rPr>
        <w:t xml:space="preserve">Allelic richness preservation</w:t>
      </w:r>
    </w:p>
    <w:p>
      <w:pPr>
        <w:spacing w:after="120" w:line="480"/>
        <w:jc w:val="left"/>
      </w:pPr>
      <w:r>
        <w:rPr>
          <w:rFonts w:ascii="Times New Roman" w:cs="Times New Roman" w:eastAsia="Times New Roman" w:hAnsi="Times New Roman"/>
          <w:sz w:val="24"/>
          <w:szCs w:val="24"/>
        </w:rPr>
        <w:t xml:space="preserve">Selection for high outlier index and low average genetic relatedness substantially outperformed low internal relatedness and random selection at preservation of allelic variation in all three breeds (Table 1; Table S1). For conservation of distinct alleles, selection for high outlier index retained numerically more alleles per locus than selection for low average genetic relatedness in every breed, but only one margin is statistically reliable. The Doberman margin was the largest (0.06) but varied widely from replicate to replicate and is not statistically distinguishable after correction (Table S1). The Flat-Coated Retriever margin was smaller (0.04) but nearly uniform across replicates, and holds after correction. In the Standard Poodle, the two strategies did not differ.</w:t>
      </w:r>
    </w:p>
    <w:p>
      <w:pPr>
        <w:spacing w:after="120" w:line="480"/>
        <w:jc w:val="left"/>
      </w:pPr>
      <w:r>
        <w:rPr>
          <w:rFonts w:ascii="Times New Roman" w:cs="Times New Roman" w:eastAsia="Times New Roman" w:hAnsi="Times New Roman"/>
          <w:sz w:val="24"/>
          <w:szCs w:val="24"/>
        </w:rPr>
        <w:t xml:space="preserve">Selection for low internal relatedness outperformed random selection on preservation of alleles (Figure 1; Table 1; Table S1).</w:t>
      </w:r>
    </w:p>
    <w:p>
      <w:pPr>
        <w:spacing w:after="120" w:line="480"/>
        <w:jc w:val="left"/>
      </w:pPr>
      <w:r>
        <w:rPr>
          <w:rFonts w:ascii="Times New Roman" w:cs="Times New Roman" w:eastAsia="Times New Roman" w:hAnsi="Times New Roman"/>
          <w:sz w:val="24"/>
          <w:szCs w:val="24"/>
        </w:rPr>
        <w:t xml:space="preserve">Both outlier index and average genetic relatedness strategies slowed allele loss until it essentially arrested within the simulation window (Figure 1): across the final five generations, the mean total allele count (summed across all 33 loci) changed by 0.12 of an allele or less in every breed. This is a per-generation slope indistinguishable from zero. In contrast, both internal relatedness and random selection continued to shed between roughly 0.5 and 1.7 alleles per generation, with no sign of leveling (Table 2). Under outlier index and average genetic relatedness, allele loss did not just slow — it stopped. Mean allele count reached a plateau by about generation 8 in the Standard Poodle, generation 9 in the Doberman, and generation 6 to 7 in the Flat-Coated Retriever, then held steady to generation 20 (Figure 1; Table 2). Under internal relatedness and random selection it kept falling.</w:t>
      </w:r>
    </w:p>
    <w:p>
      <w:pPr>
        <w:spacing w:after="120" w:line="480"/>
        <w:jc w:val="left"/>
      </w:pPr>
      <w:r>
        <w:rPr>
          <w:rFonts w:ascii="Times New Roman" w:cs="Times New Roman" w:eastAsia="Times New Roman" w:hAnsi="Times New Roman"/>
          <w:sz w:val="24"/>
          <w:szCs w:val="24"/>
        </w:rPr>
        <w:t xml:space="preserve">Random selection lost the most allelic richness in all breeds (Figure 1; Table 1; Table S1).</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1. Allelic richness over 20 generations by selection strategy, normalized to starting allelic richness (= 100%). Lines are means of 50 replicates; shaded bands are ±1 SD. Under outlier index and average genetic relatedness, loss arrests within the simulation window. Under internal relatedness and random selection, loss continues monotonically through generation 20.</w:t>
      </w:r>
    </w:p>
    <w:p>
      <w:pPr>
        <w:spacing w:after="240" w:line="360"/>
      </w:pPr>
      <w:r>
        <w:rPr>
          <w:rFonts w:ascii="Times New Roman" w:cs="Times New Roman" w:eastAsia="Times New Roman" w:hAnsi="Times New Roman"/>
          <w:sz w:val="24"/>
          <w:szCs w:val="24"/>
        </w:rPr>
        <w:t xml:space="preserve">Alt text: Three line charts, one per breed, showing allelic richness per generation as a percentage of starting richness. With selection by outlier index and average genetic relatedness, the curves plateau by roughly generation 6 to 9 in each breed and continue to generation 20. With selection by internal relatedness and random selection, the curves continue to decline to generation 20, with random selection lowest in all three breeds.</w:t>
      </w:r>
    </w:p>
    <w:p>
      <w:pPr>
        <w:pStyle w:val="Heading2"/>
        <w:spacing w:after="120" w:before="240" w:line="480"/>
      </w:pPr>
      <w:r>
        <w:rPr>
          <w:rFonts w:ascii="Times New Roman" w:cs="Times New Roman" w:eastAsia="Times New Roman" w:hAnsi="Times New Roman"/>
          <w:b/>
          <w:bCs/>
          <w:sz w:val="24"/>
          <w:szCs w:val="24"/>
        </w:rPr>
        <w:t xml:space="preserve">Table 1. Founder (generation 0) and generation-20 diversity metrics by strategy in each breed.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40"/>
        <w:gridCol w:w="1040"/>
        <w:gridCol w:w="1040"/>
        <w:gridCol w:w="1040"/>
        <w:gridCol w:w="1040"/>
        <w:gridCol w:w="1040"/>
        <w:gridCol w:w="1040"/>
        <w:gridCol w:w="1040"/>
        <w:gridCol w:w="1040"/>
      </w:tblGrid>
      <w:tr>
        <w:tc>
          <w:tcPr>
            <w:tcW w:type="dxa" w:w="1040"/>
          </w:tcPr>
          <w:p>
            <w:pPr>
              <w:spacing w:line="240"/>
            </w:pPr>
            <w:r>
              <w:rPr>
                <w:rFonts w:ascii="Times New Roman" w:cs="Times New Roman" w:eastAsia="Times New Roman" w:hAnsi="Times New Roman"/>
                <w:b/>
                <w:bCs/>
                <w:sz w:val="20"/>
                <w:szCs w:val="20"/>
              </w:rPr>
              <w:t xml:space="preserve">Strategy</w:t>
            </w:r>
          </w:p>
        </w:tc>
        <w:tc>
          <w:tcPr>
            <w:tcW w:type="dxa" w:w="1040"/>
          </w:tcPr>
          <w:p>
            <w:pPr>
              <w:spacing w:line="240"/>
            </w:pPr>
            <w:r>
              <w:rPr>
                <w:rFonts w:ascii="Times New Roman" w:cs="Times New Roman" w:eastAsia="Times New Roman" w:hAnsi="Times New Roman"/>
                <w:b/>
                <w:bCs/>
                <w:sz w:val="20"/>
                <w:szCs w:val="20"/>
              </w:rPr>
              <w:t xml:space="preserve">Generation</w:t>
            </w:r>
          </w:p>
        </w:tc>
        <w:tc>
          <w:tcPr>
            <w:tcW w:type="dxa" w:w="1040"/>
          </w:tcPr>
          <w:p>
            <w:pPr>
              <w:spacing w:line="240"/>
            </w:pPr>
            <w:r>
              <w:rPr>
                <w:rFonts w:ascii="Times New Roman" w:cs="Times New Roman" w:eastAsia="Times New Roman" w:hAnsi="Times New Roman"/>
                <w:b/>
                <w:bCs/>
                <w:sz w:val="20"/>
                <w:szCs w:val="20"/>
              </w:rPr>
              <w:t xml:space="preserve">Alleles/locus</w:t>
            </w:r>
          </w:p>
        </w:tc>
        <w:tc>
          <w:tcPr>
            <w:tcW w:type="dxa" w:w="1040"/>
          </w:tcPr>
          <w:p>
            <w:pPr>
              <w:spacing w:line="240"/>
            </w:pPr>
            <w:r>
              <w:rPr>
                <w:rFonts w:ascii="Times New Roman" w:cs="Times New Roman" w:eastAsia="Times New Roman" w:hAnsi="Times New Roman"/>
                <w:b/>
                <w:bCs/>
                <w:sz w:val="20"/>
                <w:szCs w:val="20"/>
              </w:rPr>
              <w:t xml:space="preserve">Expected heterozygosity</w:t>
            </w:r>
          </w:p>
        </w:tc>
        <w:tc>
          <w:tcPr>
            <w:tcW w:type="dxa" w:w="1040"/>
          </w:tcPr>
          <w:p>
            <w:pPr>
              <w:spacing w:line="240"/>
            </w:pPr>
            <w:r>
              <w:rPr>
                <w:rFonts w:ascii="Times New Roman" w:cs="Times New Roman" w:eastAsia="Times New Roman" w:hAnsi="Times New Roman"/>
                <w:b/>
                <w:bCs/>
                <w:sz w:val="20"/>
                <w:szCs w:val="20"/>
              </w:rPr>
              <w:t xml:space="preserve">Observed heterozygosity</w:t>
            </w:r>
          </w:p>
        </w:tc>
        <w:tc>
          <w:tcPr>
            <w:tcW w:type="dxa" w:w="1040"/>
          </w:tcPr>
          <w:p>
            <w:pPr>
              <w:spacing w:line="240"/>
            </w:pPr>
            <w:r>
              <w:rPr>
                <w:rFonts w:ascii="Times New Roman" w:cs="Times New Roman" w:eastAsia="Times New Roman" w:hAnsi="Times New Roman"/>
                <w:b/>
                <w:bCs/>
                <w:sz w:val="20"/>
                <w:szCs w:val="20"/>
              </w:rPr>
              <w:t xml:space="preserve">Effective alleles</w:t>
            </w:r>
          </w:p>
        </w:tc>
        <w:tc>
          <w:tcPr>
            <w:tcW w:type="dxa" w:w="1040"/>
          </w:tcPr>
          <w:p>
            <w:pPr>
              <w:spacing w:line="240"/>
            </w:pPr>
            <w:r>
              <w:rPr>
                <w:rFonts w:ascii="Times New Roman" w:cs="Times New Roman" w:eastAsia="Times New Roman" w:hAnsi="Times New Roman"/>
                <w:b/>
                <w:bCs/>
                <w:sz w:val="20"/>
                <w:szCs w:val="20"/>
              </w:rPr>
              <w:t xml:space="preserve">Outlier index</w:t>
            </w:r>
          </w:p>
        </w:tc>
        <w:tc>
          <w:tcPr>
            <w:tcW w:type="dxa" w:w="1040"/>
          </w:tcPr>
          <w:p>
            <w:pPr>
              <w:spacing w:line="240"/>
            </w:pPr>
            <w:r>
              <w:rPr>
                <w:rFonts w:ascii="Times New Roman" w:cs="Times New Roman" w:eastAsia="Times New Roman" w:hAnsi="Times New Roman"/>
                <w:b/>
                <w:bCs/>
                <w:sz w:val="20"/>
                <w:szCs w:val="20"/>
              </w:rPr>
              <w:t xml:space="preserve">Internal relatedness</w:t>
            </w:r>
          </w:p>
        </w:tc>
        <w:tc>
          <w:tcPr>
            <w:tcW w:type="dxa" w:w="1040"/>
          </w:tcPr>
          <w:p>
            <w:pPr>
              <w:spacing w:line="240"/>
            </w:pPr>
            <w:r>
              <w:rPr>
                <w:rFonts w:ascii="Times New Roman" w:cs="Times New Roman" w:eastAsia="Times New Roman" w:hAnsi="Times New Roman"/>
                <w:b/>
                <w:bCs/>
                <w:sz w:val="20"/>
                <w:szCs w:val="20"/>
              </w:rPr>
              <w:t xml:space="preserve">Fis</w:t>
            </w:r>
          </w:p>
        </w:tc>
      </w:tr>
      <w:tr>
        <w:tc>
          <w:tcPr>
            <w:tcW w:type="dxa" w:w="1040"/>
          </w:tcPr>
          <w:p>
            <w:pPr>
              <w:spacing w:line="240"/>
            </w:pPr>
            <w:r>
              <w:rPr>
                <w:rFonts w:ascii="Times New Roman" w:cs="Times New Roman" w:eastAsia="Times New Roman" w:hAnsi="Times New Roman"/>
                <w:b/>
                <w:bCs/>
                <w:i/>
                <w:iCs/>
                <w:sz w:val="20"/>
                <w:szCs w:val="20"/>
              </w:rPr>
              <w:t xml:space="preserve">Standard Poodle</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8.38</w:t>
            </w:r>
          </w:p>
        </w:tc>
        <w:tc>
          <w:tcPr>
            <w:tcW w:type="dxa" w:w="1040"/>
          </w:tcPr>
          <w:p>
            <w:pPr>
              <w:spacing w:line="240"/>
            </w:pPr>
            <w:r>
              <w:rPr>
                <w:rFonts w:ascii="Times New Roman" w:cs="Times New Roman" w:eastAsia="Times New Roman" w:hAnsi="Times New Roman"/>
                <w:b w:val="false"/>
                <w:bCs w:val="false"/>
                <w:sz w:val="20"/>
                <w:szCs w:val="20"/>
              </w:rPr>
              <w:t xml:space="preserve">0.707</w:t>
            </w:r>
          </w:p>
        </w:tc>
        <w:tc>
          <w:tcPr>
            <w:tcW w:type="dxa" w:w="1040"/>
          </w:tcPr>
          <w:p>
            <w:pPr>
              <w:spacing w:line="240"/>
            </w:pPr>
            <w:r>
              <w:rPr>
                <w:rFonts w:ascii="Times New Roman" w:cs="Times New Roman" w:eastAsia="Times New Roman" w:hAnsi="Times New Roman"/>
                <w:b w:val="false"/>
                <w:bCs w:val="false"/>
                <w:sz w:val="20"/>
                <w:szCs w:val="20"/>
              </w:rPr>
              <w:t xml:space="preserve">0.694</w:t>
            </w:r>
          </w:p>
        </w:tc>
        <w:tc>
          <w:tcPr>
            <w:tcW w:type="dxa" w:w="1040"/>
          </w:tcPr>
          <w:p>
            <w:pPr>
              <w:spacing w:line="240"/>
            </w:pPr>
            <w:r>
              <w:rPr>
                <w:rFonts w:ascii="Times New Roman" w:cs="Times New Roman" w:eastAsia="Times New Roman" w:hAnsi="Times New Roman"/>
                <w:b w:val="false"/>
                <w:bCs w:val="false"/>
                <w:sz w:val="20"/>
                <w:szCs w:val="20"/>
              </w:rPr>
              <w:t xml:space="preserve">3.81</w:t>
            </w:r>
          </w:p>
        </w:tc>
        <w:tc>
          <w:tcPr>
            <w:tcW w:type="dxa" w:w="1040"/>
          </w:tcPr>
          <w:p>
            <w:pPr>
              <w:spacing w:line="240"/>
            </w:pPr>
            <w:r>
              <w:rPr>
                <w:rFonts w:ascii="Times New Roman" w:cs="Times New Roman" w:eastAsia="Times New Roman" w:hAnsi="Times New Roman"/>
                <w:b w:val="false"/>
                <w:bCs w:val="false"/>
                <w:sz w:val="20"/>
                <w:szCs w:val="20"/>
              </w:rPr>
              <w:t xml:space="preserve">0.30</w:t>
            </w:r>
          </w:p>
        </w:tc>
        <w:tc>
          <w:tcPr>
            <w:tcW w:type="dxa" w:w="1040"/>
          </w:tcPr>
          <w:p>
            <w:pPr>
              <w:spacing w:line="240"/>
            </w:pPr>
            <w:r>
              <w:rPr>
                <w:rFonts w:ascii="Times New Roman" w:cs="Times New Roman" w:eastAsia="Times New Roman" w:hAnsi="Times New Roman"/>
                <w:b w:val="false"/>
                <w:bCs w:val="false"/>
                <w:sz w:val="20"/>
                <w:szCs w:val="20"/>
              </w:rPr>
              <w:t xml:space="preserve">0.020</w:t>
            </w:r>
          </w:p>
        </w:tc>
        <w:tc>
          <w:tcPr>
            <w:tcW w:type="dxa" w:w="1040"/>
          </w:tcPr>
          <w:p>
            <w:pPr>
              <w:spacing w:line="240"/>
            </w:pPr>
            <w:r>
              <w:rPr>
                <w:rFonts w:ascii="Times New Roman" w:cs="Times New Roman" w:eastAsia="Times New Roman" w:hAnsi="Times New Roman"/>
                <w:b w:val="false"/>
                <w:bCs w:val="false"/>
                <w:sz w:val="20"/>
                <w:szCs w:val="20"/>
              </w:rPr>
              <w:t xml:space="preserve">0.019</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8.00</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0.863</w:t>
            </w:r>
          </w:p>
        </w:tc>
        <w:tc>
          <w:tcPr>
            <w:tcW w:type="dxa" w:w="1040"/>
          </w:tcPr>
          <w:p>
            <w:pPr>
              <w:spacing w:line="240"/>
            </w:pPr>
            <w:r>
              <w:rPr>
                <w:rFonts w:ascii="Times New Roman" w:cs="Times New Roman" w:eastAsia="Times New Roman" w:hAnsi="Times New Roman"/>
                <w:b w:val="false"/>
                <w:bCs w:val="false"/>
                <w:sz w:val="20"/>
                <w:szCs w:val="20"/>
              </w:rPr>
              <w:t xml:space="preserve">7.81</w:t>
            </w:r>
          </w:p>
        </w:tc>
        <w:tc>
          <w:tcPr>
            <w:tcW w:type="dxa" w:w="1040"/>
          </w:tcPr>
          <w:p>
            <w:pPr>
              <w:spacing w:line="240"/>
            </w:pPr>
            <w:r>
              <w:rPr>
                <w:rFonts w:ascii="Times New Roman" w:cs="Times New Roman" w:eastAsia="Times New Roman" w:hAnsi="Times New Roman"/>
                <w:b w:val="false"/>
                <w:bCs w:val="false"/>
                <w:sz w:val="20"/>
                <w:szCs w:val="20"/>
              </w:rPr>
              <w:t xml:space="preserve">1.92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7.99</w:t>
            </w:r>
          </w:p>
        </w:tc>
        <w:tc>
          <w:tcPr>
            <w:tcW w:type="dxa" w:w="1040"/>
          </w:tcPr>
          <w:p>
            <w:pPr>
              <w:spacing w:line="240"/>
            </w:pPr>
            <w:r>
              <w:rPr>
                <w:rFonts w:ascii="Times New Roman" w:cs="Times New Roman" w:eastAsia="Times New Roman" w:hAnsi="Times New Roman"/>
                <w:b w:val="false"/>
                <w:bCs w:val="false"/>
                <w:sz w:val="20"/>
                <w:szCs w:val="20"/>
              </w:rPr>
              <w:t xml:space="preserve">0.861</w:t>
            </w:r>
          </w:p>
        </w:tc>
        <w:tc>
          <w:tcPr>
            <w:tcW w:type="dxa" w:w="1040"/>
          </w:tcPr>
          <w:p>
            <w:pPr>
              <w:spacing w:line="240"/>
            </w:pPr>
            <w:r>
              <w:rPr>
                <w:rFonts w:ascii="Times New Roman" w:cs="Times New Roman" w:eastAsia="Times New Roman" w:hAnsi="Times New Roman"/>
                <w:b w:val="false"/>
                <w:bCs w:val="false"/>
                <w:sz w:val="20"/>
                <w:szCs w:val="20"/>
              </w:rPr>
              <w:t xml:space="preserve">0.821</w:t>
            </w:r>
          </w:p>
        </w:tc>
        <w:tc>
          <w:tcPr>
            <w:tcW w:type="dxa" w:w="1040"/>
          </w:tcPr>
          <w:p>
            <w:pPr>
              <w:spacing w:line="240"/>
            </w:pPr>
            <w:r>
              <w:rPr>
                <w:rFonts w:ascii="Times New Roman" w:cs="Times New Roman" w:eastAsia="Times New Roman" w:hAnsi="Times New Roman"/>
                <w:b w:val="false"/>
                <w:bCs w:val="false"/>
                <w:sz w:val="20"/>
                <w:szCs w:val="20"/>
              </w:rPr>
              <w:t xml:space="preserve">7.87</w:t>
            </w:r>
          </w:p>
        </w:tc>
        <w:tc>
          <w:tcPr>
            <w:tcW w:type="dxa" w:w="1040"/>
          </w:tcPr>
          <w:p>
            <w:pPr>
              <w:spacing w:line="240"/>
            </w:pPr>
            <w:r>
              <w:rPr>
                <w:rFonts w:ascii="Times New Roman" w:cs="Times New Roman" w:eastAsia="Times New Roman" w:hAnsi="Times New Roman"/>
                <w:b w:val="false"/>
                <w:bCs w:val="false"/>
                <w:sz w:val="20"/>
                <w:szCs w:val="20"/>
              </w:rPr>
              <w:t xml:space="preserve">1.64</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c>
          <w:tcPr>
            <w:tcW w:type="dxa" w:w="1040"/>
          </w:tcPr>
          <w:p>
            <w:pPr>
              <w:spacing w:line="240"/>
            </w:pPr>
            <w:r>
              <w:rPr>
                <w:rFonts w:ascii="Times New Roman" w:cs="Times New Roman" w:eastAsia="Times New Roman" w:hAnsi="Times New Roman"/>
                <w:b w:val="false"/>
                <w:bCs w:val="false"/>
                <w:sz w:val="20"/>
                <w:szCs w:val="20"/>
              </w:rPr>
              <w:t xml:space="preserve">0.047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7.03</w:t>
            </w:r>
          </w:p>
        </w:tc>
        <w:tc>
          <w:tcPr>
            <w:tcW w:type="dxa" w:w="1040"/>
          </w:tcPr>
          <w:p>
            <w:pPr>
              <w:spacing w:line="240"/>
            </w:pPr>
            <w:r>
              <w:rPr>
                <w:rFonts w:ascii="Times New Roman" w:cs="Times New Roman" w:eastAsia="Times New Roman" w:hAnsi="Times New Roman"/>
                <w:b w:val="false"/>
                <w:bCs w:val="false"/>
                <w:sz w:val="20"/>
                <w:szCs w:val="20"/>
              </w:rPr>
              <w:t xml:space="preserve">0.765</w:t>
            </w:r>
          </w:p>
        </w:tc>
        <w:tc>
          <w:tcPr>
            <w:tcW w:type="dxa" w:w="1040"/>
          </w:tcPr>
          <w:p>
            <w:pPr>
              <w:spacing w:line="240"/>
            </w:pPr>
            <w:r>
              <w:rPr>
                <w:rFonts w:ascii="Times New Roman" w:cs="Times New Roman" w:eastAsia="Times New Roman" w:hAnsi="Times New Roman"/>
                <w:b w:val="false"/>
                <w:bCs w:val="false"/>
                <w:sz w:val="20"/>
                <w:szCs w:val="20"/>
              </w:rPr>
              <w:t xml:space="preserve">0.838</w:t>
            </w:r>
          </w:p>
        </w:tc>
        <w:tc>
          <w:tcPr>
            <w:tcW w:type="dxa" w:w="1040"/>
          </w:tcPr>
          <w:p>
            <w:pPr>
              <w:spacing w:line="240"/>
            </w:pPr>
            <w:r>
              <w:rPr>
                <w:rFonts w:ascii="Times New Roman" w:cs="Times New Roman" w:eastAsia="Times New Roman" w:hAnsi="Times New Roman"/>
                <w:b w:val="false"/>
                <w:bCs w:val="false"/>
                <w:sz w:val="20"/>
                <w:szCs w:val="20"/>
              </w:rPr>
              <w:t xml:space="preserve">4.56</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−0.095</w:t>
            </w:r>
          </w:p>
        </w:tc>
        <w:tc>
          <w:tcPr>
            <w:tcW w:type="dxa" w:w="1040"/>
          </w:tcPr>
          <w:p>
            <w:pPr>
              <w:spacing w:line="240"/>
            </w:pPr>
            <w:r>
              <w:rPr>
                <w:rFonts w:ascii="Times New Roman" w:cs="Times New Roman" w:eastAsia="Times New Roman" w:hAnsi="Times New Roman"/>
                <w:b w:val="false"/>
                <w:bCs w:val="false"/>
                <w:sz w:val="20"/>
                <w:szCs w:val="20"/>
              </w:rPr>
              <w:t xml:space="preserve">−0.097</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6.74</w:t>
            </w:r>
          </w:p>
        </w:tc>
        <w:tc>
          <w:tcPr>
            <w:tcW w:type="dxa" w:w="1040"/>
          </w:tcPr>
          <w:p>
            <w:pPr>
              <w:spacing w:line="240"/>
            </w:pPr>
            <w:r>
              <w:rPr>
                <w:rFonts w:ascii="Times New Roman" w:cs="Times New Roman" w:eastAsia="Times New Roman" w:hAnsi="Times New Roman"/>
                <w:b w:val="false"/>
                <w:bCs w:val="false"/>
                <w:sz w:val="20"/>
                <w:szCs w:val="20"/>
              </w:rPr>
              <w:t xml:space="preserve">0.689</w:t>
            </w:r>
          </w:p>
        </w:tc>
        <w:tc>
          <w:tcPr>
            <w:tcW w:type="dxa" w:w="1040"/>
          </w:tcPr>
          <w:p>
            <w:pPr>
              <w:spacing w:line="240"/>
            </w:pPr>
            <w:r>
              <w:rPr>
                <w:rFonts w:ascii="Times New Roman" w:cs="Times New Roman" w:eastAsia="Times New Roman" w:hAnsi="Times New Roman"/>
                <w:b w:val="false"/>
                <w:bCs w:val="false"/>
                <w:sz w:val="20"/>
                <w:szCs w:val="20"/>
              </w:rPr>
              <w:t xml:space="preserve">0.691</w:t>
            </w:r>
          </w:p>
        </w:tc>
        <w:tc>
          <w:tcPr>
            <w:tcW w:type="dxa" w:w="1040"/>
          </w:tcPr>
          <w:p>
            <w:pPr>
              <w:spacing w:line="240"/>
            </w:pPr>
            <w:r>
              <w:rPr>
                <w:rFonts w:ascii="Times New Roman" w:cs="Times New Roman" w:eastAsia="Times New Roman" w:hAnsi="Times New Roman"/>
                <w:b w:val="false"/>
                <w:bCs w:val="false"/>
                <w:sz w:val="20"/>
                <w:szCs w:val="20"/>
              </w:rPr>
              <w:t xml:space="preserve">3.61</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c>
          <w:tcPr>
            <w:tcW w:type="dxa" w:w="1040"/>
          </w:tcPr>
          <w:p>
            <w:pPr>
              <w:spacing w:line="240"/>
            </w:pPr>
            <w:r>
              <w:rPr>
                <w:rFonts w:ascii="Times New Roman" w:cs="Times New Roman" w:eastAsia="Times New Roman" w:hAnsi="Times New Roman"/>
                <w:b/>
                <w:bCs/>
                <w:i/>
                <w:iCs/>
                <w:sz w:val="20"/>
                <w:szCs w:val="20"/>
              </w:rPr>
              <w:t xml:space="preserve">Doberman Pinscher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5.97</w:t>
            </w:r>
          </w:p>
        </w:tc>
        <w:tc>
          <w:tcPr>
            <w:tcW w:type="dxa" w:w="1040"/>
          </w:tcPr>
          <w:p>
            <w:pPr>
              <w:spacing w:line="240"/>
            </w:pPr>
            <w:r>
              <w:rPr>
                <w:rFonts w:ascii="Times New Roman" w:cs="Times New Roman" w:eastAsia="Times New Roman" w:hAnsi="Times New Roman"/>
                <w:b w:val="false"/>
                <w:bCs w:val="false"/>
                <w:sz w:val="20"/>
                <w:szCs w:val="20"/>
              </w:rPr>
              <w:t xml:space="preserve">0.504</w:t>
            </w:r>
          </w:p>
        </w:tc>
        <w:tc>
          <w:tcPr>
            <w:tcW w:type="dxa" w:w="1040"/>
          </w:tcPr>
          <w:p>
            <w:pPr>
              <w:spacing w:line="240"/>
            </w:pPr>
            <w:r>
              <w:rPr>
                <w:rFonts w:ascii="Times New Roman" w:cs="Times New Roman" w:eastAsia="Times New Roman" w:hAnsi="Times New Roman"/>
                <w:b w:val="false"/>
                <w:bCs w:val="false"/>
                <w:sz w:val="20"/>
                <w:szCs w:val="20"/>
              </w:rPr>
              <w:t xml:space="preserve">0.484</w:t>
            </w:r>
          </w:p>
        </w:tc>
        <w:tc>
          <w:tcPr>
            <w:tcW w:type="dxa" w:w="1040"/>
          </w:tcPr>
          <w:p>
            <w:pPr>
              <w:spacing w:line="240"/>
            </w:pPr>
            <w:r>
              <w:rPr>
                <w:rFonts w:ascii="Times New Roman" w:cs="Times New Roman" w:eastAsia="Times New Roman" w:hAnsi="Times New Roman"/>
                <w:b w:val="false"/>
                <w:bCs w:val="false"/>
                <w:sz w:val="20"/>
                <w:szCs w:val="20"/>
              </w:rPr>
              <w:t xml:space="preserve">2.32</w:t>
            </w:r>
          </w:p>
        </w:tc>
        <w:tc>
          <w:tcPr>
            <w:tcW w:type="dxa" w:w="1040"/>
          </w:tcPr>
          <w:p>
            <w:pPr>
              <w:spacing w:line="240"/>
            </w:pPr>
            <w:r>
              <w:rPr>
                <w:rFonts w:ascii="Times New Roman" w:cs="Times New Roman" w:eastAsia="Times New Roman" w:hAnsi="Times New Roman"/>
                <w:b w:val="false"/>
                <w:bCs w:val="false"/>
                <w:sz w:val="20"/>
                <w:szCs w:val="20"/>
              </w:rPr>
              <w:t xml:space="preserve">0.23</w:t>
            </w:r>
          </w:p>
        </w:tc>
        <w:tc>
          <w:tcPr>
            <w:tcW w:type="dxa" w:w="1040"/>
          </w:tcPr>
          <w:p>
            <w:pPr>
              <w:spacing w:line="240"/>
            </w:pPr>
            <w:r>
              <w:rPr>
                <w:rFonts w:ascii="Times New Roman" w:cs="Times New Roman" w:eastAsia="Times New Roman" w:hAnsi="Times New Roman"/>
                <w:b w:val="false"/>
                <w:bCs w:val="false"/>
                <w:sz w:val="20"/>
                <w:szCs w:val="20"/>
              </w:rPr>
              <w:t xml:space="preserve">0.043</w:t>
            </w:r>
          </w:p>
        </w:tc>
        <w:tc>
          <w:tcPr>
            <w:tcW w:type="dxa" w:w="1040"/>
          </w:tcPr>
          <w:p>
            <w:pPr>
              <w:spacing w:line="240"/>
            </w:pPr>
            <w:r>
              <w:rPr>
                <w:rFonts w:ascii="Times New Roman" w:cs="Times New Roman" w:eastAsia="Times New Roman" w:hAnsi="Times New Roman"/>
                <w:b w:val="false"/>
                <w:bCs w:val="false"/>
                <w:sz w:val="20"/>
                <w:szCs w:val="20"/>
              </w:rPr>
              <w:t xml:space="preserve">0.038</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5.56</w:t>
            </w:r>
          </w:p>
        </w:tc>
        <w:tc>
          <w:tcPr>
            <w:tcW w:type="dxa" w:w="1040"/>
          </w:tcPr>
          <w:p>
            <w:pPr>
              <w:spacing w:line="240"/>
            </w:pPr>
            <w:r>
              <w:rPr>
                <w:rFonts w:ascii="Times New Roman" w:cs="Times New Roman" w:eastAsia="Times New Roman" w:hAnsi="Times New Roman"/>
                <w:b w:val="false"/>
                <w:bCs w:val="false"/>
                <w:sz w:val="20"/>
                <w:szCs w:val="20"/>
              </w:rPr>
              <w:t xml:space="preserve">0.793</w:t>
            </w:r>
          </w:p>
        </w:tc>
        <w:tc>
          <w:tcPr>
            <w:tcW w:type="dxa" w:w="1040"/>
          </w:tcPr>
          <w:p>
            <w:pPr>
              <w:spacing w:line="240"/>
            </w:pPr>
            <w:r>
              <w:rPr>
                <w:rFonts w:ascii="Times New Roman" w:cs="Times New Roman" w:eastAsia="Times New Roman" w:hAnsi="Times New Roman"/>
                <w:b w:val="false"/>
                <w:bCs w:val="false"/>
                <w:sz w:val="20"/>
                <w:szCs w:val="20"/>
              </w:rPr>
              <w:t xml:space="preserve">0.796</w:t>
            </w:r>
          </w:p>
        </w:tc>
        <w:tc>
          <w:tcPr>
            <w:tcW w:type="dxa" w:w="1040"/>
          </w:tcPr>
          <w:p>
            <w:pPr>
              <w:spacing w:line="240"/>
            </w:pPr>
            <w:r>
              <w:rPr>
                <w:rFonts w:ascii="Times New Roman" w:cs="Times New Roman" w:eastAsia="Times New Roman" w:hAnsi="Times New Roman"/>
                <w:b w:val="false"/>
                <w:bCs w:val="false"/>
                <w:sz w:val="20"/>
                <w:szCs w:val="20"/>
              </w:rPr>
              <w:t xml:space="preserve">5.41</w:t>
            </w:r>
          </w:p>
        </w:tc>
        <w:tc>
          <w:tcPr>
            <w:tcW w:type="dxa" w:w="1040"/>
          </w:tcPr>
          <w:p>
            <w:pPr>
              <w:spacing w:line="240"/>
            </w:pPr>
            <w:r>
              <w:rPr>
                <w:rFonts w:ascii="Times New Roman" w:cs="Times New Roman" w:eastAsia="Times New Roman" w:hAnsi="Times New Roman"/>
                <w:b w:val="false"/>
                <w:bCs w:val="false"/>
                <w:sz w:val="20"/>
                <w:szCs w:val="20"/>
              </w:rPr>
              <w:t xml:space="preserve">1.86</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−0.005</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5.50</w:t>
            </w:r>
          </w:p>
        </w:tc>
        <w:tc>
          <w:tcPr>
            <w:tcW w:type="dxa" w:w="1040"/>
          </w:tcPr>
          <w:p>
            <w:pPr>
              <w:spacing w:line="240"/>
            </w:pPr>
            <w:r>
              <w:rPr>
                <w:rFonts w:ascii="Times New Roman" w:cs="Times New Roman" w:eastAsia="Times New Roman" w:hAnsi="Times New Roman"/>
                <w:b w:val="false"/>
                <w:bCs w:val="false"/>
                <w:sz w:val="20"/>
                <w:szCs w:val="20"/>
              </w:rPr>
              <w:t xml:space="preserve">0.775</w:t>
            </w:r>
          </w:p>
        </w:tc>
        <w:tc>
          <w:tcPr>
            <w:tcW w:type="dxa" w:w="1040"/>
          </w:tcPr>
          <w:p>
            <w:pPr>
              <w:spacing w:line="240"/>
            </w:pPr>
            <w:r>
              <w:rPr>
                <w:rFonts w:ascii="Times New Roman" w:cs="Times New Roman" w:eastAsia="Times New Roman" w:hAnsi="Times New Roman"/>
                <w:b w:val="false"/>
                <w:bCs w:val="false"/>
                <w:sz w:val="20"/>
                <w:szCs w:val="20"/>
              </w:rPr>
              <w:t xml:space="preserve">0.726</w:t>
            </w:r>
          </w:p>
        </w:tc>
        <w:tc>
          <w:tcPr>
            <w:tcW w:type="dxa" w:w="1040"/>
          </w:tcPr>
          <w:p>
            <w:pPr>
              <w:spacing w:line="240"/>
            </w:pPr>
            <w:r>
              <w:rPr>
                <w:rFonts w:ascii="Times New Roman" w:cs="Times New Roman" w:eastAsia="Times New Roman" w:hAnsi="Times New Roman"/>
                <w:b w:val="false"/>
                <w:bCs w:val="false"/>
                <w:sz w:val="20"/>
                <w:szCs w:val="20"/>
              </w:rPr>
              <w:t xml:space="preserve">5.17</w:t>
            </w:r>
          </w:p>
        </w:tc>
        <w:tc>
          <w:tcPr>
            <w:tcW w:type="dxa" w:w="1040"/>
          </w:tcPr>
          <w:p>
            <w:pPr>
              <w:spacing w:line="240"/>
            </w:pPr>
            <w:r>
              <w:rPr>
                <w:rFonts w:ascii="Times New Roman" w:cs="Times New Roman" w:eastAsia="Times New Roman" w:hAnsi="Times New Roman"/>
                <w:b w:val="false"/>
                <w:bCs w:val="false"/>
                <w:sz w:val="20"/>
                <w:szCs w:val="20"/>
              </w:rPr>
              <w:t xml:space="preserve">1.18</w:t>
            </w:r>
          </w:p>
        </w:tc>
        <w:tc>
          <w:tcPr>
            <w:tcW w:type="dxa" w:w="1040"/>
          </w:tcPr>
          <w:p>
            <w:pPr>
              <w:spacing w:line="240"/>
            </w:pPr>
            <w:r>
              <w:rPr>
                <w:rFonts w:ascii="Times New Roman" w:cs="Times New Roman" w:eastAsia="Times New Roman" w:hAnsi="Times New Roman"/>
                <w:b w:val="false"/>
                <w:bCs w:val="false"/>
                <w:sz w:val="20"/>
                <w:szCs w:val="20"/>
              </w:rPr>
              <w:t xml:space="preserve">0.062</w:t>
            </w:r>
          </w:p>
        </w:tc>
        <w:tc>
          <w:tcPr>
            <w:tcW w:type="dxa" w:w="1040"/>
          </w:tcPr>
          <w:p>
            <w:pPr>
              <w:spacing w:line="240"/>
            </w:pPr>
            <w:r>
              <w:rPr>
                <w:rFonts w:ascii="Times New Roman" w:cs="Times New Roman" w:eastAsia="Times New Roman" w:hAnsi="Times New Roman"/>
                <w:b w:val="false"/>
                <w:bCs w:val="false"/>
                <w:sz w:val="20"/>
                <w:szCs w:val="20"/>
              </w:rPr>
              <w:t xml:space="preserve">0.067</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4.77</w:t>
            </w:r>
          </w:p>
        </w:tc>
        <w:tc>
          <w:tcPr>
            <w:tcW w:type="dxa" w:w="1040"/>
          </w:tcPr>
          <w:p>
            <w:pPr>
              <w:spacing w:line="240"/>
            </w:pPr>
            <w:r>
              <w:rPr>
                <w:rFonts w:ascii="Times New Roman" w:cs="Times New Roman" w:eastAsia="Times New Roman" w:hAnsi="Times New Roman"/>
                <w:b w:val="false"/>
                <w:bCs w:val="false"/>
                <w:sz w:val="20"/>
                <w:szCs w:val="20"/>
              </w:rPr>
              <w:t xml:space="preserve">0.650</w:t>
            </w:r>
          </w:p>
        </w:tc>
        <w:tc>
          <w:tcPr>
            <w:tcW w:type="dxa" w:w="1040"/>
          </w:tcPr>
          <w:p>
            <w:pPr>
              <w:spacing w:line="240"/>
            </w:pPr>
            <w:r>
              <w:rPr>
                <w:rFonts w:ascii="Times New Roman" w:cs="Times New Roman" w:eastAsia="Times New Roman" w:hAnsi="Times New Roman"/>
                <w:b w:val="false"/>
                <w:bCs w:val="false"/>
                <w:sz w:val="20"/>
                <w:szCs w:val="20"/>
              </w:rPr>
              <w:t xml:space="preserve">0.727</w:t>
            </w:r>
          </w:p>
        </w:tc>
        <w:tc>
          <w:tcPr>
            <w:tcW w:type="dxa" w:w="1040"/>
          </w:tcPr>
          <w:p>
            <w:pPr>
              <w:spacing w:line="240"/>
            </w:pPr>
            <w:r>
              <w:rPr>
                <w:rFonts w:ascii="Times New Roman" w:cs="Times New Roman" w:eastAsia="Times New Roman" w:hAnsi="Times New Roman"/>
                <w:b w:val="false"/>
                <w:bCs w:val="false"/>
                <w:sz w:val="20"/>
                <w:szCs w:val="20"/>
              </w:rPr>
              <w:t xml:space="preserve">3.09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c>
          <w:tcPr>
            <w:tcW w:type="dxa" w:w="1040"/>
          </w:tcPr>
          <w:p>
            <w:pPr>
              <w:spacing w:line="240"/>
            </w:pPr>
            <w:r>
              <w:rPr>
                <w:rFonts w:ascii="Times New Roman" w:cs="Times New Roman" w:eastAsia="Times New Roman" w:hAnsi="Times New Roman"/>
                <w:b w:val="false"/>
                <w:bCs w:val="false"/>
                <w:sz w:val="20"/>
                <w:szCs w:val="20"/>
              </w:rPr>
              <w:t xml:space="preserve">−0.120</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4.33</w:t>
            </w:r>
          </w:p>
        </w:tc>
        <w:tc>
          <w:tcPr>
            <w:tcW w:type="dxa" w:w="1040"/>
          </w:tcPr>
          <w:p>
            <w:pPr>
              <w:spacing w:line="240"/>
            </w:pPr>
            <w:r>
              <w:rPr>
                <w:rFonts w:ascii="Times New Roman" w:cs="Times New Roman" w:eastAsia="Times New Roman" w:hAnsi="Times New Roman"/>
                <w:b w:val="false"/>
                <w:bCs w:val="false"/>
                <w:sz w:val="20"/>
                <w:szCs w:val="20"/>
              </w:rPr>
              <w:t xml:space="preserve">0.490</w:t>
            </w:r>
          </w:p>
        </w:tc>
        <w:tc>
          <w:tcPr>
            <w:tcW w:type="dxa" w:w="1040"/>
          </w:tcPr>
          <w:p>
            <w:pPr>
              <w:spacing w:line="240"/>
            </w:pPr>
            <w:r>
              <w:rPr>
                <w:rFonts w:ascii="Times New Roman" w:cs="Times New Roman" w:eastAsia="Times New Roman" w:hAnsi="Times New Roman"/>
                <w:b w:val="false"/>
                <w:bCs w:val="false"/>
                <w:sz w:val="20"/>
                <w:szCs w:val="20"/>
              </w:rPr>
              <w:t xml:space="preserve">0.492</w:t>
            </w:r>
          </w:p>
        </w:tc>
        <w:tc>
          <w:tcPr>
            <w:tcW w:type="dxa" w:w="1040"/>
          </w:tcPr>
          <w:p>
            <w:pPr>
              <w:spacing w:line="240"/>
            </w:pPr>
            <w:r>
              <w:rPr>
                <w:rFonts w:ascii="Times New Roman" w:cs="Times New Roman" w:eastAsia="Times New Roman" w:hAnsi="Times New Roman"/>
                <w:b w:val="false"/>
                <w:bCs w:val="false"/>
                <w:sz w:val="20"/>
                <w:szCs w:val="20"/>
              </w:rPr>
              <w:t xml:space="preserve">2.25</w:t>
            </w:r>
          </w:p>
        </w:tc>
        <w:tc>
          <w:tcPr>
            <w:tcW w:type="dxa" w:w="1040"/>
          </w:tcPr>
          <w:p>
            <w:pPr>
              <w:spacing w:line="240"/>
            </w:pPr>
            <w:r>
              <w:rPr>
                <w:rFonts w:ascii="Times New Roman" w:cs="Times New Roman" w:eastAsia="Times New Roman" w:hAnsi="Times New Roman"/>
                <w:b w:val="false"/>
                <w:bCs w:val="false"/>
                <w:sz w:val="20"/>
                <w:szCs w:val="20"/>
              </w:rPr>
              <w:t xml:space="preserve">0.32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r>
      <w:tr>
        <w:tc>
          <w:tcPr>
            <w:tcW w:type="dxa" w:w="1040"/>
          </w:tcPr>
          <w:p>
            <w:pPr>
              <w:spacing w:line="240"/>
            </w:pPr>
            <w:r>
              <w:rPr>
                <w:rFonts w:ascii="Times New Roman" w:cs="Times New Roman" w:eastAsia="Times New Roman" w:hAnsi="Times New Roman"/>
                <w:b/>
                <w:bCs/>
                <w:i/>
                <w:iCs/>
                <w:sz w:val="20"/>
                <w:szCs w:val="20"/>
              </w:rPr>
              <w:t xml:space="preserve">Flat-Coated Retriever</w:t>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c>
          <w:tcPr>
            <w:tcW w:type="dxa" w:w="1040"/>
          </w:tcPr>
          <w:p>
            <w:pPr>
              <w:spacing w:line="240"/>
            </w:pPr>
            <w:r>
              <w:rPr>
                <w:rFonts w:ascii="Times New Roman" w:cs="Times New Roman" w:eastAsia="Times New Roman" w:hAnsi="Times New Roman"/>
                <w:b w:val="false"/>
                <w:bCs w:val="false"/>
                <w:sz w:val="20"/>
                <w:szCs w:val="20"/>
              </w:rPr>
              <w:t xml:space="preserve"/>
            </w:r>
          </w:p>
        </w:tc>
      </w:tr>
      <w:tr>
        <w:tc>
          <w:tcPr>
            <w:tcW w:type="dxa" w:w="1040"/>
          </w:tcPr>
          <w:p>
            <w:pPr>
              <w:spacing w:line="240"/>
            </w:pPr>
            <w:r>
              <w:rPr>
                <w:rFonts w:ascii="Times New Roman" w:cs="Times New Roman" w:eastAsia="Times New Roman" w:hAnsi="Times New Roman"/>
                <w:b w:val="false"/>
                <w:bCs w:val="false"/>
                <w:sz w:val="20"/>
                <w:szCs w:val="20"/>
              </w:rPr>
              <w:t xml:space="preserve">Founder</w:t>
            </w:r>
          </w:p>
        </w:tc>
        <w:tc>
          <w:tcPr>
            <w:tcW w:type="dxa" w:w="1040"/>
          </w:tcPr>
          <w:p>
            <w:pPr>
              <w:spacing w:line="240"/>
            </w:pPr>
            <w:r>
              <w:rPr>
                <w:rFonts w:ascii="Times New Roman" w:cs="Times New Roman" w:eastAsia="Times New Roman" w:hAnsi="Times New Roman"/>
                <w:b w:val="false"/>
                <w:bCs w:val="false"/>
                <w:sz w:val="20"/>
                <w:szCs w:val="20"/>
              </w:rPr>
              <w:t xml:space="preserve">0</w:t>
            </w:r>
          </w:p>
        </w:tc>
        <w:tc>
          <w:tcPr>
            <w:tcW w:type="dxa" w:w="1040"/>
          </w:tcPr>
          <w:p>
            <w:pPr>
              <w:spacing w:line="240"/>
            </w:pPr>
            <w:r>
              <w:rPr>
                <w:rFonts w:ascii="Times New Roman" w:cs="Times New Roman" w:eastAsia="Times New Roman" w:hAnsi="Times New Roman"/>
                <w:b w:val="false"/>
                <w:bCs w:val="false"/>
                <w:sz w:val="20"/>
                <w:szCs w:val="20"/>
              </w:rPr>
              <w:t xml:space="preserve">5.05</w:t>
            </w:r>
          </w:p>
        </w:tc>
        <w:tc>
          <w:tcPr>
            <w:tcW w:type="dxa" w:w="1040"/>
          </w:tcPr>
          <w:p>
            <w:pPr>
              <w:spacing w:line="240"/>
            </w:pPr>
            <w:r>
              <w:rPr>
                <w:rFonts w:ascii="Times New Roman" w:cs="Times New Roman" w:eastAsia="Times New Roman" w:hAnsi="Times New Roman"/>
                <w:b w:val="false"/>
                <w:bCs w:val="false"/>
                <w:sz w:val="20"/>
                <w:szCs w:val="20"/>
              </w:rPr>
              <w:t xml:space="preserve">0.553</w:t>
            </w:r>
          </w:p>
        </w:tc>
        <w:tc>
          <w:tcPr>
            <w:tcW w:type="dxa" w:w="1040"/>
          </w:tcPr>
          <w:p>
            <w:pPr>
              <w:spacing w:line="240"/>
            </w:pPr>
            <w:r>
              <w:rPr>
                <w:rFonts w:ascii="Times New Roman" w:cs="Times New Roman" w:eastAsia="Times New Roman" w:hAnsi="Times New Roman"/>
                <w:b w:val="false"/>
                <w:bCs w:val="false"/>
                <w:sz w:val="20"/>
                <w:szCs w:val="20"/>
              </w:rPr>
              <w:t xml:space="preserve">0.556</w:t>
            </w:r>
          </w:p>
        </w:tc>
        <w:tc>
          <w:tcPr>
            <w:tcW w:type="dxa" w:w="1040"/>
          </w:tcPr>
          <w:p>
            <w:pPr>
              <w:spacing w:line="240"/>
            </w:pPr>
            <w:r>
              <w:rPr>
                <w:rFonts w:ascii="Times New Roman" w:cs="Times New Roman" w:eastAsia="Times New Roman" w:hAnsi="Times New Roman"/>
                <w:b w:val="false"/>
                <w:bCs w:val="false"/>
                <w:sz w:val="20"/>
                <w:szCs w:val="20"/>
              </w:rPr>
              <w:t xml:space="preserve">2.55</w:t>
            </w:r>
          </w:p>
        </w:tc>
        <w:tc>
          <w:tcPr>
            <w:tcW w:type="dxa" w:w="1040"/>
          </w:tcPr>
          <w:p>
            <w:pPr>
              <w:spacing w:line="240"/>
            </w:pPr>
            <w:r>
              <w:rPr>
                <w:rFonts w:ascii="Times New Roman" w:cs="Times New Roman" w:eastAsia="Times New Roman" w:hAnsi="Times New Roman"/>
                <w:b w:val="false"/>
                <w:bCs w:val="false"/>
                <w:sz w:val="20"/>
                <w:szCs w:val="20"/>
              </w:rPr>
              <w:t xml:space="preserve">0.38</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c>
          <w:tcPr>
            <w:tcW w:type="dxa" w:w="1040"/>
          </w:tcPr>
          <w:p>
            <w:pPr>
              <w:spacing w:line="240"/>
            </w:pPr>
            <w:r>
              <w:rPr>
                <w:rFonts w:ascii="Times New Roman" w:cs="Times New Roman" w:eastAsia="Times New Roman" w:hAnsi="Times New Roman"/>
                <w:b w:val="false"/>
                <w:bCs w:val="false"/>
                <w:sz w:val="20"/>
                <w:szCs w:val="20"/>
              </w:rPr>
              <w:t xml:space="preserve">−0.003</w:t>
            </w:r>
          </w:p>
        </w:tc>
      </w:tr>
      <w:tr>
        <w:tc>
          <w:tcPr>
            <w:tcW w:type="dxa" w:w="1040"/>
          </w:tcPr>
          <w:p>
            <w:pPr>
              <w:spacing w:line="240"/>
            </w:pPr>
            <w:r>
              <w:rPr>
                <w:rFonts w:ascii="Times New Roman" w:cs="Times New Roman" w:eastAsia="Times New Roman" w:hAnsi="Times New Roman"/>
                <w:b w:val="false"/>
                <w:bCs w:val="false"/>
                <w:sz w:val="20"/>
                <w:szCs w:val="20"/>
              </w:rPr>
              <w:t xml:space="preserve">Outlier index</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4.88</w:t>
            </w:r>
          </w:p>
        </w:tc>
        <w:tc>
          <w:tcPr>
            <w:tcW w:type="dxa" w:w="1040"/>
          </w:tcPr>
          <w:p>
            <w:pPr>
              <w:spacing w:line="240"/>
            </w:pPr>
            <w:r>
              <w:rPr>
                <w:rFonts w:ascii="Times New Roman" w:cs="Times New Roman" w:eastAsia="Times New Roman" w:hAnsi="Times New Roman"/>
                <w:b w:val="false"/>
                <w:bCs w:val="false"/>
                <w:sz w:val="20"/>
                <w:szCs w:val="20"/>
              </w:rPr>
              <w:t xml:space="preserve">0.758</w:t>
            </w:r>
          </w:p>
        </w:tc>
        <w:tc>
          <w:tcPr>
            <w:tcW w:type="dxa" w:w="1040"/>
          </w:tcPr>
          <w:p>
            <w:pPr>
              <w:spacing w:line="240"/>
            </w:pPr>
            <w:r>
              <w:rPr>
                <w:rFonts w:ascii="Times New Roman" w:cs="Times New Roman" w:eastAsia="Times New Roman" w:hAnsi="Times New Roman"/>
                <w:b w:val="false"/>
                <w:bCs w:val="false"/>
                <w:sz w:val="20"/>
                <w:szCs w:val="20"/>
              </w:rPr>
              <w:t xml:space="preserve">0.762</w:t>
            </w:r>
          </w:p>
        </w:tc>
        <w:tc>
          <w:tcPr>
            <w:tcW w:type="dxa" w:w="1040"/>
          </w:tcPr>
          <w:p>
            <w:pPr>
              <w:spacing w:line="240"/>
            </w:pPr>
            <w:r>
              <w:rPr>
                <w:rFonts w:ascii="Times New Roman" w:cs="Times New Roman" w:eastAsia="Times New Roman" w:hAnsi="Times New Roman"/>
                <w:b w:val="false"/>
                <w:bCs w:val="false"/>
                <w:sz w:val="20"/>
                <w:szCs w:val="20"/>
              </w:rPr>
              <w:t xml:space="preserve">4.78</w:t>
            </w:r>
          </w:p>
        </w:tc>
        <w:tc>
          <w:tcPr>
            <w:tcW w:type="dxa" w:w="1040"/>
          </w:tcPr>
          <w:p>
            <w:pPr>
              <w:spacing w:line="240"/>
            </w:pPr>
            <w:r>
              <w:rPr>
                <w:rFonts w:ascii="Times New Roman" w:cs="Times New Roman" w:eastAsia="Times New Roman" w:hAnsi="Times New Roman"/>
                <w:b w:val="false"/>
                <w:bCs w:val="false"/>
                <w:sz w:val="20"/>
                <w:szCs w:val="20"/>
              </w:rPr>
              <w:t xml:space="preserve">1.97</w:t>
            </w:r>
          </w:p>
        </w:tc>
        <w:tc>
          <w:tcPr>
            <w:tcW w:type="dxa" w:w="1040"/>
          </w:tcPr>
          <w:p>
            <w:pPr>
              <w:spacing w:line="240"/>
            </w:pPr>
            <w:r>
              <w:rPr>
                <w:rFonts w:ascii="Times New Roman" w:cs="Times New Roman" w:eastAsia="Times New Roman" w:hAnsi="Times New Roman"/>
                <w:b w:val="false"/>
                <w:bCs w:val="false"/>
                <w:sz w:val="20"/>
                <w:szCs w:val="20"/>
              </w:rPr>
              <w:t xml:space="preserve">−0.004</w:t>
            </w:r>
          </w:p>
        </w:tc>
        <w:tc>
          <w:tcPr>
            <w:tcW w:type="dxa" w:w="1040"/>
          </w:tcPr>
          <w:p>
            <w:pPr>
              <w:spacing w:line="240"/>
            </w:pPr>
            <w:r>
              <w:rPr>
                <w:rFonts w:ascii="Times New Roman" w:cs="Times New Roman" w:eastAsia="Times New Roman" w:hAnsi="Times New Roman"/>
                <w:b w:val="false"/>
                <w:bCs w:val="false"/>
                <w:sz w:val="20"/>
                <w:szCs w:val="20"/>
              </w:rPr>
              <w:t xml:space="preserve">−0.006</w:t>
            </w:r>
          </w:p>
        </w:tc>
      </w:tr>
      <w:tr>
        <w:tc>
          <w:tcPr>
            <w:tcW w:type="dxa" w:w="1040"/>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4.83</w:t>
            </w:r>
          </w:p>
        </w:tc>
        <w:tc>
          <w:tcPr>
            <w:tcW w:type="dxa" w:w="1040"/>
          </w:tcPr>
          <w:p>
            <w:pPr>
              <w:spacing w:line="240"/>
            </w:pPr>
            <w:r>
              <w:rPr>
                <w:rFonts w:ascii="Times New Roman" w:cs="Times New Roman" w:eastAsia="Times New Roman" w:hAnsi="Times New Roman"/>
                <w:b w:val="false"/>
                <w:bCs w:val="false"/>
                <w:sz w:val="20"/>
                <w:szCs w:val="20"/>
              </w:rPr>
              <w:t xml:space="preserve">0.750</w:t>
            </w:r>
          </w:p>
        </w:tc>
        <w:tc>
          <w:tcPr>
            <w:tcW w:type="dxa" w:w="1040"/>
          </w:tcPr>
          <w:p>
            <w:pPr>
              <w:spacing w:line="240"/>
            </w:pPr>
            <w:r>
              <w:rPr>
                <w:rFonts w:ascii="Times New Roman" w:cs="Times New Roman" w:eastAsia="Times New Roman" w:hAnsi="Times New Roman"/>
                <w:b w:val="false"/>
                <w:bCs w:val="false"/>
                <w:sz w:val="20"/>
                <w:szCs w:val="20"/>
              </w:rPr>
              <w:t xml:space="preserve">0.690</w:t>
            </w:r>
          </w:p>
        </w:tc>
        <w:tc>
          <w:tcPr>
            <w:tcW w:type="dxa" w:w="1040"/>
          </w:tcPr>
          <w:p>
            <w:pPr>
              <w:spacing w:line="240"/>
            </w:pPr>
            <w:r>
              <w:rPr>
                <w:rFonts w:ascii="Times New Roman" w:cs="Times New Roman" w:eastAsia="Times New Roman" w:hAnsi="Times New Roman"/>
                <w:b w:val="false"/>
                <w:bCs w:val="false"/>
                <w:sz w:val="20"/>
                <w:szCs w:val="20"/>
              </w:rPr>
              <w:t xml:space="preserve">4.70</w:t>
            </w:r>
          </w:p>
        </w:tc>
        <w:tc>
          <w:tcPr>
            <w:tcW w:type="dxa" w:w="1040"/>
          </w:tcPr>
          <w:p>
            <w:pPr>
              <w:spacing w:line="240"/>
            </w:pPr>
            <w:r>
              <w:rPr>
                <w:rFonts w:ascii="Times New Roman" w:cs="Times New Roman" w:eastAsia="Times New Roman" w:hAnsi="Times New Roman"/>
                <w:b w:val="false"/>
                <w:bCs w:val="false"/>
                <w:sz w:val="20"/>
                <w:szCs w:val="20"/>
              </w:rPr>
              <w:t xml:space="preserve">1.56</w:t>
            </w:r>
          </w:p>
        </w:tc>
        <w:tc>
          <w:tcPr>
            <w:tcW w:type="dxa" w:w="1040"/>
          </w:tcPr>
          <w:p>
            <w:pPr>
              <w:spacing w:line="240"/>
            </w:pPr>
            <w:r>
              <w:rPr>
                <w:rFonts w:ascii="Times New Roman" w:cs="Times New Roman" w:eastAsia="Times New Roman" w:hAnsi="Times New Roman"/>
                <w:b w:val="false"/>
                <w:bCs w:val="false"/>
                <w:sz w:val="20"/>
                <w:szCs w:val="20"/>
              </w:rPr>
              <w:t xml:space="preserve">0.080</w:t>
            </w:r>
          </w:p>
        </w:tc>
        <w:tc>
          <w:tcPr>
            <w:tcW w:type="dxa" w:w="1040"/>
          </w:tcPr>
          <w:p>
            <w:pPr>
              <w:spacing w:line="240"/>
            </w:pPr>
            <w:r>
              <w:rPr>
                <w:rFonts w:ascii="Times New Roman" w:cs="Times New Roman" w:eastAsia="Times New Roman" w:hAnsi="Times New Roman"/>
                <w:b w:val="false"/>
                <w:bCs w:val="false"/>
                <w:sz w:val="20"/>
                <w:szCs w:val="20"/>
              </w:rPr>
              <w:t xml:space="preserve">0.084</w:t>
            </w:r>
          </w:p>
        </w:tc>
      </w:tr>
      <w:tr>
        <w:tc>
          <w:tcPr>
            <w:tcW w:type="dxa" w:w="1040"/>
          </w:tcPr>
          <w:p>
            <w:pPr>
              <w:spacing w:line="240"/>
            </w:pPr>
            <w:r>
              <w:rPr>
                <w:rFonts w:ascii="Times New Roman" w:cs="Times New Roman" w:eastAsia="Times New Roman" w:hAnsi="Times New Roman"/>
                <w:b w:val="false"/>
                <w:bCs w:val="false"/>
                <w:sz w:val="20"/>
                <w:szCs w:val="20"/>
              </w:rPr>
              <w:t xml:space="preserve">Internal relatedness</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4.49</w:t>
            </w:r>
          </w:p>
        </w:tc>
        <w:tc>
          <w:tcPr>
            <w:tcW w:type="dxa" w:w="1040"/>
          </w:tcPr>
          <w:p>
            <w:pPr>
              <w:spacing w:line="240"/>
            </w:pPr>
            <w:r>
              <w:rPr>
                <w:rFonts w:ascii="Times New Roman" w:cs="Times New Roman" w:eastAsia="Times New Roman" w:hAnsi="Times New Roman"/>
                <w:b w:val="false"/>
                <w:bCs w:val="false"/>
                <w:sz w:val="20"/>
                <w:szCs w:val="20"/>
              </w:rPr>
              <w:t xml:space="preserve">0.662</w:t>
            </w:r>
          </w:p>
        </w:tc>
        <w:tc>
          <w:tcPr>
            <w:tcW w:type="dxa" w:w="1040"/>
          </w:tcPr>
          <w:p>
            <w:pPr>
              <w:spacing w:line="240"/>
            </w:pPr>
            <w:r>
              <w:rPr>
                <w:rFonts w:ascii="Times New Roman" w:cs="Times New Roman" w:eastAsia="Times New Roman" w:hAnsi="Times New Roman"/>
                <w:b w:val="false"/>
                <w:bCs w:val="false"/>
                <w:sz w:val="20"/>
                <w:szCs w:val="20"/>
              </w:rPr>
              <w:t xml:space="preserve">0.740</w:t>
            </w:r>
          </w:p>
        </w:tc>
        <w:tc>
          <w:tcPr>
            <w:tcW w:type="dxa" w:w="1040"/>
          </w:tcPr>
          <w:p>
            <w:pPr>
              <w:spacing w:line="240"/>
            </w:pPr>
            <w:r>
              <w:rPr>
                <w:rFonts w:ascii="Times New Roman" w:cs="Times New Roman" w:eastAsia="Times New Roman" w:hAnsi="Times New Roman"/>
                <w:b w:val="false"/>
                <w:bCs w:val="false"/>
                <w:sz w:val="20"/>
                <w:szCs w:val="20"/>
              </w:rPr>
              <w:t xml:space="preserve">3.25</w:t>
            </w:r>
          </w:p>
        </w:tc>
        <w:tc>
          <w:tcPr>
            <w:tcW w:type="dxa" w:w="1040"/>
          </w:tcPr>
          <w:p>
            <w:pPr>
              <w:spacing w:line="240"/>
            </w:pPr>
            <w:r>
              <w:rPr>
                <w:rFonts w:ascii="Times New Roman" w:cs="Times New Roman" w:eastAsia="Times New Roman" w:hAnsi="Times New Roman"/>
                <w:b w:val="false"/>
                <w:bCs w:val="false"/>
                <w:sz w:val="20"/>
                <w:szCs w:val="20"/>
              </w:rPr>
              <w:t xml:space="preserve">0.57</w:t>
            </w:r>
          </w:p>
        </w:tc>
        <w:tc>
          <w:tcPr>
            <w:tcW w:type="dxa" w:w="1040"/>
          </w:tcPr>
          <w:p>
            <w:pPr>
              <w:spacing w:line="240"/>
            </w:pPr>
            <w:r>
              <w:rPr>
                <w:rFonts w:ascii="Times New Roman" w:cs="Times New Roman" w:eastAsia="Times New Roman" w:hAnsi="Times New Roman"/>
                <w:b w:val="false"/>
                <w:bCs w:val="false"/>
                <w:sz w:val="20"/>
                <w:szCs w:val="20"/>
              </w:rPr>
              <w:t xml:space="preserve">−0.119</w:t>
            </w:r>
          </w:p>
        </w:tc>
        <w:tc>
          <w:tcPr>
            <w:tcW w:type="dxa" w:w="1040"/>
          </w:tcPr>
          <w:p>
            <w:pPr>
              <w:spacing w:line="240"/>
            </w:pPr>
            <w:r>
              <w:rPr>
                <w:rFonts w:ascii="Times New Roman" w:cs="Times New Roman" w:eastAsia="Times New Roman" w:hAnsi="Times New Roman"/>
                <w:b w:val="false"/>
                <w:bCs w:val="false"/>
                <w:sz w:val="20"/>
                <w:szCs w:val="20"/>
              </w:rPr>
              <w:t xml:space="preserve">−0.121</w:t>
            </w:r>
          </w:p>
        </w:tc>
      </w:tr>
      <w:tr>
        <w:tc>
          <w:tcPr>
            <w:tcW w:type="dxa" w:w="1040"/>
          </w:tcPr>
          <w:p>
            <w:pPr>
              <w:spacing w:line="240"/>
            </w:pPr>
            <w:r>
              <w:rPr>
                <w:rFonts w:ascii="Times New Roman" w:cs="Times New Roman" w:eastAsia="Times New Roman" w:hAnsi="Times New Roman"/>
                <w:b w:val="false"/>
                <w:bCs w:val="false"/>
                <w:sz w:val="20"/>
                <w:szCs w:val="20"/>
              </w:rPr>
              <w:t xml:space="preserve">Random selection</w:t>
            </w:r>
          </w:p>
        </w:tc>
        <w:tc>
          <w:tcPr>
            <w:tcW w:type="dxa" w:w="1040"/>
          </w:tcPr>
          <w:p>
            <w:pPr>
              <w:spacing w:line="240"/>
            </w:pPr>
            <w:r>
              <w:rPr>
                <w:rFonts w:ascii="Times New Roman" w:cs="Times New Roman" w:eastAsia="Times New Roman" w:hAnsi="Times New Roman"/>
                <w:b w:val="false"/>
                <w:bCs w:val="false"/>
                <w:sz w:val="20"/>
                <w:szCs w:val="20"/>
              </w:rPr>
              <w:t xml:space="preserve">20</w:t>
            </w:r>
          </w:p>
        </w:tc>
        <w:tc>
          <w:tcPr>
            <w:tcW w:type="dxa" w:w="1040"/>
          </w:tcPr>
          <w:p>
            <w:pPr>
              <w:spacing w:line="240"/>
            </w:pPr>
            <w:r>
              <w:rPr>
                <w:rFonts w:ascii="Times New Roman" w:cs="Times New Roman" w:eastAsia="Times New Roman" w:hAnsi="Times New Roman"/>
                <w:b w:val="false"/>
                <w:bCs w:val="false"/>
                <w:sz w:val="20"/>
                <w:szCs w:val="20"/>
              </w:rPr>
              <w:t xml:space="preserve">4.26</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0.540</w:t>
            </w:r>
          </w:p>
        </w:tc>
        <w:tc>
          <w:tcPr>
            <w:tcW w:type="dxa" w:w="1040"/>
          </w:tcPr>
          <w:p>
            <w:pPr>
              <w:spacing w:line="240"/>
            </w:pPr>
            <w:r>
              <w:rPr>
                <w:rFonts w:ascii="Times New Roman" w:cs="Times New Roman" w:eastAsia="Times New Roman" w:hAnsi="Times New Roman"/>
                <w:b w:val="false"/>
                <w:bCs w:val="false"/>
                <w:sz w:val="20"/>
                <w:szCs w:val="20"/>
              </w:rPr>
              <w:t xml:space="preserve">2.49</w:t>
            </w:r>
          </w:p>
        </w:tc>
        <w:tc>
          <w:tcPr>
            <w:tcW w:type="dxa" w:w="1040"/>
          </w:tcPr>
          <w:p>
            <w:pPr>
              <w:spacing w:line="240"/>
            </w:pPr>
            <w:r>
              <w:rPr>
                <w:rFonts w:ascii="Times New Roman" w:cs="Times New Roman" w:eastAsia="Times New Roman" w:hAnsi="Times New Roman"/>
                <w:b w:val="false"/>
                <w:bCs w:val="false"/>
                <w:sz w:val="20"/>
                <w:szCs w:val="20"/>
              </w:rPr>
              <w:t xml:space="preserve">0.43</w:t>
            </w:r>
          </w:p>
        </w:tc>
        <w:tc>
          <w:tcPr>
            <w:tcW w:type="dxa" w:w="1040"/>
          </w:tcPr>
          <w:p>
            <w:pPr>
              <w:spacing w:line="240"/>
            </w:pPr>
            <w:r>
              <w:rPr>
                <w:rFonts w:ascii="Times New Roman" w:cs="Times New Roman" w:eastAsia="Times New Roman" w:hAnsi="Times New Roman"/>
                <w:b w:val="false"/>
                <w:bCs w:val="false"/>
                <w:sz w:val="20"/>
                <w:szCs w:val="20"/>
              </w:rPr>
              <w:t xml:space="preserve">0.002</w:t>
            </w:r>
          </w:p>
        </w:tc>
        <w:tc>
          <w:tcPr>
            <w:tcW w:type="dxa" w:w="1040"/>
          </w:tcPr>
          <w:p>
            <w:pPr>
              <w:spacing w:line="240"/>
            </w:pPr>
            <w:r>
              <w:rPr>
                <w:rFonts w:ascii="Times New Roman" w:cs="Times New Roman" w:eastAsia="Times New Roman" w:hAnsi="Times New Roman"/>
                <w:b w:val="false"/>
                <w:bCs w:val="false"/>
                <w:sz w:val="20"/>
                <w:szCs w:val="20"/>
              </w:rPr>
              <w:t xml:space="preserve">−0.001</w:t>
            </w:r>
          </w:p>
        </w:tc>
      </w:tr>
    </w:tbl>
    <w:p>
      <w:pPr>
        <w:spacing w:after="120"/>
      </w:pPr>
    </w:p>
    <w:p>
      <w:pPr>
        <w:spacing w:after="120"/>
      </w:pPr>
    </w:p>
    <w:p>
      <w:pPr>
        <w:spacing w:after="120"/>
      </w:pPr>
    </w:p>
    <w:p>
      <w:pPr>
        <w:spacing w:after="240" w:line="360"/>
      </w:pPr>
      <w:r>
        <w:rPr>
          <w:rFonts w:ascii="Times New Roman" w:cs="Times New Roman" w:eastAsia="Times New Roman" w:hAnsi="Times New Roman"/>
          <w:i/>
          <w:iCs/>
          <w:sz w:val="24"/>
          <w:szCs w:val="24"/>
        </w:rPr>
        <w:t xml:space="preserve">Means of 50 replicates. The Founder row is the generation-0 starting population (shared across strategies); the four strategy rows are generation-20 values. Alleles per locus, effective alleles, and outlier index to two decimals; expected heterozygosity, observed heterozygosity, and internal relatedness to three (the outlier-index-versus-average-genetic-relatedness margin in expected heterozygosity, and the sign of internal relatedness near zero, are both lost at two). Replicate standard deviations were small across all strategies and breeds (n = 50): alleles per locus 0.07–0.17, expected heterozygosity 0.002–0.013, observed heterozygosity 0.005–0.014, effective alleles 0.06–0.15, internal relatedness 0.005–0.011, and outlier index 0.03–0.40; per-cell values are available on request.</w:t>
      </w:r>
    </w:p>
    <w:p>
      <w:pPr>
        <w:pStyle w:val="Heading2"/>
        <w:spacing w:after="120" w:before="240" w:line="480"/>
      </w:pPr>
      <w:r>
        <w:rPr>
          <w:rFonts w:ascii="Times New Roman" w:cs="Times New Roman" w:eastAsia="Times New Roman" w:hAnsi="Times New Roman"/>
          <w:b/>
          <w:bCs/>
          <w:sz w:val="24"/>
          <w:szCs w:val="24"/>
        </w:rPr>
        <w:t xml:space="preserve">Table 2. Allele loss over the final five generations (generation 15 → 20), mean total alleles across all 33 loci.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Strategy</w:t>
            </w:r>
          </w:p>
        </w:tc>
        <w:tc>
          <w:tcPr>
            <w:tcW w:type="dxa" w:w="1872"/>
          </w:tcPr>
          <w:p>
            <w:pPr>
              <w:spacing w:line="240"/>
            </w:pPr>
            <w:r>
              <w:rPr>
                <w:rFonts w:ascii="Times New Roman" w:cs="Times New Roman" w:eastAsia="Times New Roman" w:hAnsi="Times New Roman"/>
                <w:b/>
                <w:bCs/>
                <w:sz w:val="20"/>
                <w:szCs w:val="20"/>
              </w:rPr>
              <w:t xml:space="preserve">Alleles lost</w:t>
            </w:r>
          </w:p>
        </w:tc>
        <w:tc>
          <w:tcPr>
            <w:tcW w:type="dxa" w:w="1872"/>
          </w:tcPr>
          <w:p>
            <w:pPr>
              <w:spacing w:line="240"/>
            </w:pPr>
            <w:r>
              <w:rPr>
                <w:rFonts w:ascii="Times New Roman" w:cs="Times New Roman" w:eastAsia="Times New Roman" w:hAnsi="Times New Roman"/>
                <w:b/>
                <w:bCs/>
                <w:sz w:val="20"/>
                <w:szCs w:val="20"/>
              </w:rPr>
              <w:t xml:space="preserve">% lost</w:t>
            </w:r>
          </w:p>
        </w:tc>
        <w:tc>
          <w:tcPr>
            <w:tcW w:type="dxa" w:w="1872"/>
          </w:tcPr>
          <w:p>
            <w:pPr>
              <w:spacing w:line="240"/>
            </w:pPr>
            <w:r>
              <w:rPr>
                <w:rFonts w:ascii="Times New Roman" w:cs="Times New Roman" w:eastAsia="Times New Roman" w:hAnsi="Times New Roman"/>
                <w:b/>
                <w:bCs/>
                <w:sz w:val="20"/>
                <w:szCs w:val="20"/>
              </w:rPr>
              <w:t xml:space="preserve">Slope (alleles/gen)</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0.02%</w:t>
            </w:r>
          </w:p>
        </w:tc>
        <w:tc>
          <w:tcPr>
            <w:tcW w:type="dxa" w:w="1872"/>
          </w:tcPr>
          <w:p>
            <w:pPr>
              <w:spacing w:line="240"/>
            </w:pPr>
            <w:r>
              <w:rPr>
                <w:rFonts w:ascii="Times New Roman" w:cs="Times New Roman" w:eastAsia="Times New Roman" w:hAnsi="Times New Roman"/>
                <w:b w:val="false"/>
                <w:bCs w:val="false"/>
                <w:sz w:val="20"/>
                <w:szCs w:val="20"/>
              </w:rPr>
              <w:t xml:space="preserve">−0.008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6.24</w:t>
            </w:r>
          </w:p>
        </w:tc>
        <w:tc>
          <w:tcPr>
            <w:tcW w:type="dxa" w:w="1872"/>
          </w:tcPr>
          <w:p>
            <w:pPr>
              <w:spacing w:line="240"/>
            </w:pPr>
            <w:r>
              <w:rPr>
                <w:rFonts w:ascii="Times New Roman" w:cs="Times New Roman" w:eastAsia="Times New Roman" w:hAnsi="Times New Roman"/>
                <w:b w:val="false"/>
                <w:bCs w:val="false"/>
                <w:sz w:val="20"/>
                <w:szCs w:val="20"/>
              </w:rPr>
              <w:t xml:space="preserve">2.62%</w:t>
            </w:r>
          </w:p>
        </w:tc>
        <w:tc>
          <w:tcPr>
            <w:tcW w:type="dxa" w:w="1872"/>
          </w:tcPr>
          <w:p>
            <w:pPr>
              <w:spacing w:line="240"/>
            </w:pPr>
            <w:r>
              <w:rPr>
                <w:rFonts w:ascii="Times New Roman" w:cs="Times New Roman" w:eastAsia="Times New Roman" w:hAnsi="Times New Roman"/>
                <w:b w:val="false"/>
                <w:bCs w:val="false"/>
                <w:sz w:val="20"/>
                <w:szCs w:val="20"/>
              </w:rPr>
              <w:t xml:space="preserve">−1.270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8.46</w:t>
            </w:r>
          </w:p>
        </w:tc>
        <w:tc>
          <w:tcPr>
            <w:tcW w:type="dxa" w:w="1872"/>
          </w:tcPr>
          <w:p>
            <w:pPr>
              <w:spacing w:line="240"/>
            </w:pPr>
            <w:r>
              <w:rPr>
                <w:rFonts w:ascii="Times New Roman" w:cs="Times New Roman" w:eastAsia="Times New Roman" w:hAnsi="Times New Roman"/>
                <w:b w:val="false"/>
                <w:bCs w:val="false"/>
                <w:sz w:val="20"/>
                <w:szCs w:val="20"/>
              </w:rPr>
              <w:t xml:space="preserve">3.66%</w:t>
            </w:r>
          </w:p>
        </w:tc>
        <w:tc>
          <w:tcPr>
            <w:tcW w:type="dxa" w:w="1872"/>
          </w:tcPr>
          <w:p>
            <w:pPr>
              <w:spacing w:line="240"/>
            </w:pPr>
            <w:r>
              <w:rPr>
                <w:rFonts w:ascii="Times New Roman" w:cs="Times New Roman" w:eastAsia="Times New Roman" w:hAnsi="Times New Roman"/>
                <w:b w:val="false"/>
                <w:bCs w:val="false"/>
                <w:sz w:val="20"/>
                <w:szCs w:val="20"/>
              </w:rPr>
              <w:t xml:space="preserve">−1.732</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0.03%</w:t>
            </w:r>
          </w:p>
        </w:tc>
        <w:tc>
          <w:tcPr>
            <w:tcW w:type="dxa" w:w="1872"/>
          </w:tcPr>
          <w:p>
            <w:pPr>
              <w:spacing w:line="240"/>
            </w:pPr>
            <w:r>
              <w:rPr>
                <w:rFonts w:ascii="Times New Roman" w:cs="Times New Roman" w:eastAsia="Times New Roman" w:hAnsi="Times New Roman"/>
                <w:b w:val="false"/>
                <w:bCs w:val="false"/>
                <w:sz w:val="20"/>
                <w:szCs w:val="20"/>
              </w:rPr>
              <w:t xml:space="preserve">−0.013</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0.12</w:t>
            </w:r>
          </w:p>
        </w:tc>
        <w:tc>
          <w:tcPr>
            <w:tcW w:type="dxa" w:w="1872"/>
          </w:tcPr>
          <w:p>
            <w:pPr>
              <w:spacing w:line="240"/>
            </w:pPr>
            <w:r>
              <w:rPr>
                <w:rFonts w:ascii="Times New Roman" w:cs="Times New Roman" w:eastAsia="Times New Roman" w:hAnsi="Times New Roman"/>
                <w:b w:val="false"/>
                <w:bCs w:val="false"/>
                <w:sz w:val="20"/>
                <w:szCs w:val="20"/>
              </w:rPr>
              <w:t xml:space="preserve">0.07%</w:t>
            </w:r>
          </w:p>
        </w:tc>
        <w:tc>
          <w:tcPr>
            <w:tcW w:type="dxa" w:w="1872"/>
          </w:tcPr>
          <w:p>
            <w:pPr>
              <w:spacing w:line="240"/>
            </w:pPr>
            <w:r>
              <w:rPr>
                <w:rFonts w:ascii="Times New Roman" w:cs="Times New Roman" w:eastAsia="Times New Roman" w:hAnsi="Times New Roman"/>
                <w:b w:val="false"/>
                <w:bCs w:val="false"/>
                <w:sz w:val="20"/>
                <w:szCs w:val="20"/>
              </w:rPr>
              <w:t xml:space="preserve">−0.025</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3.94</w:t>
            </w:r>
          </w:p>
        </w:tc>
        <w:tc>
          <w:tcPr>
            <w:tcW w:type="dxa" w:w="1872"/>
          </w:tcPr>
          <w:p>
            <w:pPr>
              <w:spacing w:line="240"/>
            </w:pPr>
            <w:r>
              <w:rPr>
                <w:rFonts w:ascii="Times New Roman" w:cs="Times New Roman" w:eastAsia="Times New Roman" w:hAnsi="Times New Roman"/>
                <w:b w:val="false"/>
                <w:bCs w:val="false"/>
                <w:sz w:val="20"/>
                <w:szCs w:val="20"/>
              </w:rPr>
              <w:t xml:space="preserve">2.44%</w:t>
            </w:r>
          </w:p>
        </w:tc>
        <w:tc>
          <w:tcPr>
            <w:tcW w:type="dxa" w:w="1872"/>
          </w:tcPr>
          <w:p>
            <w:pPr>
              <w:spacing w:line="240"/>
            </w:pPr>
            <w:r>
              <w:rPr>
                <w:rFonts w:ascii="Times New Roman" w:cs="Times New Roman" w:eastAsia="Times New Roman" w:hAnsi="Times New Roman"/>
                <w:b w:val="false"/>
                <w:bCs w:val="false"/>
                <w:sz w:val="20"/>
                <w:szCs w:val="20"/>
              </w:rPr>
              <w:t xml:space="preserve">−0.791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7.18</w:t>
            </w:r>
          </w:p>
        </w:tc>
        <w:tc>
          <w:tcPr>
            <w:tcW w:type="dxa" w:w="1872"/>
          </w:tcPr>
          <w:p>
            <w:pPr>
              <w:spacing w:line="240"/>
            </w:pPr>
            <w:r>
              <w:rPr>
                <w:rFonts w:ascii="Times New Roman" w:cs="Times New Roman" w:eastAsia="Times New Roman" w:hAnsi="Times New Roman"/>
                <w:b w:val="false"/>
                <w:bCs w:val="false"/>
                <w:sz w:val="20"/>
                <w:szCs w:val="20"/>
              </w:rPr>
              <w:t xml:space="preserve">4.78%</w:t>
            </w:r>
          </w:p>
        </w:tc>
        <w:tc>
          <w:tcPr>
            <w:tcW w:type="dxa" w:w="1872"/>
          </w:tcPr>
          <w:p>
            <w:pPr>
              <w:spacing w:line="240"/>
            </w:pPr>
            <w:r>
              <w:rPr>
                <w:rFonts w:ascii="Times New Roman" w:cs="Times New Roman" w:eastAsia="Times New Roman" w:hAnsi="Times New Roman"/>
                <w:b w:val="false"/>
                <w:bCs w:val="false"/>
                <w:sz w:val="20"/>
                <w:szCs w:val="20"/>
              </w:rPr>
              <w:t xml:space="preserve">−1.399</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Outlier index</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w:t>
            </w:r>
          </w:p>
        </w:tc>
        <w:tc>
          <w:tcPr>
            <w:tcW w:type="dxa" w:w="1872"/>
          </w:tcPr>
          <w:p>
            <w:pPr>
              <w:spacing w:line="240"/>
            </w:pPr>
            <w:r>
              <w:rPr>
                <w:rFonts w:ascii="Times New Roman" w:cs="Times New Roman" w:eastAsia="Times New Roman" w:hAnsi="Times New Roman"/>
                <w:b w:val="false"/>
                <w:bCs w:val="false"/>
                <w:sz w:val="20"/>
                <w:szCs w:val="20"/>
              </w:rPr>
              <w:t xml:space="preserve">0.000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Average genetic relatedness</w:t>
            </w:r>
          </w:p>
        </w:tc>
        <w:tc>
          <w:tcPr>
            <w:tcW w:type="dxa" w:w="1872"/>
          </w:tcPr>
          <w:p>
            <w:pPr>
              <w:spacing w:line="240"/>
            </w:pPr>
            <w:r>
              <w:rPr>
                <w:rFonts w:ascii="Times New Roman" w:cs="Times New Roman" w:eastAsia="Times New Roman" w:hAnsi="Times New Roman"/>
                <w:b w:val="false"/>
                <w:bCs w:val="false"/>
                <w:sz w:val="20"/>
                <w:szCs w:val="20"/>
              </w:rPr>
              <w:t xml:space="preserve">0.06</w:t>
            </w:r>
          </w:p>
        </w:tc>
        <w:tc>
          <w:tcPr>
            <w:tcW w:type="dxa" w:w="1872"/>
          </w:tcPr>
          <w:p>
            <w:pPr>
              <w:spacing w:line="240"/>
            </w:pPr>
            <w:r>
              <w:rPr>
                <w:rFonts w:ascii="Times New Roman" w:cs="Times New Roman" w:eastAsia="Times New Roman" w:hAnsi="Times New Roman"/>
                <w:b w:val="false"/>
                <w:bCs w:val="false"/>
                <w:sz w:val="20"/>
                <w:szCs w:val="20"/>
              </w:rPr>
              <w:t xml:space="preserve">0.04%</w:t>
            </w:r>
          </w:p>
        </w:tc>
        <w:tc>
          <w:tcPr>
            <w:tcW w:type="dxa" w:w="1872"/>
          </w:tcPr>
          <w:p>
            <w:pPr>
              <w:spacing w:line="240"/>
            </w:pPr>
            <w:r>
              <w:rPr>
                <w:rFonts w:ascii="Times New Roman" w:cs="Times New Roman" w:eastAsia="Times New Roman" w:hAnsi="Times New Roman"/>
                <w:b w:val="false"/>
                <w:bCs w:val="false"/>
                <w:sz w:val="20"/>
                <w:szCs w:val="20"/>
              </w:rPr>
              <w:t xml:space="preserve">−0.012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Internal relatedness</w:t>
            </w:r>
          </w:p>
        </w:tc>
        <w:tc>
          <w:tcPr>
            <w:tcW w:type="dxa" w:w="1872"/>
          </w:tcPr>
          <w:p>
            <w:pPr>
              <w:spacing w:line="240"/>
            </w:pPr>
            <w:r>
              <w:rPr>
                <w:rFonts w:ascii="Times New Roman" w:cs="Times New Roman" w:eastAsia="Times New Roman" w:hAnsi="Times New Roman"/>
                <w:b w:val="false"/>
                <w:bCs w:val="false"/>
                <w:sz w:val="20"/>
                <w:szCs w:val="20"/>
              </w:rPr>
              <w:t xml:space="preserve">2.28</w:t>
            </w:r>
          </w:p>
        </w:tc>
        <w:tc>
          <w:tcPr>
            <w:tcW w:type="dxa" w:w="1872"/>
          </w:tcPr>
          <w:p>
            <w:pPr>
              <w:spacing w:line="240"/>
            </w:pPr>
            <w:r>
              <w:rPr>
                <w:rFonts w:ascii="Times New Roman" w:cs="Times New Roman" w:eastAsia="Times New Roman" w:hAnsi="Times New Roman"/>
                <w:b w:val="false"/>
                <w:bCs w:val="false"/>
                <w:sz w:val="20"/>
                <w:szCs w:val="20"/>
              </w:rPr>
              <w:t xml:space="preserve">1.52%</w:t>
            </w:r>
          </w:p>
        </w:tc>
        <w:tc>
          <w:tcPr>
            <w:tcW w:type="dxa" w:w="1872"/>
          </w:tcPr>
          <w:p>
            <w:pPr>
              <w:spacing w:line="240"/>
            </w:pPr>
            <w:r>
              <w:rPr>
                <w:rFonts w:ascii="Times New Roman" w:cs="Times New Roman" w:eastAsia="Times New Roman" w:hAnsi="Times New Roman"/>
                <w:b w:val="false"/>
                <w:bCs w:val="false"/>
                <w:sz w:val="20"/>
                <w:szCs w:val="20"/>
              </w:rPr>
              <w:t xml:space="preserve">−0.458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Random selection</w:t>
            </w:r>
          </w:p>
        </w:tc>
        <w:tc>
          <w:tcPr>
            <w:tcW w:type="dxa" w:w="1872"/>
          </w:tcPr>
          <w:p>
            <w:pPr>
              <w:spacing w:line="240"/>
            </w:pPr>
            <w:r>
              <w:rPr>
                <w:rFonts w:ascii="Times New Roman" w:cs="Times New Roman" w:eastAsia="Times New Roman" w:hAnsi="Times New Roman"/>
                <w:b w:val="false"/>
                <w:bCs w:val="false"/>
                <w:sz w:val="20"/>
                <w:szCs w:val="20"/>
              </w:rPr>
              <w:t xml:space="preserve">3.80</w:t>
            </w:r>
          </w:p>
        </w:tc>
        <w:tc>
          <w:tcPr>
            <w:tcW w:type="dxa" w:w="1872"/>
          </w:tcPr>
          <w:p>
            <w:pPr>
              <w:spacing w:line="240"/>
            </w:pPr>
            <w:r>
              <w:rPr>
                <w:rFonts w:ascii="Times New Roman" w:cs="Times New Roman" w:eastAsia="Times New Roman" w:hAnsi="Times New Roman"/>
                <w:b w:val="false"/>
                <w:bCs w:val="false"/>
                <w:sz w:val="20"/>
                <w:szCs w:val="20"/>
              </w:rPr>
              <w:t xml:space="preserve">2.63%</w:t>
            </w:r>
          </w:p>
        </w:tc>
        <w:tc>
          <w:tcPr>
            <w:tcW w:type="dxa" w:w="1872"/>
          </w:tcPr>
          <w:p>
            <w:pPr>
              <w:spacing w:line="240"/>
            </w:pPr>
            <w:r>
              <w:rPr>
                <w:rFonts w:ascii="Times New Roman" w:cs="Times New Roman" w:eastAsia="Times New Roman" w:hAnsi="Times New Roman"/>
                <w:b w:val="false"/>
                <w:bCs w:val="false"/>
                <w:sz w:val="20"/>
                <w:szCs w:val="20"/>
              </w:rPr>
              <w:t xml:space="preserve">−0.775</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“Alleles lost” is the decline in total distinct alleles from generation 15 to 20; “% lost” is that decline as a percentage of the generation-15 count; slope is the linear fit over generations 15–20. Generation-0 founder totals (mean of the per-replicate founding counts across the 50 replicates): Standard Poodle ~277, Doberman ~197, Flat-Coated Retriever ~167.</w:t>
      </w:r>
    </w:p>
    <w:p>
      <w:pPr>
        <w:pStyle w:val="Heading2"/>
        <w:spacing w:after="120" w:before="240" w:line="480"/>
      </w:pPr>
      <w:r>
        <w:rPr>
          <w:rFonts w:ascii="Times New Roman" w:cs="Times New Roman" w:eastAsia="Times New Roman" w:hAnsi="Times New Roman"/>
          <w:b/>
          <w:bCs/>
          <w:sz w:val="24"/>
          <w:szCs w:val="24"/>
        </w:rPr>
        <w:t xml:space="preserve">Allele frequency band composition</w:t>
      </w:r>
    </w:p>
    <w:p>
      <w:pPr>
        <w:spacing w:after="120" w:line="480"/>
        <w:jc w:val="left"/>
      </w:pPr>
      <w:r>
        <w:rPr>
          <w:rFonts w:ascii="Times New Roman" w:cs="Times New Roman" w:eastAsia="Times New Roman" w:hAnsi="Times New Roman"/>
          <w:sz w:val="24"/>
          <w:szCs w:val="24"/>
        </w:rPr>
        <w:t xml:space="preserve">We tracked the percentage of distinct alleles in low-, mid-, and high-frequency categories in each generation to see how they changed. In the founder populations (generation 0), most distinct alleles fell in the low-frequency band in all three breeds: 59.1% in the Standard Poodle, 62.3% in the Doberman, and 54.8% in the Flat-Coated Retriever. The high-frequency band was the next largest (roughly 28–31%) and the mid-frequency band the smallest (Table 3). Under both outlier index and average genetic relatedness selection, distribution shifted toward the middle: low- and high-frequency alleles were both drawn into the mid-frequency band. By generation 20, the mid-frequency bands were between 76.9% and 95.6% of alleles, while the high-frequency band fell to 10.9% or less. In every breed a small share of high-frequency alleles remained. Under selection for internal relatedness and under random selection, the low-frequency band remained largest at 38.9% to 55.8%, and high-frequency alleles accounted for 30% to 36%, even as total allelic richness declined.</w:t>
      </w:r>
    </w:p>
    <w:p>
      <w:pPr>
        <w:pStyle w:val="Heading2"/>
        <w:spacing w:after="120" w:before="240" w:line="480"/>
      </w:pPr>
      <w:r>
        <w:rPr>
          <w:rFonts w:ascii="Times New Roman" w:cs="Times New Roman" w:eastAsia="Times New Roman" w:hAnsi="Times New Roman"/>
          <w:b/>
          <w:bCs/>
          <w:sz w:val="24"/>
          <w:szCs w:val="24"/>
        </w:rPr>
        <w:t xml:space="preserve">Table 3. Allele frequency band composition (% of distinct alleles), generation 0 versus generation 20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440"/>
        <w:gridCol w:w="768"/>
        <w:gridCol w:w="768"/>
        <w:gridCol w:w="768"/>
        <w:gridCol w:w="768"/>
        <w:gridCol w:w="768"/>
        <w:gridCol w:w="768"/>
        <w:gridCol w:w="768"/>
        <w:gridCol w:w="768"/>
        <w:gridCol w:w="768"/>
      </w:tblGrid>
      <w:tr>
        <w:tc>
          <w:tcPr>
            <w:tcW w:type="dxa" w:w="2440"/>
          </w:tcPr>
          <w:p>
            <w:pPr>
              <w:spacing w:line="240"/>
              <w:jc w:val="left"/>
            </w:pPr>
            <w:r>
              <w:rPr>
                <w:rFonts w:ascii="Times New Roman" w:cs="Times New Roman" w:eastAsia="Times New Roman" w:hAnsi="Times New Roman"/>
                <w:b w:val="false"/>
                <w:bCs w:val="false"/>
                <w:sz w:val="20"/>
                <w:szCs w:val="20"/>
              </w:rPr>
              <w:t xml:space="preserve"/>
            </w:r>
          </w:p>
        </w:tc>
        <w:tc>
          <w:tcPr>
            <w:tcW w:type="dxa" w:w="2304"/>
            <w:gridSpan w:val="3"/>
          </w:tcPr>
          <w:p>
            <w:pPr>
              <w:spacing w:line="240"/>
              <w:jc w:val="center"/>
            </w:pPr>
            <w:r>
              <w:rPr>
                <w:rFonts w:ascii="Times New Roman" w:cs="Times New Roman" w:eastAsia="Times New Roman" w:hAnsi="Times New Roman"/>
                <w:b/>
                <w:bCs/>
                <w:sz w:val="20"/>
                <w:szCs w:val="20"/>
              </w:rPr>
              <w:t xml:space="preserve">Standard Poodle</w:t>
            </w:r>
          </w:p>
        </w:tc>
        <w:tc>
          <w:tcPr>
            <w:tcW w:type="dxa" w:w="2304"/>
            <w:gridSpan w:val="3"/>
          </w:tcPr>
          <w:p>
            <w:pPr>
              <w:spacing w:line="240"/>
              <w:jc w:val="center"/>
            </w:pPr>
            <w:r>
              <w:rPr>
                <w:rFonts w:ascii="Times New Roman" w:cs="Times New Roman" w:eastAsia="Times New Roman" w:hAnsi="Times New Roman"/>
                <w:b/>
                <w:bCs/>
                <w:sz w:val="20"/>
                <w:szCs w:val="20"/>
              </w:rPr>
              <w:t xml:space="preserve">Doberman Pinscher</w:t>
            </w:r>
          </w:p>
        </w:tc>
        <w:tc>
          <w:tcPr>
            <w:tcW w:type="dxa" w:w="2304"/>
            <w:gridSpan w:val="3"/>
          </w:tcPr>
          <w:p>
            <w:pPr>
              <w:spacing w:line="240"/>
              <w:jc w:val="center"/>
            </w:pPr>
            <w:r>
              <w:rPr>
                <w:rFonts w:ascii="Times New Roman" w:cs="Times New Roman" w:eastAsia="Times New Roman" w:hAnsi="Times New Roman"/>
                <w:b/>
                <w:bCs/>
                <w:sz w:val="20"/>
                <w:szCs w:val="20"/>
              </w:rPr>
              <w:t xml:space="preserve">Flat-Coated Retriever</w:t>
            </w:r>
          </w:p>
        </w:tc>
      </w:tr>
      <w:tr>
        <w:tc>
          <w:tcPr>
            <w:tcW w:type="dxa" w:w="2440"/>
          </w:tcPr>
          <w:p>
            <w:pPr>
              <w:spacing w:line="240"/>
              <w:jc w:val="left"/>
            </w:pPr>
            <w:r>
              <w:rPr>
                <w:rFonts w:ascii="Times New Roman" w:cs="Times New Roman" w:eastAsia="Times New Roman" w:hAnsi="Times New Roman"/>
                <w:b/>
                <w:bCs/>
                <w:sz w:val="20"/>
                <w:szCs w:val="20"/>
              </w:rPr>
              <w:t xml:space="preserve">Generation/Strategy</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c>
          <w:tcPr>
            <w:tcW w:type="dxa" w:w="768"/>
          </w:tcPr>
          <w:p>
            <w:pPr>
              <w:spacing w:line="240"/>
              <w:jc w:val="center"/>
            </w:pPr>
            <w:r>
              <w:rPr>
                <w:rFonts w:ascii="Times New Roman" w:cs="Times New Roman" w:eastAsia="Times New Roman" w:hAnsi="Times New Roman"/>
                <w:b/>
                <w:bCs/>
                <w:sz w:val="20"/>
                <w:szCs w:val="20"/>
              </w:rPr>
              <w:t xml:space="preserve">Low</w:t>
            </w:r>
          </w:p>
        </w:tc>
        <w:tc>
          <w:tcPr>
            <w:tcW w:type="dxa" w:w="768"/>
          </w:tcPr>
          <w:p>
            <w:pPr>
              <w:spacing w:line="240"/>
              <w:jc w:val="center"/>
            </w:pPr>
            <w:r>
              <w:rPr>
                <w:rFonts w:ascii="Times New Roman" w:cs="Times New Roman" w:eastAsia="Times New Roman" w:hAnsi="Times New Roman"/>
                <w:b/>
                <w:bCs/>
                <w:sz w:val="20"/>
                <w:szCs w:val="20"/>
              </w:rPr>
              <w:t xml:space="preserve">Mid</w:t>
            </w:r>
          </w:p>
        </w:tc>
        <w:tc>
          <w:tcPr>
            <w:tcW w:type="dxa" w:w="768"/>
          </w:tcPr>
          <w:p>
            <w:pPr>
              <w:spacing w:line="240"/>
              <w:jc w:val="center"/>
            </w:pPr>
            <w:r>
              <w:rPr>
                <w:rFonts w:ascii="Times New Roman" w:cs="Times New Roman" w:eastAsia="Times New Roman" w:hAnsi="Times New Roman"/>
                <w:b/>
                <w:bCs/>
                <w:sz w:val="20"/>
                <w:szCs w:val="20"/>
              </w:rPr>
              <w:t xml:space="preserve">High</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0/Founders</w:t>
            </w:r>
          </w:p>
        </w:tc>
        <w:tc>
          <w:tcPr>
            <w:tcW w:type="dxa" w:w="768"/>
          </w:tcPr>
          <w:p>
            <w:pPr>
              <w:spacing w:line="240"/>
              <w:jc w:val="center"/>
            </w:pPr>
            <w:r>
              <w:rPr>
                <w:rFonts w:ascii="Times New Roman" w:cs="Times New Roman" w:eastAsia="Times New Roman" w:hAnsi="Times New Roman"/>
                <w:b w:val="false"/>
                <w:bCs w:val="false"/>
                <w:sz w:val="20"/>
                <w:szCs w:val="20"/>
              </w:rPr>
              <w:t xml:space="preserve">59.1</w:t>
            </w:r>
          </w:p>
        </w:tc>
        <w:tc>
          <w:tcPr>
            <w:tcW w:type="dxa" w:w="768"/>
          </w:tcPr>
          <w:p>
            <w:pPr>
              <w:spacing w:line="240"/>
              <w:jc w:val="center"/>
            </w:pPr>
            <w:r>
              <w:rPr>
                <w:rFonts w:ascii="Times New Roman" w:cs="Times New Roman" w:eastAsia="Times New Roman" w:hAnsi="Times New Roman"/>
                <w:b w:val="false"/>
                <w:bCs w:val="false"/>
                <w:sz w:val="20"/>
                <w:szCs w:val="20"/>
              </w:rPr>
              <w:t xml:space="preserve">9.7</w:t>
            </w:r>
          </w:p>
        </w:tc>
        <w:tc>
          <w:tcPr>
            <w:tcW w:type="dxa" w:w="768"/>
          </w:tcPr>
          <w:p>
            <w:pPr>
              <w:spacing w:line="240"/>
              <w:jc w:val="center"/>
            </w:pPr>
            <w:r>
              <w:rPr>
                <w:rFonts w:ascii="Times New Roman" w:cs="Times New Roman" w:eastAsia="Times New Roman" w:hAnsi="Times New Roman"/>
                <w:b w:val="false"/>
                <w:bCs w:val="false"/>
                <w:sz w:val="20"/>
                <w:szCs w:val="20"/>
              </w:rPr>
              <w:t xml:space="preserve">31.1</w:t>
            </w:r>
          </w:p>
        </w:tc>
        <w:tc>
          <w:tcPr>
            <w:tcW w:type="dxa" w:w="768"/>
          </w:tcPr>
          <w:p>
            <w:pPr>
              <w:spacing w:line="240"/>
              <w:jc w:val="center"/>
            </w:pPr>
            <w:r>
              <w:rPr>
                <w:rFonts w:ascii="Times New Roman" w:cs="Times New Roman" w:eastAsia="Times New Roman" w:hAnsi="Times New Roman"/>
                <w:b w:val="false"/>
                <w:bCs w:val="false"/>
                <w:sz w:val="20"/>
                <w:szCs w:val="20"/>
              </w:rPr>
              <w:t xml:space="preserve">62.3</w:t>
            </w:r>
          </w:p>
        </w:tc>
        <w:tc>
          <w:tcPr>
            <w:tcW w:type="dxa" w:w="768"/>
          </w:tcPr>
          <w:p>
            <w:pPr>
              <w:spacing w:line="240"/>
              <w:jc w:val="center"/>
            </w:pPr>
            <w:r>
              <w:rPr>
                <w:rFonts w:ascii="Times New Roman" w:cs="Times New Roman" w:eastAsia="Times New Roman" w:hAnsi="Times New Roman"/>
                <w:b w:val="false"/>
                <w:bCs w:val="false"/>
                <w:sz w:val="20"/>
                <w:szCs w:val="20"/>
              </w:rPr>
              <w:t xml:space="preserve">10.0</w:t>
            </w:r>
          </w:p>
        </w:tc>
        <w:tc>
          <w:tcPr>
            <w:tcW w:type="dxa" w:w="768"/>
          </w:tcPr>
          <w:p>
            <w:pPr>
              <w:spacing w:line="240"/>
              <w:jc w:val="center"/>
            </w:pPr>
            <w:r>
              <w:rPr>
                <w:rFonts w:ascii="Times New Roman" w:cs="Times New Roman" w:eastAsia="Times New Roman" w:hAnsi="Times New Roman"/>
                <w:b w:val="false"/>
                <w:bCs w:val="false"/>
                <w:sz w:val="20"/>
                <w:szCs w:val="20"/>
              </w:rPr>
              <w:t xml:space="preserve">27.8</w:t>
            </w:r>
          </w:p>
        </w:tc>
        <w:tc>
          <w:tcPr>
            <w:tcW w:type="dxa" w:w="768"/>
          </w:tcPr>
          <w:p>
            <w:pPr>
              <w:spacing w:line="240"/>
              <w:jc w:val="center"/>
            </w:pPr>
            <w:r>
              <w:rPr>
                <w:rFonts w:ascii="Times New Roman" w:cs="Times New Roman" w:eastAsia="Times New Roman" w:hAnsi="Times New Roman"/>
                <w:b w:val="false"/>
                <w:bCs w:val="false"/>
                <w:sz w:val="20"/>
                <w:szCs w:val="20"/>
              </w:rPr>
              <w:t xml:space="preserve">54.8</w:t>
            </w:r>
          </w:p>
        </w:tc>
        <w:tc>
          <w:tcPr>
            <w:tcW w:type="dxa" w:w="768"/>
          </w:tcPr>
          <w:p>
            <w:pPr>
              <w:spacing w:line="240"/>
              <w:jc w:val="center"/>
            </w:pPr>
            <w:r>
              <w:rPr>
                <w:rFonts w:ascii="Times New Roman" w:cs="Times New Roman" w:eastAsia="Times New Roman" w:hAnsi="Times New Roman"/>
                <w:b w:val="false"/>
                <w:bCs w:val="false"/>
                <w:sz w:val="20"/>
                <w:szCs w:val="20"/>
              </w:rPr>
              <w:t xml:space="preserve">17.1</w:t>
            </w:r>
          </w:p>
        </w:tc>
        <w:tc>
          <w:tcPr>
            <w:tcW w:type="dxa" w:w="768"/>
          </w:tcPr>
          <w:p>
            <w:pPr>
              <w:spacing w:line="240"/>
              <w:jc w:val="center"/>
            </w:pPr>
            <w:r>
              <w:rPr>
                <w:rFonts w:ascii="Times New Roman" w:cs="Times New Roman" w:eastAsia="Times New Roman" w:hAnsi="Times New Roman"/>
                <w:b w:val="false"/>
                <w:bCs w:val="false"/>
                <w:sz w:val="20"/>
                <w:szCs w:val="20"/>
              </w:rPr>
              <w:t xml:space="preserve">28.0</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20/OI</w:t>
            </w:r>
          </w:p>
        </w:tc>
        <w:tc>
          <w:tcPr>
            <w:tcW w:type="dxa" w:w="768"/>
          </w:tcPr>
          <w:p>
            <w:pPr>
              <w:spacing w:line="240"/>
              <w:jc w:val="center"/>
            </w:pPr>
            <w:r>
              <w:rPr>
                <w:rFonts w:ascii="Times New Roman" w:cs="Times New Roman" w:eastAsia="Times New Roman" w:hAnsi="Times New Roman"/>
                <w:b w:val="false"/>
                <w:bCs w:val="false"/>
                <w:sz w:val="20"/>
                <w:szCs w:val="20"/>
              </w:rPr>
              <w:t xml:space="preserve">4.9</w:t>
            </w:r>
          </w:p>
        </w:tc>
        <w:tc>
          <w:tcPr>
            <w:tcW w:type="dxa" w:w="768"/>
          </w:tcPr>
          <w:p>
            <w:pPr>
              <w:spacing w:line="240"/>
              <w:jc w:val="center"/>
            </w:pPr>
            <w:r>
              <w:rPr>
                <w:rFonts w:ascii="Times New Roman" w:cs="Times New Roman" w:eastAsia="Times New Roman" w:hAnsi="Times New Roman"/>
                <w:b w:val="false"/>
                <w:bCs w:val="false"/>
                <w:sz w:val="20"/>
                <w:szCs w:val="20"/>
              </w:rPr>
              <w:t xml:space="preserve">89.5</w:t>
            </w:r>
          </w:p>
        </w:tc>
        <w:tc>
          <w:tcPr>
            <w:tcW w:type="dxa" w:w="768"/>
          </w:tcPr>
          <w:p>
            <w:pPr>
              <w:spacing w:line="240"/>
              <w:jc w:val="center"/>
            </w:pPr>
            <w:r>
              <w:rPr>
                <w:rFonts w:ascii="Times New Roman" w:cs="Times New Roman" w:eastAsia="Times New Roman" w:hAnsi="Times New Roman"/>
                <w:b w:val="false"/>
                <w:bCs w:val="false"/>
                <w:sz w:val="20"/>
                <w:szCs w:val="20"/>
              </w:rPr>
              <w:t xml:space="preserve">5.7</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90.6</w:t>
            </w:r>
          </w:p>
        </w:tc>
        <w:tc>
          <w:tcPr>
            <w:tcW w:type="dxa" w:w="768"/>
          </w:tcPr>
          <w:p>
            <w:pPr>
              <w:spacing w:line="240"/>
              <w:jc w:val="center"/>
            </w:pPr>
            <w:r>
              <w:rPr>
                <w:rFonts w:ascii="Times New Roman" w:cs="Times New Roman" w:eastAsia="Times New Roman" w:hAnsi="Times New Roman"/>
                <w:b w:val="false"/>
                <w:bCs w:val="false"/>
                <w:sz w:val="20"/>
                <w:szCs w:val="20"/>
              </w:rPr>
              <w:t xml:space="preserve">4.7</w:t>
            </w:r>
          </w:p>
        </w:tc>
        <w:tc>
          <w:tcPr>
            <w:tcW w:type="dxa" w:w="768"/>
          </w:tcPr>
          <w:p>
            <w:pPr>
              <w:spacing w:line="240"/>
              <w:jc w:val="center"/>
            </w:pPr>
            <w:r>
              <w:rPr>
                <w:rFonts w:ascii="Times New Roman" w:cs="Times New Roman" w:eastAsia="Times New Roman" w:hAnsi="Times New Roman"/>
                <w:b w:val="false"/>
                <w:bCs w:val="false"/>
                <w:sz w:val="20"/>
                <w:szCs w:val="20"/>
              </w:rPr>
              <w:t xml:space="preserve">2.9</w:t>
            </w:r>
          </w:p>
        </w:tc>
        <w:tc>
          <w:tcPr>
            <w:tcW w:type="dxa" w:w="768"/>
          </w:tcPr>
          <w:p>
            <w:pPr>
              <w:spacing w:line="240"/>
              <w:jc w:val="center"/>
            </w:pPr>
            <w:r>
              <w:rPr>
                <w:rFonts w:ascii="Times New Roman" w:cs="Times New Roman" w:eastAsia="Times New Roman" w:hAnsi="Times New Roman"/>
                <w:b w:val="false"/>
                <w:bCs w:val="false"/>
                <w:sz w:val="20"/>
                <w:szCs w:val="20"/>
              </w:rPr>
              <w:t xml:space="preserve">93.7</w:t>
            </w:r>
          </w:p>
        </w:tc>
        <w:tc>
          <w:tcPr>
            <w:tcW w:type="dxa" w:w="768"/>
          </w:tcPr>
          <w:p>
            <w:pPr>
              <w:spacing w:line="240"/>
              <w:jc w:val="center"/>
            </w:pPr>
            <w:r>
              <w:rPr>
                <w:rFonts w:ascii="Times New Roman" w:cs="Times New Roman" w:eastAsia="Times New Roman" w:hAnsi="Times New Roman"/>
                <w:b w:val="false"/>
                <w:bCs w:val="false"/>
                <w:sz w:val="20"/>
                <w:szCs w:val="20"/>
              </w:rPr>
              <w:t xml:space="preserve">3.4</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20/AGR</w:t>
            </w:r>
          </w:p>
        </w:tc>
        <w:tc>
          <w:tcPr>
            <w:tcW w:type="dxa" w:w="768"/>
          </w:tcPr>
          <w:p>
            <w:pPr>
              <w:spacing w:line="240"/>
              <w:jc w:val="center"/>
            </w:pPr>
            <w:r>
              <w:rPr>
                <w:rFonts w:ascii="Times New Roman" w:cs="Times New Roman" w:eastAsia="Times New Roman" w:hAnsi="Times New Roman"/>
                <w:b w:val="false"/>
                <w:bCs w:val="false"/>
                <w:sz w:val="20"/>
                <w:szCs w:val="20"/>
              </w:rPr>
              <w:t xml:space="preserve">2.3</w:t>
            </w:r>
          </w:p>
        </w:tc>
        <w:tc>
          <w:tcPr>
            <w:tcW w:type="dxa" w:w="768"/>
          </w:tcPr>
          <w:p>
            <w:pPr>
              <w:spacing w:line="240"/>
              <w:jc w:val="center"/>
            </w:pPr>
            <w:r>
              <w:rPr>
                <w:rFonts w:ascii="Times New Roman" w:cs="Times New Roman" w:eastAsia="Times New Roman" w:hAnsi="Times New Roman"/>
                <w:b w:val="false"/>
                <w:bCs w:val="false"/>
                <w:sz w:val="20"/>
                <w:szCs w:val="20"/>
              </w:rPr>
              <w:t xml:space="preserve">95.6</w:t>
            </w:r>
          </w:p>
        </w:tc>
        <w:tc>
          <w:tcPr>
            <w:tcW w:type="dxa" w:w="768"/>
          </w:tcPr>
          <w:p>
            <w:pPr>
              <w:spacing w:line="240"/>
              <w:jc w:val="center"/>
            </w:pPr>
            <w:r>
              <w:rPr>
                <w:rFonts w:ascii="Times New Roman" w:cs="Times New Roman" w:eastAsia="Times New Roman" w:hAnsi="Times New Roman"/>
                <w:b w:val="false"/>
                <w:bCs w:val="false"/>
                <w:sz w:val="20"/>
                <w:szCs w:val="20"/>
              </w:rPr>
              <w:t xml:space="preserve">2.1</w:t>
            </w:r>
          </w:p>
        </w:tc>
        <w:tc>
          <w:tcPr>
            <w:tcW w:type="dxa" w:w="768"/>
          </w:tcPr>
          <w:p>
            <w:pPr>
              <w:spacing w:line="240"/>
              <w:jc w:val="center"/>
            </w:pPr>
            <w:r>
              <w:rPr>
                <w:rFonts w:ascii="Times New Roman" w:cs="Times New Roman" w:eastAsia="Times New Roman" w:hAnsi="Times New Roman"/>
                <w:b w:val="false"/>
                <w:bCs w:val="false"/>
                <w:sz w:val="20"/>
                <w:szCs w:val="20"/>
              </w:rPr>
              <w:t xml:space="preserve">12.2</w:t>
            </w:r>
          </w:p>
        </w:tc>
        <w:tc>
          <w:tcPr>
            <w:tcW w:type="dxa" w:w="768"/>
          </w:tcPr>
          <w:p>
            <w:pPr>
              <w:spacing w:line="240"/>
              <w:jc w:val="center"/>
            </w:pPr>
            <w:r>
              <w:rPr>
                <w:rFonts w:ascii="Times New Roman" w:cs="Times New Roman" w:eastAsia="Times New Roman" w:hAnsi="Times New Roman"/>
                <w:b w:val="false"/>
                <w:bCs w:val="false"/>
                <w:sz w:val="20"/>
                <w:szCs w:val="20"/>
              </w:rPr>
              <w:t xml:space="preserve">76.9</w:t>
            </w:r>
          </w:p>
        </w:tc>
        <w:tc>
          <w:tcPr>
            <w:tcW w:type="dxa" w:w="768"/>
          </w:tcPr>
          <w:p>
            <w:pPr>
              <w:spacing w:line="240"/>
              <w:jc w:val="center"/>
            </w:pPr>
            <w:r>
              <w:rPr>
                <w:rFonts w:ascii="Times New Roman" w:cs="Times New Roman" w:eastAsia="Times New Roman" w:hAnsi="Times New Roman"/>
                <w:b w:val="false"/>
                <w:bCs w:val="false"/>
                <w:sz w:val="20"/>
                <w:szCs w:val="20"/>
              </w:rPr>
              <w:t xml:space="preserve">10.9</w:t>
            </w:r>
          </w:p>
        </w:tc>
        <w:tc>
          <w:tcPr>
            <w:tcW w:type="dxa" w:w="768"/>
          </w:tcPr>
          <w:p>
            <w:pPr>
              <w:spacing w:line="240"/>
              <w:jc w:val="center"/>
            </w:pPr>
            <w:r>
              <w:rPr>
                <w:rFonts w:ascii="Times New Roman" w:cs="Times New Roman" w:eastAsia="Times New Roman" w:hAnsi="Times New Roman"/>
                <w:b w:val="false"/>
                <w:bCs w:val="false"/>
                <w:sz w:val="20"/>
                <w:szCs w:val="20"/>
              </w:rPr>
              <w:t xml:space="preserve">5.3</w:t>
            </w:r>
          </w:p>
        </w:tc>
        <w:tc>
          <w:tcPr>
            <w:tcW w:type="dxa" w:w="768"/>
          </w:tcPr>
          <w:p>
            <w:pPr>
              <w:spacing w:line="240"/>
              <w:jc w:val="center"/>
            </w:pPr>
            <w:r>
              <w:rPr>
                <w:rFonts w:ascii="Times New Roman" w:cs="Times New Roman" w:eastAsia="Times New Roman" w:hAnsi="Times New Roman"/>
                <w:b w:val="false"/>
                <w:bCs w:val="false"/>
                <w:sz w:val="20"/>
                <w:szCs w:val="20"/>
              </w:rPr>
              <w:t xml:space="preserve">89.8</w:t>
            </w:r>
          </w:p>
        </w:tc>
        <w:tc>
          <w:tcPr>
            <w:tcW w:type="dxa" w:w="768"/>
          </w:tcPr>
          <w:p>
            <w:pPr>
              <w:spacing w:line="240"/>
              <w:jc w:val="center"/>
            </w:pPr>
            <w:r>
              <w:rPr>
                <w:rFonts w:ascii="Times New Roman" w:cs="Times New Roman" w:eastAsia="Times New Roman" w:hAnsi="Times New Roman"/>
                <w:b w:val="false"/>
                <w:bCs w:val="false"/>
                <w:sz w:val="20"/>
                <w:szCs w:val="20"/>
              </w:rPr>
              <w:t xml:space="preserve">4.8</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20/IR</w:t>
            </w:r>
          </w:p>
        </w:tc>
        <w:tc>
          <w:tcPr>
            <w:tcW w:type="dxa" w:w="768"/>
          </w:tcPr>
          <w:p>
            <w:pPr>
              <w:spacing w:line="240"/>
              <w:jc w:val="center"/>
            </w:pPr>
            <w:r>
              <w:rPr>
                <w:rFonts w:ascii="Times New Roman" w:cs="Times New Roman" w:eastAsia="Times New Roman" w:hAnsi="Times New Roman"/>
                <w:b w:val="false"/>
                <w:bCs w:val="false"/>
                <w:sz w:val="20"/>
                <w:szCs w:val="20"/>
              </w:rPr>
              <w:t xml:space="preserve">45.7</w:t>
            </w:r>
          </w:p>
        </w:tc>
        <w:tc>
          <w:tcPr>
            <w:tcW w:type="dxa" w:w="768"/>
          </w:tcPr>
          <w:p>
            <w:pPr>
              <w:spacing w:line="240"/>
              <w:jc w:val="center"/>
            </w:pPr>
            <w:r>
              <w:rPr>
                <w:rFonts w:ascii="Times New Roman" w:cs="Times New Roman" w:eastAsia="Times New Roman" w:hAnsi="Times New Roman"/>
                <w:b w:val="false"/>
                <w:bCs w:val="false"/>
                <w:sz w:val="20"/>
                <w:szCs w:val="20"/>
              </w:rPr>
              <w:t xml:space="preserve">19.2</w:t>
            </w:r>
          </w:p>
        </w:tc>
        <w:tc>
          <w:tcPr>
            <w:tcW w:type="dxa" w:w="768"/>
          </w:tcPr>
          <w:p>
            <w:pPr>
              <w:spacing w:line="240"/>
              <w:jc w:val="center"/>
            </w:pPr>
            <w:r>
              <w:rPr>
                <w:rFonts w:ascii="Times New Roman" w:cs="Times New Roman" w:eastAsia="Times New Roman" w:hAnsi="Times New Roman"/>
                <w:b w:val="false"/>
                <w:bCs w:val="false"/>
                <w:sz w:val="20"/>
                <w:szCs w:val="20"/>
              </w:rPr>
              <w:t xml:space="preserve">35.1</w:t>
            </w:r>
          </w:p>
        </w:tc>
        <w:tc>
          <w:tcPr>
            <w:tcW w:type="dxa" w:w="768"/>
          </w:tcPr>
          <w:p>
            <w:pPr>
              <w:spacing w:line="240"/>
              <w:jc w:val="center"/>
            </w:pPr>
            <w:r>
              <w:rPr>
                <w:rFonts w:ascii="Times New Roman" w:cs="Times New Roman" w:eastAsia="Times New Roman" w:hAnsi="Times New Roman"/>
                <w:b w:val="false"/>
                <w:bCs w:val="false"/>
                <w:sz w:val="20"/>
                <w:szCs w:val="20"/>
              </w:rPr>
              <w:t xml:space="preserve">44.9</w:t>
            </w:r>
          </w:p>
        </w:tc>
        <w:tc>
          <w:tcPr>
            <w:tcW w:type="dxa" w:w="768"/>
          </w:tcPr>
          <w:p>
            <w:pPr>
              <w:spacing w:line="240"/>
              <w:jc w:val="center"/>
            </w:pPr>
            <w:r>
              <w:rPr>
                <w:rFonts w:ascii="Times New Roman" w:cs="Times New Roman" w:eastAsia="Times New Roman" w:hAnsi="Times New Roman"/>
                <w:b w:val="false"/>
                <w:bCs w:val="false"/>
                <w:sz w:val="20"/>
                <w:szCs w:val="20"/>
              </w:rPr>
              <w:t xml:space="preserve">19.4</w:t>
            </w:r>
          </w:p>
        </w:tc>
        <w:tc>
          <w:tcPr>
            <w:tcW w:type="dxa" w:w="768"/>
          </w:tcPr>
          <w:p>
            <w:pPr>
              <w:spacing w:line="240"/>
              <w:jc w:val="center"/>
            </w:pPr>
            <w:r>
              <w:rPr>
                <w:rFonts w:ascii="Times New Roman" w:cs="Times New Roman" w:eastAsia="Times New Roman" w:hAnsi="Times New Roman"/>
                <w:b w:val="false"/>
                <w:bCs w:val="false"/>
                <w:sz w:val="20"/>
                <w:szCs w:val="20"/>
              </w:rPr>
              <w:t xml:space="preserve">35.6</w:t>
            </w:r>
          </w:p>
        </w:tc>
        <w:tc>
          <w:tcPr>
            <w:tcW w:type="dxa" w:w="768"/>
          </w:tcPr>
          <w:p>
            <w:pPr>
              <w:spacing w:line="240"/>
              <w:jc w:val="center"/>
            </w:pPr>
            <w:r>
              <w:rPr>
                <w:rFonts w:ascii="Times New Roman" w:cs="Times New Roman" w:eastAsia="Times New Roman" w:hAnsi="Times New Roman"/>
                <w:b w:val="false"/>
                <w:bCs w:val="false"/>
                <w:sz w:val="20"/>
                <w:szCs w:val="20"/>
              </w:rPr>
              <w:t xml:space="preserve">38.9</w:t>
            </w:r>
          </w:p>
        </w:tc>
        <w:tc>
          <w:tcPr>
            <w:tcW w:type="dxa" w:w="768"/>
          </w:tcPr>
          <w:p>
            <w:pPr>
              <w:spacing w:line="240"/>
              <w:jc w:val="center"/>
            </w:pPr>
            <w:r>
              <w:rPr>
                <w:rFonts w:ascii="Times New Roman" w:cs="Times New Roman" w:eastAsia="Times New Roman" w:hAnsi="Times New Roman"/>
                <w:b w:val="false"/>
                <w:bCs w:val="false"/>
                <w:sz w:val="20"/>
                <w:szCs w:val="20"/>
              </w:rPr>
              <w:t xml:space="preserve">28.5</w:t>
            </w:r>
          </w:p>
        </w:tc>
        <w:tc>
          <w:tcPr>
            <w:tcW w:type="dxa" w:w="768"/>
          </w:tcPr>
          <w:p>
            <w:pPr>
              <w:spacing w:line="240"/>
              <w:jc w:val="center"/>
            </w:pPr>
            <w:r>
              <w:rPr>
                <w:rFonts w:ascii="Times New Roman" w:cs="Times New Roman" w:eastAsia="Times New Roman" w:hAnsi="Times New Roman"/>
                <w:b w:val="false"/>
                <w:bCs w:val="false"/>
                <w:sz w:val="20"/>
                <w:szCs w:val="20"/>
              </w:rPr>
              <w:t xml:space="preserve">32.6</w:t>
            </w:r>
          </w:p>
        </w:tc>
      </w:tr>
      <w:tr>
        <w:tc>
          <w:tcPr>
            <w:tcW w:type="dxa" w:w="2440"/>
          </w:tcPr>
          <w:p>
            <w:pPr>
              <w:spacing w:line="240"/>
              <w:jc w:val="left"/>
            </w:pPr>
            <w:r>
              <w:rPr>
                <w:rFonts w:ascii="Times New Roman" w:cs="Times New Roman" w:eastAsia="Times New Roman" w:hAnsi="Times New Roman"/>
                <w:b w:val="false"/>
                <w:bCs w:val="false"/>
                <w:sz w:val="20"/>
                <w:szCs w:val="20"/>
              </w:rPr>
              <w:t xml:space="preserve">Gen 20/Random</w:t>
            </w:r>
          </w:p>
        </w:tc>
        <w:tc>
          <w:tcPr>
            <w:tcW w:type="dxa" w:w="768"/>
          </w:tcPr>
          <w:p>
            <w:pPr>
              <w:spacing w:line="240"/>
              <w:jc w:val="center"/>
            </w:pPr>
            <w:r>
              <w:rPr>
                <w:rFonts w:ascii="Times New Roman" w:cs="Times New Roman" w:eastAsia="Times New Roman" w:hAnsi="Times New Roman"/>
                <w:b w:val="false"/>
                <w:bCs w:val="false"/>
                <w:sz w:val="20"/>
                <w:szCs w:val="20"/>
              </w:rPr>
              <w:t xml:space="preserve">53.9</w:t>
            </w:r>
          </w:p>
        </w:tc>
        <w:tc>
          <w:tcPr>
            <w:tcW w:type="dxa" w:w="768"/>
          </w:tcPr>
          <w:p>
            <w:pPr>
              <w:spacing w:line="240"/>
              <w:jc w:val="center"/>
            </w:pPr>
            <w:r>
              <w:rPr>
                <w:rFonts w:ascii="Times New Roman" w:cs="Times New Roman" w:eastAsia="Times New Roman" w:hAnsi="Times New Roman"/>
                <w:b w:val="false"/>
                <w:bCs w:val="false"/>
                <w:sz w:val="20"/>
                <w:szCs w:val="20"/>
              </w:rPr>
              <w:t xml:space="preserve">15.3</w:t>
            </w:r>
          </w:p>
        </w:tc>
        <w:tc>
          <w:tcPr>
            <w:tcW w:type="dxa" w:w="768"/>
          </w:tcPr>
          <w:p>
            <w:pPr>
              <w:spacing w:line="240"/>
              <w:jc w:val="center"/>
            </w:pPr>
            <w:r>
              <w:rPr>
                <w:rFonts w:ascii="Times New Roman" w:cs="Times New Roman" w:eastAsia="Times New Roman" w:hAnsi="Times New Roman"/>
                <w:b w:val="false"/>
                <w:bCs w:val="false"/>
                <w:sz w:val="20"/>
                <w:szCs w:val="20"/>
              </w:rPr>
              <w:t xml:space="preserve">30.8</w:t>
            </w:r>
          </w:p>
        </w:tc>
        <w:tc>
          <w:tcPr>
            <w:tcW w:type="dxa" w:w="768"/>
          </w:tcPr>
          <w:p>
            <w:pPr>
              <w:spacing w:line="240"/>
              <w:jc w:val="center"/>
            </w:pPr>
            <w:r>
              <w:rPr>
                <w:rFonts w:ascii="Times New Roman" w:cs="Times New Roman" w:eastAsia="Times New Roman" w:hAnsi="Times New Roman"/>
                <w:b w:val="false"/>
                <w:bCs w:val="false"/>
                <w:sz w:val="20"/>
                <w:szCs w:val="20"/>
              </w:rPr>
              <w:t xml:space="preserve">55.8</w:t>
            </w:r>
          </w:p>
        </w:tc>
        <w:tc>
          <w:tcPr>
            <w:tcW w:type="dxa" w:w="768"/>
          </w:tcPr>
          <w:p>
            <w:pPr>
              <w:spacing w:line="240"/>
              <w:jc w:val="center"/>
            </w:pPr>
            <w:r>
              <w:rPr>
                <w:rFonts w:ascii="Times New Roman" w:cs="Times New Roman" w:eastAsia="Times New Roman" w:hAnsi="Times New Roman"/>
                <w:b w:val="false"/>
                <w:bCs w:val="false"/>
                <w:sz w:val="20"/>
                <w:szCs w:val="20"/>
              </w:rPr>
              <w:t xml:space="preserve">13.1</w:t>
            </w:r>
          </w:p>
        </w:tc>
        <w:tc>
          <w:tcPr>
            <w:tcW w:type="dxa" w:w="768"/>
          </w:tcPr>
          <w:p>
            <w:pPr>
              <w:spacing w:line="240"/>
              <w:jc w:val="center"/>
            </w:pPr>
            <w:r>
              <w:rPr>
                <w:rFonts w:ascii="Times New Roman" w:cs="Times New Roman" w:eastAsia="Times New Roman" w:hAnsi="Times New Roman"/>
                <w:b w:val="false"/>
                <w:bCs w:val="false"/>
                <w:sz w:val="20"/>
                <w:szCs w:val="20"/>
              </w:rPr>
              <w:t xml:space="preserve">31.2</w:t>
            </w:r>
          </w:p>
        </w:tc>
        <w:tc>
          <w:tcPr>
            <w:tcW w:type="dxa" w:w="768"/>
          </w:tcPr>
          <w:p>
            <w:pPr>
              <w:spacing w:line="240"/>
              <w:jc w:val="center"/>
            </w:pPr>
            <w:r>
              <w:rPr>
                <w:rFonts w:ascii="Times New Roman" w:cs="Times New Roman" w:eastAsia="Times New Roman" w:hAnsi="Times New Roman"/>
                <w:b w:val="false"/>
                <w:bCs w:val="false"/>
                <w:sz w:val="20"/>
                <w:szCs w:val="20"/>
              </w:rPr>
              <w:t xml:space="preserve">51.4</w:t>
            </w:r>
          </w:p>
        </w:tc>
        <w:tc>
          <w:tcPr>
            <w:tcW w:type="dxa" w:w="768"/>
          </w:tcPr>
          <w:p>
            <w:pPr>
              <w:spacing w:line="240"/>
              <w:jc w:val="center"/>
            </w:pPr>
            <w:r>
              <w:rPr>
                <w:rFonts w:ascii="Times New Roman" w:cs="Times New Roman" w:eastAsia="Times New Roman" w:hAnsi="Times New Roman"/>
                <w:b w:val="false"/>
                <w:bCs w:val="false"/>
                <w:sz w:val="20"/>
                <w:szCs w:val="20"/>
              </w:rPr>
              <w:t xml:space="preserve">18.3</w:t>
            </w:r>
          </w:p>
        </w:tc>
        <w:tc>
          <w:tcPr>
            <w:tcW w:type="dxa" w:w="768"/>
          </w:tcPr>
          <w:p>
            <w:pPr>
              <w:spacing w:line="240"/>
              <w:jc w:val="center"/>
            </w:pPr>
            <w:r>
              <w:rPr>
                <w:rFonts w:ascii="Times New Roman" w:cs="Times New Roman" w:eastAsia="Times New Roman" w:hAnsi="Times New Roman"/>
                <w:b w:val="false"/>
                <w:bCs w:val="false"/>
                <w:sz w:val="20"/>
                <w:szCs w:val="20"/>
              </w:rPr>
              <w:t xml:space="preserve">30.4</w:t>
            </w:r>
          </w:p>
        </w:tc>
      </w:tr>
    </w:tbl>
    <w:p>
      <w:pPr>
        <w:spacing w:after="120"/>
      </w:pPr>
    </w:p>
    <w:p>
      <w:pPr>
        <w:spacing w:after="240" w:line="360"/>
      </w:pPr>
      <w:r>
        <w:rPr>
          <w:rFonts w:ascii="Times New Roman" w:cs="Times New Roman" w:eastAsia="Times New Roman" w:hAnsi="Times New Roman"/>
          <w:i/>
          <w:iCs/>
          <w:sz w:val="24"/>
          <w:szCs w:val="24"/>
        </w:rPr>
        <w:t xml:space="preserve">Means of 50 replicates. The Gen 0/Founders row is the founding population itself — the distinct-allele band composition of each replicate’s 200 founders, reconstructed from their genotypes and averaged across the 50 replicate draws (replicate SD 0.8 to 1.6 percentage points). The four Gen 20 rows are generation 20 under each selection strategy: OI, outlier index; AGR, average genetic relatedness; IR, internal relatedness.</w:t>
      </w:r>
    </w:p>
    <w:p>
      <w:pPr>
        <w:pStyle w:val="Heading2"/>
        <w:spacing w:after="120" w:before="240" w:line="480"/>
      </w:pPr>
      <w:r>
        <w:rPr>
          <w:rFonts w:ascii="Times New Roman" w:cs="Times New Roman" w:eastAsia="Times New Roman" w:hAnsi="Times New Roman"/>
          <w:b/>
          <w:bCs/>
          <w:sz w:val="24"/>
          <w:szCs w:val="24"/>
        </w:rPr>
        <w:t xml:space="preserve">Homozygosity</w:t>
      </w:r>
    </w:p>
    <w:p>
      <w:pPr>
        <w:spacing w:after="120" w:line="480"/>
        <w:jc w:val="left"/>
      </w:pPr>
      <w:r>
        <w:rPr>
          <w:rFonts w:ascii="Times New Roman" w:cs="Times New Roman" w:eastAsia="Times New Roman" w:hAnsi="Times New Roman"/>
          <w:sz w:val="24"/>
          <w:szCs w:val="24"/>
        </w:rPr>
        <w:t xml:space="preserve">Both outlier index and average genetic relatedness substantially improved expected heterozygosity and its corollary, effective alleles (Figure 2; Table 1; Tables S2–S3). In the Standard Poodle, expected heterozygosity results from both strategies were essentially equal, and average genetic relatedness was higher on effective alleles by 0.06, 7.87 against 7.81 (Bonferroni-corrected p = 0.038; Table S3). In the Doberman and the Flat-Coated Retriever, outlier index selection produced higher results on both measures (Tables S2–S3). The expected heterozygosity margins were 0.017 in the Doberman and 0.008 in the Flat-Coated Retriever (Cohen’s </w:t>
      </w:r>
      <w:r>
        <w:rPr>
          <w:rFonts w:ascii="Times New Roman" w:cs="Times New Roman" w:eastAsia="Times New Roman" w:hAnsi="Times New Roman"/>
          <w:i/>
          <w:iCs/>
          <w:sz w:val="24"/>
          <w:szCs w:val="24"/>
        </w:rPr>
        <w:t xml:space="preserve">d_z</w:t>
      </w:r>
      <w:r>
        <w:rPr>
          <w:rFonts w:ascii="Times New Roman" w:cs="Times New Roman" w:eastAsia="Times New Roman" w:hAnsi="Times New Roman"/>
          <w:sz w:val="24"/>
          <w:szCs w:val="24"/>
        </w:rPr>
        <w:t xml:space="preserve"> ≈ 2.1 and 1.4), with outlier index ahead in 50 of 50 replicates in the Doberman and 46 of 50 in the Flat-Coated Retriever; in the Standard Poodle the margin was 0.000, with average genetic relatedness fractionally ahead.</w:t>
      </w:r>
    </w:p>
    <w:p>
      <w:pPr>
        <w:spacing w:after="120" w:line="480"/>
        <w:jc w:val="left"/>
      </w:pPr>
      <w:r>
        <w:rPr>
          <w:rFonts w:ascii="Times New Roman" w:cs="Times New Roman" w:eastAsia="Times New Roman" w:hAnsi="Times New Roman"/>
          <w:sz w:val="24"/>
          <w:szCs w:val="24"/>
        </w:rPr>
        <w:t xml:space="preserve">Observed heterozygosity showed a partly different ordering (Figure 3; Table S5). Outlier index produced the highest observed heterozygosity in every breed, significantly above every other strategy, and all three selective strategies raised it well above random selection. Selection for internal relatedness held observed heterozygosity as high as or higher than selection for average genetic relatedness, even though average genetic relatedness selection far exceeded internal relatedness selection on expected heterozygosity and allele count. Outlier index was the only strategy to lead on allele preservation, expected heterozygosity, and observed heterozygosity at once.</w:t>
      </w:r>
    </w:p>
    <w:p>
      <w:pPr>
        <w:spacing w:after="120" w:line="480"/>
        <w:jc w:val="left"/>
      </w:pPr>
      <w:r>
        <w:rPr>
          <w:rFonts w:ascii="Times New Roman" w:cs="Times New Roman" w:eastAsia="Times New Roman" w:hAnsi="Times New Roman"/>
          <w:sz w:val="24"/>
          <w:szCs w:val="24"/>
        </w:rPr>
        <w:t xml:space="preserve">At generation 20, the gap between expected and observed heterozygosity, standardized as the population inbreeding coefficient (Fis), separated the three: outlier index held them equal, average genetic relatedness ran an observed-heterozygote deficit (Fis roughly 0.05 to 0.08), and internal relatedness an excess (Fis roughly −0.10 to −0.12). Both outlier index and random selection held Fis at Hardy–Weinberg expectation (Figure 4). Mean internal relatedness matched Fis almost exactly (r ≈ 1.00; Figure 4, Figure S1); selecting for low internal relatedness is, in this population, selecting for a low inbreeding coefficient.</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2. Expected heterozygosity over 20 generations by selection strategy. Lines are means of 50 replicates; shaded bands are ±1 SD; shared y-axis across breeds for visual comparability. Outlier index and average genetic relatedness produce substantial expected heterozygosity gains in all three breeds; internal relatedness rises modestly; random selection declines slightly.</w:t>
      </w:r>
    </w:p>
    <w:p>
      <w:pPr>
        <w:spacing w:after="240" w:line="360"/>
      </w:pPr>
      <w:r>
        <w:rPr>
          <w:rFonts w:ascii="Times New Roman" w:cs="Times New Roman" w:eastAsia="Times New Roman" w:hAnsi="Times New Roman"/>
          <w:sz w:val="24"/>
          <w:szCs w:val="24"/>
        </w:rPr>
        <w:t xml:space="preserve">Alt text: Three line charts of expected heterozygosity over 20 generations. Selection by outlier index and average genetic relatedness raises expected heterozygosity steadily in all breeds, most sharply in the Doberman, from about 0.50 at the start to 0.79 and 0.78 by generation 20. Selection by internal relatedness produces smaller gains and random selection remains near its starting value.</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3. Observed heterozygosity over 20 generations by selection strategy. Lines are means of 50 replicates; shaded bands are ±1 SD; shared y-axis across breeds. Outlier index produces the highest observed heterozygosity in all three breeds; internal relatedness holds observed heterozygosity high despite lower expected heterozygosity; average genetic relatedness runs an observed-heterozygote deficit; random selection remains near founder levels.</w:t>
      </w:r>
    </w:p>
    <w:p>
      <w:pPr>
        <w:spacing w:after="240" w:line="360"/>
      </w:pPr>
      <w:r>
        <w:rPr>
          <w:rFonts w:ascii="Times New Roman" w:cs="Times New Roman" w:eastAsia="Times New Roman" w:hAnsi="Times New Roman"/>
          <w:sz w:val="24"/>
          <w:szCs w:val="24"/>
        </w:rPr>
        <w:t xml:space="preserve">Alt text: Three line charts of observed heterozygosity over 20 generations. With selection by outlier index, observed heterozygosity closely tracks expected heterozygosity in every breed. With selection by average genetic relatedness, it runs below expected values, and with selection by internal relatedness, it runs above them. Random selection tracks its lower expected heterozygosity values closely.</w:t>
      </w: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Figure 4. Inbreeding coefficient (Fis) over 20 generations by selection strategy. Lines are means of 50 replicates; shaded bands are ±1 SD; the 0 reference line marks Hardy–Weinberg expectation. Average genetic relatedness drives Fis positive (a genome-wide heterozygote deficit) in all three breeds; the internal-relatedness strategy drives it well below zero (heterozygote excess); outlier index and random selection hold near zero.</w:t>
      </w:r>
    </w:p>
    <w:p>
      <w:pPr>
        <w:spacing w:after="240" w:line="360"/>
      </w:pPr>
      <w:r>
        <w:rPr>
          <w:rFonts w:ascii="Times New Roman" w:cs="Times New Roman" w:eastAsia="Times New Roman" w:hAnsi="Times New Roman"/>
          <w:sz w:val="24"/>
          <w:szCs w:val="24"/>
        </w:rPr>
        <w:t xml:space="preserve">Alt text: Three line charts of the inbreeding coefficient Fis over 20 generations. Outlier index selection holds Fis at or near zero in all breeds without any selection against inbreeding. Average genetic relatedness runs a positive Fis of roughly 0.05 to 0.08 steadily through 20 generations, internal relatedness a negative Fis of roughly −0.10 to −0.12, and random selection stays near zero.</w:t>
      </w:r>
    </w:p>
    <w:p>
      <w:pPr>
        <w:pStyle w:val="Heading1"/>
        <w:spacing w:after="120" w:before="240" w:line="480"/>
      </w:pPr>
      <w:r>
        <w:rPr>
          <w:rFonts w:ascii="Times New Roman" w:cs="Times New Roman" w:eastAsia="Times New Roman" w:hAnsi="Times New Roman"/>
          <w:b/>
          <w:bCs/>
          <w:sz w:val="26"/>
          <w:szCs w:val="26"/>
        </w:rPr>
        <w:t xml:space="preserve">Discussion</w:t>
      </w:r>
    </w:p>
    <w:p>
      <w:pPr>
        <w:pStyle w:val="Heading2"/>
        <w:spacing w:after="120" w:before="240" w:line="480"/>
      </w:pPr>
      <w:r>
        <w:rPr>
          <w:rFonts w:ascii="Times New Roman" w:cs="Times New Roman" w:eastAsia="Times New Roman" w:hAnsi="Times New Roman"/>
          <w:b/>
          <w:bCs/>
          <w:sz w:val="24"/>
          <w:szCs w:val="24"/>
        </w:rPr>
        <w:t xml:space="preserve">Background</w:t>
      </w:r>
    </w:p>
    <w:p>
      <w:pPr>
        <w:spacing w:after="120" w:line="480"/>
        <w:jc w:val="left"/>
      </w:pPr>
      <w:r>
        <w:rPr>
          <w:rFonts w:ascii="Times New Roman" w:cs="Times New Roman" w:eastAsia="Times New Roman" w:hAnsi="Times New Roman"/>
          <w:sz w:val="24"/>
          <w:szCs w:val="24"/>
        </w:rPr>
        <w:t xml:space="preserve">Over the last decade, there has been growing awareness in dog breeding communities, clubs and registries that loss of genetic diversity in purebred dogs must be addressed (Proschowsky &amp; Arendt, 2025). Much scientific literature has been dedicated to assessing inbreeding and its effects on breeds. Tools for breeders have expanded from large pedigree databases to SNP chips assessing inbreeding in dogs and breeds. Calls to re-open breed registries have increased and some kennel clubs have developed crossbreeding programs for depleted breeds in order to increase genetic variation and lower disease frequency (Stronen et al., 2017). Nearly all available tools, projects, and education target inbreeding, its consequences and its avoidance.</w:t>
      </w:r>
    </w:p>
    <w:p>
      <w:pPr>
        <w:spacing w:after="120" w:line="480"/>
        <w:jc w:val="left"/>
      </w:pPr>
      <w:r>
        <w:rPr>
          <w:rFonts w:ascii="Times New Roman" w:cs="Times New Roman" w:eastAsia="Times New Roman" w:hAnsi="Times New Roman"/>
          <w:sz w:val="24"/>
          <w:szCs w:val="24"/>
        </w:rPr>
        <w:t xml:space="preserve">For at least forty years, conservation geneticists have known of another equally important target of preservation: allelic variation (Allendorf, 1986). In populations with reasonably balanced allele frequencies, inbreeding avoidance is effective at conserving allelic variation (Fernández et al., 2004). When frequencies are skewed post-bottleneck, however, the alleles most at risk of loss contribute the least to heterozygosity (Allendorf et al., 2024). Modern methods used to minimize coancestry were developed to maximize heterozygosity, while allelic diversity is maintained only indirectly (Fernández et al., 2004; Gómez-Romano et al., 2013). Ironically, maximizing heterozygosity will often pair a dog with common ancestry to one with unusual ancestry, resulting in puppies likely to inherit half as much unusual ancestry as their unusual parent.</w:t>
      </w:r>
    </w:p>
    <w:p>
      <w:pPr>
        <w:spacing w:after="120" w:line="480"/>
        <w:jc w:val="left"/>
      </w:pPr>
      <w:r>
        <w:rPr>
          <w:rFonts w:ascii="Times New Roman" w:cs="Times New Roman" w:eastAsia="Times New Roman" w:hAnsi="Times New Roman"/>
          <w:sz w:val="24"/>
          <w:szCs w:val="24"/>
        </w:rPr>
        <w:t xml:space="preserve">Most low-frequency alleles in bottlenecked breeds are low due to the historical, environmental or biological events that caused some families to be common and others far less so. Those less-influential families’ genetic contributions are therefore important to preserve, as they represent alleles found in the original breed. Closed breeds are the concern; they are both beloved for their predictable traits and they are consistently losing their underrepresented alleles. Preserving desired traits and preserving genetic diversity are therefore often in competition.</w:t>
      </w:r>
    </w:p>
    <w:p>
      <w:pPr>
        <w:spacing w:after="120" w:line="480"/>
        <w:jc w:val="left"/>
      </w:pPr>
      <w:r>
        <w:rPr>
          <w:rFonts w:ascii="Times New Roman" w:cs="Times New Roman" w:eastAsia="Times New Roman" w:hAnsi="Times New Roman"/>
          <w:sz w:val="24"/>
          <w:szCs w:val="24"/>
        </w:rPr>
        <w:t xml:space="preserve">In a parallel dynamic, reestablishing gene flow through cross breeding will add allelic richness, but will also lose breed traits. Crossing back to the original breed can bring back breed traits, but will also lose both the new and existing variation (Windig &amp; Doekes, 2018).</w:t>
      </w:r>
    </w:p>
    <w:p>
      <w:pPr>
        <w:spacing w:after="120" w:line="480"/>
        <w:jc w:val="left"/>
      </w:pPr>
      <w:r>
        <w:rPr>
          <w:rFonts w:ascii="Times New Roman" w:cs="Times New Roman" w:eastAsia="Times New Roman" w:hAnsi="Times New Roman"/>
          <w:sz w:val="24"/>
          <w:szCs w:val="24"/>
        </w:rPr>
        <w:t xml:space="preserve">Being able to select for observable traits while selecting for unusual alleles at neutral loci is the appropriate antidote for these dilemmas.</w:t>
      </w:r>
    </w:p>
    <w:p>
      <w:pPr>
        <w:spacing w:after="120" w:line="480"/>
        <w:jc w:val="left"/>
      </w:pPr>
      <w:r>
        <w:rPr>
          <w:rFonts w:ascii="Times New Roman" w:cs="Times New Roman" w:eastAsia="Times New Roman" w:hAnsi="Times New Roman"/>
          <w:sz w:val="24"/>
          <w:szCs w:val="24"/>
        </w:rPr>
        <w:t xml:space="preserve">Inbreeding may have helped get breeds into these depleted states, but outbreeding cannot get them out. Maintaining allelic variation at intermediate frequencies, whether original or introgressive, can (Fernández et al., 2004). The simulation presented here offers a practical solution to the gap in conservation genetics methods identified by Allendorf et al. (2024) and more recently by Hoban et al. (2026), namely how to preserve allelic variation through identification and selection.</w:t>
      </w:r>
    </w:p>
    <w:p>
      <w:pPr>
        <w:pStyle w:val="Heading2"/>
        <w:spacing w:after="120" w:before="240" w:line="480"/>
      </w:pPr>
      <w:r>
        <w:rPr>
          <w:rFonts w:ascii="Times New Roman" w:cs="Times New Roman" w:eastAsia="Times New Roman" w:hAnsi="Times New Roman"/>
          <w:b/>
          <w:bCs/>
          <w:sz w:val="24"/>
          <w:szCs w:val="24"/>
        </w:rPr>
        <w:t xml:space="preserve">What we found</w:t>
      </w:r>
    </w:p>
    <w:p>
      <w:pPr>
        <w:spacing w:after="120" w:line="480"/>
        <w:jc w:val="left"/>
      </w:pPr>
      <w:r>
        <w:rPr>
          <w:rFonts w:ascii="Times New Roman" w:cs="Times New Roman" w:eastAsia="Times New Roman" w:hAnsi="Times New Roman"/>
          <w:sz w:val="24"/>
          <w:szCs w:val="24"/>
        </w:rPr>
        <w:t xml:space="preserve">In every breed we tested, selecting puppies based on their potential contribution to balancing allele frequencies rather than on their inbreeding estimate preserved more existing allelic variation and effectively stopped its loss for the duration of the simulation within a few generations.</w:t>
      </w:r>
    </w:p>
    <w:p>
      <w:pPr>
        <w:spacing w:after="120" w:line="480"/>
        <w:jc w:val="left"/>
      </w:pPr>
      <w:r>
        <w:rPr>
          <w:rFonts w:ascii="Times New Roman" w:cs="Times New Roman" w:eastAsia="Times New Roman" w:hAnsi="Times New Roman"/>
          <w:sz w:val="24"/>
          <w:szCs w:val="24"/>
        </w:rPr>
        <w:t xml:space="preserve">Average genetic relatedness selection is the method closest to the conservation gold standard of selecting for mean kinship. It raised expected heterozygosity essentially as much as outlier index selection in the Standard Poodle and nearly as much in the Doberman and Flat-Coated Retriever. However, it increased inbreeding and internal relatedness in all three breeds, with a continued slight climb in the Flat-Coated Retriever.</w:t>
      </w:r>
    </w:p>
    <w:p>
      <w:pPr>
        <w:spacing w:after="120" w:line="480"/>
        <w:jc w:val="left"/>
      </w:pPr>
      <w:r>
        <w:rPr>
          <w:rFonts w:ascii="Times New Roman" w:cs="Times New Roman" w:eastAsia="Times New Roman" w:hAnsi="Times New Roman"/>
          <w:sz w:val="24"/>
          <w:szCs w:val="24"/>
        </w:rPr>
        <w:t xml:space="preserve">Typically in a bottlenecked breed, there is an identifiable, single, large, common family. The Wang genetic relatedness estimator used on this panel data does a good job of identifying dogs that are closely related and dogs that are quite different from each other (Supplementary Figure S2b). When all pairwise relatedness estimator values for a single dog are averaged, that number is effective at tracking how common or unusual a dog is. It is, however, referential specifically to the large common family that dominates in each of the breeds in the simulation. Homozygous low-frequency loci are, in essence, read by the Wang estimator as most unrelated to the norm, so it scores them as very distant. By selecting for low average genetic relatedness, generation 1’s parent pool had more of these dogs, so inbreeding metrics rose immediately in all breeds and then stayed at roughly that heightened level through the length of the simulation.</w:t>
      </w:r>
    </w:p>
    <w:p>
      <w:pPr>
        <w:spacing w:after="120" w:line="480"/>
        <w:jc w:val="left"/>
      </w:pPr>
      <w:r>
        <w:rPr>
          <w:rFonts w:ascii="Times New Roman" w:cs="Times New Roman" w:eastAsia="Times New Roman" w:hAnsi="Times New Roman"/>
          <w:sz w:val="24"/>
          <w:szCs w:val="24"/>
        </w:rPr>
        <w:t xml:space="preserve">By contrast, outlier index does not use relatedness to detect differentness, and it does not consider homozygosity at all. The two frequency based metrics do usually select similar dogs, and both slow and arrest loss of alleles within 10 generations. Selection by outlier index, importantly, controlled inbreeding, keeping internal relatedness near zero without ever selecting for it, and it raised expected and observed heterozygosity, rebalanced allele frequencies, and preserved allele count. It is akin to the idea of variance from the ideal (Fernández et al., 2004): at a locus with ten alleles the “ideal” distribution is ten percent each, though in real populations they vary, and in bottlenecked populations they can vary a great deal. Given allele data, it can be tempting to breeders to try to single out particular alleles to preserve, but selecting on any one allele or locus is risky, and can make a panel less useful, since loci are selected for panels precisely because they are not under selection. Some alleles are rare due to being deleterious and selection against them, and the panel cannot distinguish which they are. Outlier index was built to avoid specific selection on any one allele or locus by grouping alleles in bands of frequencies.</w:t>
      </w:r>
    </w:p>
    <w:p>
      <w:pPr>
        <w:spacing w:after="120" w:line="480"/>
        <w:jc w:val="left"/>
      </w:pPr>
      <w:r>
        <w:rPr>
          <w:rFonts w:ascii="Times New Roman" w:cs="Times New Roman" w:eastAsia="Times New Roman" w:hAnsi="Times New Roman"/>
          <w:sz w:val="24"/>
          <w:szCs w:val="24"/>
        </w:rPr>
        <w:t xml:space="preserve">One consequence of the formula could surface only when frequencies become very balanced, and a dog inherits no high-frequency alleles. This is highly unlikely in a closed gene pool, since having alleles in common is part of what identifies a breed as itself. However, should it happen, then that dog’s Lf/Hf term is set to 0. A dog with one low-frequency allele and one high-frequency allele will have an outlier index of 64/66 + 1/1, or 1.97, while a dog with two low-frequency alleles and no high-frequency alleles will have an outlier index of 64/66 + 0, or 0.97. At that point, the index rewards the dog still carrying a high-frequency allele. Retaining a high-frequency allele in a population that balanced is not detrimental.</w:t>
      </w:r>
    </w:p>
    <w:p>
      <w:pPr>
        <w:spacing w:after="120" w:line="480"/>
        <w:jc w:val="left"/>
      </w:pPr>
      <w:r>
        <w:rPr>
          <w:rFonts w:ascii="Times New Roman" w:cs="Times New Roman" w:eastAsia="Times New Roman" w:hAnsi="Times New Roman"/>
          <w:sz w:val="24"/>
          <w:szCs w:val="24"/>
        </w:rPr>
        <w:t xml:space="preserve">Both outlier index and average genetic relatedness were also tested against an independent data type in real dogs: pedigree ancestry from the Mid-Century Bottleneck (Pedersen et al., 2015), the proportion of a dog’s ancestry tracing to ten influential dogs born between 1948 and 1952, in 632 Standard Poodles with known 15-generation pedigrees. Computed from the cohort’s allele frequencies with no pedigree input, outlier index fell as bottleneck ancestry rose (Pearson r = −0.63) and average genetic relatedness rose with it (r = +0.63; Supplementary Figure S2) — both metrics recover the same pedigree structure from allele frequencies alone.</w:t>
      </w:r>
    </w:p>
    <w:p>
      <w:pPr>
        <w:spacing w:after="120" w:line="480"/>
        <w:jc w:val="left"/>
      </w:pPr>
      <w:r>
        <w:rPr>
          <w:rFonts w:ascii="Times New Roman" w:cs="Times New Roman" w:eastAsia="Times New Roman" w:hAnsi="Times New Roman"/>
          <w:sz w:val="24"/>
          <w:szCs w:val="24"/>
        </w:rPr>
        <w:t xml:space="preserve">In a breed that still holds ample allelic variation at fairly even frequencies, like the Standard Poodle, the dogs richest in less common alleles are usually also the least related to the breed’s core, so outlier index and average genetic relatedness tend to identify the same dogs (per-dog outlier index–average genetic relatedness correlation −0.81). Where most dogs share the same common alleles, the agreement loosens (−0.66 in the Doberman, −0.67 in the Flat-Coated Retriever): average genetic relatedness responds to a dog’s overall relatedness, while outlier index responds only to the frequencies of the alleles the dog actually carries.</w:t>
      </w:r>
    </w:p>
    <w:p>
      <w:pPr>
        <w:spacing w:after="120" w:line="480"/>
        <w:jc w:val="left"/>
      </w:pPr>
      <w:r>
        <w:rPr>
          <w:rFonts w:ascii="Times New Roman" w:cs="Times New Roman" w:eastAsia="Times New Roman" w:hAnsi="Times New Roman"/>
          <w:sz w:val="24"/>
          <w:szCs w:val="24"/>
        </w:rPr>
        <w:t xml:space="preserve">Selection for low internal relatedness preserved more allelic richness than random selection, but far less than either strategy above. It drove both the inbreeding coefficient and mean internal relatedness furthest below zero, and it held observed heterozygosity above expected heterozygosity by roughly 0.07 to 0.08 at generation 20. That reduction in inbreeding, however, came at the cost of allelic variation. Its heterozygote excess was made by more non-identical but nevertheless higher-frequency alleles at more loci, while lower-frequency alleles contributed far less to heterozygosity (Allendorf, 1986) and remained at risk of loss. The internal relatedness algorithm reads loci with identical low-frequency alleles, rightly, as a clear indication of close inbreeding. Selecting against dogs with those loci means uncommon alleles only ever sneak into the next generation as part of a heterozygous pair, and are passed to offspring less often (Table 3).</w:t>
      </w:r>
    </w:p>
    <w:p>
      <w:pPr>
        <w:spacing w:after="120" w:line="480"/>
        <w:jc w:val="left"/>
      </w:pPr>
      <w:r>
        <w:rPr>
          <w:rFonts w:ascii="Times New Roman" w:cs="Times New Roman" w:eastAsia="Times New Roman" w:hAnsi="Times New Roman"/>
          <w:sz w:val="24"/>
          <w:szCs w:val="24"/>
        </w:rPr>
        <w:t xml:space="preserve">Internal relatedness does use allele frequency, but it does so in order to estimate inbreeding more accurately, not to describe how unusual a dog is. The best illustration of this came in 2015, with two highly inbred, AKC registered Standard Poodles tested on this same VGL panel who had nearly matching internal relatedness and very different pedigrees. A dog we will call Onyx descended almost entirely from the aforementioned Mid-Century Bottleneck (Pedersen et al., 2015) and carried nearly all high-frequency alleles. In contrast, a bitch we will call Harriette, the product of an accidental full-sibling mating, descended from two very unusual and different lines. Based on internal relatedness alone, neither would seem beneficial for the goal of conservation. Both outlier index and average genetic relatedness, however, were able to read Onyx as highly representative of the bottleneck line, and Harriette as being extremely different from the bottleneck. Harriette had many low-frequency alleles to contribute, and as long as she was healthy, her high homozygosity would ensure she passed many of them to all her offspring. Onyx, while from a line known for conformation, had very little to offer the gene pool that wasn’t already well represented. Both, if sound, healthy and of good temperament, could reasonably be bred, but their value to conservation would be vastly different.</w:t>
      </w:r>
    </w:p>
    <w:p>
      <w:pPr>
        <w:pStyle w:val="Heading2"/>
        <w:spacing w:after="120" w:before="240" w:line="480"/>
      </w:pPr>
      <w:r>
        <w:rPr>
          <w:rFonts w:ascii="Times New Roman" w:cs="Times New Roman" w:eastAsia="Times New Roman" w:hAnsi="Times New Roman"/>
          <w:b/>
          <w:bCs/>
          <w:sz w:val="24"/>
          <w:szCs w:val="24"/>
        </w:rPr>
        <w:t xml:space="preserve">Table 4. Two highly inbred Standard Poodles: nearly matching internal relatedness, opposite outlier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337"/>
        <w:gridCol w:w="1337"/>
        <w:gridCol w:w="1337"/>
        <w:gridCol w:w="1337"/>
        <w:gridCol w:w="1337"/>
        <w:gridCol w:w="1337"/>
        <w:gridCol w:w="1338"/>
      </w:tblGrid>
      <w:tr>
        <w:tc>
          <w:tcPr>
            <w:tcW w:type="dxa" w:w="1337"/>
          </w:tcPr>
          <w:p>
            <w:pPr>
              <w:spacing w:line="240"/>
            </w:pPr>
            <w:r>
              <w:rPr>
                <w:rFonts w:ascii="Times New Roman" w:cs="Times New Roman" w:eastAsia="Times New Roman" w:hAnsi="Times New Roman"/>
                <w:b/>
                <w:bCs/>
                <w:sz w:val="20"/>
                <w:szCs w:val="20"/>
              </w:rPr>
              <w:t xml:space="preserve">Dog</w:t>
            </w:r>
          </w:p>
        </w:tc>
        <w:tc>
          <w:tcPr>
            <w:tcW w:type="dxa" w:w="1337"/>
          </w:tcPr>
          <w:p>
            <w:pPr>
              <w:spacing w:line="240"/>
            </w:pPr>
            <w:r>
              <w:rPr>
                <w:rFonts w:ascii="Times New Roman" w:cs="Times New Roman" w:eastAsia="Times New Roman" w:hAnsi="Times New Roman"/>
                <w:b/>
                <w:bCs/>
                <w:sz w:val="20"/>
                <w:szCs w:val="20"/>
              </w:rPr>
              <w:t xml:space="preserve">Outlier index</w:t>
            </w:r>
          </w:p>
        </w:tc>
        <w:tc>
          <w:tcPr>
            <w:tcW w:type="dxa" w:w="1337"/>
          </w:tcPr>
          <w:p>
            <w:pPr>
              <w:spacing w:line="240"/>
            </w:pPr>
            <w:r>
              <w:rPr>
                <w:rFonts w:ascii="Times New Roman" w:cs="Times New Roman" w:eastAsia="Times New Roman" w:hAnsi="Times New Roman"/>
                <w:b/>
                <w:bCs/>
                <w:sz w:val="20"/>
                <w:szCs w:val="20"/>
              </w:rPr>
              <w:t xml:space="preserve">Average genetic relatedness</w:t>
            </w:r>
          </w:p>
        </w:tc>
        <w:tc>
          <w:tcPr>
            <w:tcW w:type="dxa" w:w="1337"/>
          </w:tcPr>
          <w:p>
            <w:pPr>
              <w:spacing w:line="240"/>
            </w:pPr>
            <w:r>
              <w:rPr>
                <w:rFonts w:ascii="Times New Roman" w:cs="Times New Roman" w:eastAsia="Times New Roman" w:hAnsi="Times New Roman"/>
                <w:b/>
                <w:bCs/>
                <w:sz w:val="20"/>
                <w:szCs w:val="20"/>
              </w:rPr>
              <w:t xml:space="preserve">Internal relatedness</w:t>
            </w:r>
          </w:p>
        </w:tc>
        <w:tc>
          <w:tcPr>
            <w:tcW w:type="dxa" w:w="1337"/>
          </w:tcPr>
          <w:p>
            <w:pPr>
              <w:spacing w:line="240"/>
            </w:pPr>
            <w:r>
              <w:rPr>
                <w:rFonts w:ascii="Times New Roman" w:cs="Times New Roman" w:eastAsia="Times New Roman" w:hAnsi="Times New Roman"/>
                <w:b/>
                <w:bCs/>
                <w:sz w:val="20"/>
                <w:szCs w:val="20"/>
              </w:rPr>
              <w:t xml:space="preserve">High-freq alleles</w:t>
            </w:r>
          </w:p>
        </w:tc>
        <w:tc>
          <w:tcPr>
            <w:tcW w:type="dxa" w:w="1337"/>
          </w:tcPr>
          <w:p>
            <w:pPr>
              <w:spacing w:line="240"/>
            </w:pPr>
            <w:r>
              <w:rPr>
                <w:rFonts w:ascii="Times New Roman" w:cs="Times New Roman" w:eastAsia="Times New Roman" w:hAnsi="Times New Roman"/>
                <w:b/>
                <w:bCs/>
                <w:sz w:val="20"/>
                <w:szCs w:val="20"/>
              </w:rPr>
              <w:t xml:space="preserve">Mid-freq</w:t>
            </w:r>
          </w:p>
        </w:tc>
        <w:tc>
          <w:tcPr>
            <w:tcW w:type="dxa" w:w="1338"/>
          </w:tcPr>
          <w:p>
            <w:pPr>
              <w:spacing w:line="240"/>
            </w:pPr>
            <w:r>
              <w:rPr>
                <w:rFonts w:ascii="Times New Roman" w:cs="Times New Roman" w:eastAsia="Times New Roman" w:hAnsi="Times New Roman"/>
                <w:b/>
                <w:bCs/>
                <w:sz w:val="20"/>
                <w:szCs w:val="20"/>
              </w:rPr>
              <w:t xml:space="preserve">Low-freq</w:t>
            </w:r>
          </w:p>
        </w:tc>
      </w:tr>
      <w:tr>
        <w:tc>
          <w:tcPr>
            <w:tcW w:type="dxa" w:w="1337"/>
          </w:tcPr>
          <w:p>
            <w:pPr>
              <w:spacing w:line="240"/>
            </w:pPr>
            <w:r>
              <w:rPr>
                <w:rFonts w:ascii="Times New Roman" w:cs="Times New Roman" w:eastAsia="Times New Roman" w:hAnsi="Times New Roman"/>
                <w:b w:val="false"/>
                <w:bCs w:val="false"/>
                <w:sz w:val="20"/>
                <w:szCs w:val="20"/>
              </w:rPr>
              <w:t xml:space="preserve">Onyx</w:t>
            </w:r>
          </w:p>
        </w:tc>
        <w:tc>
          <w:tcPr>
            <w:tcW w:type="dxa" w:w="1337"/>
          </w:tcPr>
          <w:p>
            <w:pPr>
              <w:spacing w:line="240"/>
            </w:pPr>
            <w:r>
              <w:rPr>
                <w:rFonts w:ascii="Times New Roman" w:cs="Times New Roman" w:eastAsia="Times New Roman" w:hAnsi="Times New Roman"/>
                <w:b w:val="false"/>
                <w:bCs w:val="false"/>
                <w:sz w:val="20"/>
                <w:szCs w:val="20"/>
              </w:rPr>
              <w:t xml:space="preserve">0.02</w:t>
            </w:r>
          </w:p>
        </w:tc>
        <w:tc>
          <w:tcPr>
            <w:tcW w:type="dxa" w:w="1337"/>
          </w:tcPr>
          <w:p>
            <w:pPr>
              <w:spacing w:line="240"/>
            </w:pPr>
            <w:r>
              <w:rPr>
                <w:rFonts w:ascii="Times New Roman" w:cs="Times New Roman" w:eastAsia="Times New Roman" w:hAnsi="Times New Roman"/>
                <w:b w:val="false"/>
                <w:bCs w:val="false"/>
                <w:sz w:val="20"/>
                <w:szCs w:val="20"/>
              </w:rPr>
              <w:t xml:space="preserve">0.06</w:t>
            </w:r>
          </w:p>
        </w:tc>
        <w:tc>
          <w:tcPr>
            <w:tcW w:type="dxa" w:w="1337"/>
          </w:tcPr>
          <w:p>
            <w:pPr>
              <w:spacing w:line="240"/>
            </w:pPr>
            <w:r>
              <w:rPr>
                <w:rFonts w:ascii="Times New Roman" w:cs="Times New Roman" w:eastAsia="Times New Roman" w:hAnsi="Times New Roman"/>
                <w:b w:val="false"/>
                <w:bCs w:val="false"/>
                <w:sz w:val="20"/>
                <w:szCs w:val="20"/>
              </w:rPr>
              <w:t xml:space="preserve">0.51</w:t>
            </w:r>
          </w:p>
        </w:tc>
        <w:tc>
          <w:tcPr>
            <w:tcW w:type="dxa" w:w="1337"/>
          </w:tcPr>
          <w:p>
            <w:pPr>
              <w:spacing w:line="240"/>
            </w:pPr>
            <w:r>
              <w:rPr>
                <w:rFonts w:ascii="Times New Roman" w:cs="Times New Roman" w:eastAsia="Times New Roman" w:hAnsi="Times New Roman"/>
                <w:b w:val="false"/>
                <w:bCs w:val="false"/>
                <w:sz w:val="20"/>
                <w:szCs w:val="20"/>
              </w:rPr>
              <w:t xml:space="preserve">65</w:t>
            </w:r>
          </w:p>
        </w:tc>
        <w:tc>
          <w:tcPr>
            <w:tcW w:type="dxa" w:w="1337"/>
          </w:tcPr>
          <w:p>
            <w:pPr>
              <w:spacing w:line="240"/>
            </w:pPr>
            <w:r>
              <w:rPr>
                <w:rFonts w:ascii="Times New Roman" w:cs="Times New Roman" w:eastAsia="Times New Roman" w:hAnsi="Times New Roman"/>
                <w:b w:val="false"/>
                <w:bCs w:val="false"/>
                <w:sz w:val="20"/>
                <w:szCs w:val="20"/>
              </w:rPr>
              <w:t xml:space="preserve">0</w:t>
            </w:r>
          </w:p>
        </w:tc>
        <w:tc>
          <w:tcPr>
            <w:tcW w:type="dxa" w:w="1338"/>
          </w:tcPr>
          <w:p>
            <w:pPr>
              <w:spacing w:line="240"/>
            </w:pPr>
            <w:r>
              <w:rPr>
                <w:rFonts w:ascii="Times New Roman" w:cs="Times New Roman" w:eastAsia="Times New Roman" w:hAnsi="Times New Roman"/>
                <w:b w:val="false"/>
                <w:bCs w:val="false"/>
                <w:sz w:val="20"/>
                <w:szCs w:val="20"/>
              </w:rPr>
              <w:t xml:space="preserve">1</w:t>
            </w:r>
          </w:p>
        </w:tc>
      </w:tr>
      <w:tr>
        <w:tc>
          <w:tcPr>
            <w:tcW w:type="dxa" w:w="1337"/>
          </w:tcPr>
          <w:p>
            <w:pPr>
              <w:spacing w:line="240"/>
            </w:pPr>
            <w:r>
              <w:rPr>
                <w:rFonts w:ascii="Times New Roman" w:cs="Times New Roman" w:eastAsia="Times New Roman" w:hAnsi="Times New Roman"/>
                <w:b w:val="false"/>
                <w:bCs w:val="false"/>
                <w:sz w:val="20"/>
                <w:szCs w:val="20"/>
              </w:rPr>
              <w:t xml:space="preserve">Harriette</w:t>
            </w:r>
          </w:p>
        </w:tc>
        <w:tc>
          <w:tcPr>
            <w:tcW w:type="dxa" w:w="1337"/>
          </w:tcPr>
          <w:p>
            <w:pPr>
              <w:spacing w:line="240"/>
            </w:pPr>
            <w:r>
              <w:rPr>
                <w:rFonts w:ascii="Times New Roman" w:cs="Times New Roman" w:eastAsia="Times New Roman" w:hAnsi="Times New Roman"/>
                <w:b w:val="false"/>
                <w:bCs w:val="false"/>
                <w:sz w:val="20"/>
                <w:szCs w:val="20"/>
              </w:rPr>
              <w:t xml:space="preserve">0.45</w:t>
            </w:r>
          </w:p>
        </w:tc>
        <w:tc>
          <w:tcPr>
            <w:tcW w:type="dxa" w:w="1337"/>
          </w:tcPr>
          <w:p>
            <w:pPr>
              <w:spacing w:line="240"/>
            </w:pPr>
            <w:r>
              <w:rPr>
                <w:rFonts w:ascii="Times New Roman" w:cs="Times New Roman" w:eastAsia="Times New Roman" w:hAnsi="Times New Roman"/>
                <w:b w:val="false"/>
                <w:bCs w:val="false"/>
                <w:sz w:val="20"/>
                <w:szCs w:val="20"/>
              </w:rPr>
              <w:t xml:space="preserve">−0.22</w:t>
            </w:r>
          </w:p>
        </w:tc>
        <w:tc>
          <w:tcPr>
            <w:tcW w:type="dxa" w:w="1337"/>
          </w:tcPr>
          <w:p>
            <w:pPr>
              <w:spacing w:line="240"/>
            </w:pPr>
            <w:r>
              <w:rPr>
                <w:rFonts w:ascii="Times New Roman" w:cs="Times New Roman" w:eastAsia="Times New Roman" w:hAnsi="Times New Roman"/>
                <w:b w:val="false"/>
                <w:bCs w:val="false"/>
                <w:sz w:val="20"/>
                <w:szCs w:val="20"/>
              </w:rPr>
              <w:t xml:space="preserve">0.48</w:t>
            </w:r>
          </w:p>
        </w:tc>
        <w:tc>
          <w:tcPr>
            <w:tcW w:type="dxa" w:w="1337"/>
          </w:tcPr>
          <w:p>
            <w:pPr>
              <w:spacing w:line="240"/>
            </w:pPr>
            <w:r>
              <w:rPr>
                <w:rFonts w:ascii="Times New Roman" w:cs="Times New Roman" w:eastAsia="Times New Roman" w:hAnsi="Times New Roman"/>
                <w:b w:val="false"/>
                <w:bCs w:val="false"/>
                <w:sz w:val="20"/>
                <w:szCs w:val="20"/>
              </w:rPr>
              <w:t xml:space="preserve">43</w:t>
            </w:r>
          </w:p>
        </w:tc>
        <w:tc>
          <w:tcPr>
            <w:tcW w:type="dxa" w:w="1337"/>
          </w:tcPr>
          <w:p>
            <w:pPr>
              <w:spacing w:line="240"/>
            </w:pPr>
            <w:r>
              <w:rPr>
                <w:rFonts w:ascii="Times New Roman" w:cs="Times New Roman" w:eastAsia="Times New Roman" w:hAnsi="Times New Roman"/>
                <w:b w:val="false"/>
                <w:bCs w:val="false"/>
                <w:sz w:val="20"/>
                <w:szCs w:val="20"/>
              </w:rPr>
              <w:t xml:space="preserve">10</w:t>
            </w:r>
          </w:p>
        </w:tc>
        <w:tc>
          <w:tcPr>
            <w:tcW w:type="dxa" w:w="1338"/>
          </w:tcPr>
          <w:p>
            <w:pPr>
              <w:spacing w:line="240"/>
            </w:pPr>
            <w:r>
              <w:rPr>
                <w:rFonts w:ascii="Times New Roman" w:cs="Times New Roman" w:eastAsia="Times New Roman" w:hAnsi="Times New Roman"/>
                <w:b w:val="false"/>
                <w:bCs w:val="false"/>
                <w:sz w:val="20"/>
                <w:szCs w:val="20"/>
              </w:rPr>
              <w:t xml:space="preserve">13</w:t>
            </w:r>
          </w:p>
        </w:tc>
      </w:tr>
    </w:tbl>
    <w:p>
      <w:pPr>
        <w:spacing w:after="120"/>
      </w:pPr>
    </w:p>
    <w:p>
      <w:pPr>
        <w:spacing w:after="240" w:line="360"/>
      </w:pPr>
      <w:r>
        <w:rPr>
          <w:rFonts w:ascii="Times New Roman" w:cs="Times New Roman" w:eastAsia="Times New Roman" w:hAnsi="Times New Roman"/>
          <w:i/>
          <w:iCs/>
          <w:sz w:val="24"/>
          <w:szCs w:val="24"/>
        </w:rPr>
        <w:t xml:space="preserve">Breed average outlier index 0.24. Allele counts are per dog across the 33-locus panel (66 allele slots), classified by the same low-, mid-, and high-frequency thresholds the outlier index uses.</w:t>
      </w:r>
    </w:p>
    <w:p>
      <w:pPr>
        <w:spacing w:after="120" w:line="480"/>
        <w:jc w:val="left"/>
      </w:pPr>
      <w:r>
        <w:rPr>
          <w:rFonts w:ascii="Times New Roman" w:cs="Times New Roman" w:eastAsia="Times New Roman" w:hAnsi="Times New Roman"/>
          <w:sz w:val="24"/>
          <w:szCs w:val="24"/>
        </w:rPr>
        <w:t xml:space="preserve">The control "strategy" was random selection. Family size equalization is a well established method of preserving allelic variation (Wang et al., 2016), so the random element here focused solely on selection, as though a breeder selected a keeper with no genetic data at all. Therefore the losses in the random selection replicates were inherently minimized by the simulation design — and yet these replicates showed the most loss anyway. Certainly selecting for the least inbred puppies is a better conservation strategy than random selection, shown in the data, but selection for the puppies carrying more of the less common alleles performs better even than that.</w:t>
      </w:r>
    </w:p>
    <w:p>
      <w:pPr>
        <w:pStyle w:val="Heading2"/>
        <w:spacing w:after="120" w:before="240" w:line="480"/>
      </w:pPr>
      <w:r>
        <w:rPr>
          <w:rFonts w:ascii="Times New Roman" w:cs="Times New Roman" w:eastAsia="Times New Roman" w:hAnsi="Times New Roman"/>
          <w:b/>
          <w:bCs/>
          <w:sz w:val="24"/>
          <w:szCs w:val="24"/>
        </w:rPr>
        <w:t xml:space="preserve">How and why breeds differ as it relates to breeding management</w:t>
      </w:r>
    </w:p>
    <w:p>
      <w:pPr>
        <w:spacing w:after="120" w:line="480"/>
        <w:jc w:val="left"/>
      </w:pPr>
      <w:r>
        <w:rPr>
          <w:rFonts w:ascii="Times New Roman" w:cs="Times New Roman" w:eastAsia="Times New Roman" w:hAnsi="Times New Roman"/>
          <w:sz w:val="24"/>
          <w:szCs w:val="24"/>
        </w:rPr>
        <w:t xml:space="preserve">Genetic diversity in purebred dogs is always influenced by founder effects and historical events, such as whether they were developed from a landrace, lived through a world war, had a specific job or if they were the result of a single breeder’s vision of an ideal dog. In the last 100 years, breeder traditions have had substantial influence on population structure of purebred dogs today. We can read the results of this influence in allele frequencies. How much was lost before the plateau depended on how much losable low-frequency allelic variation remained in each breed (Allendorf et al., 2024).</w:t>
      </w:r>
    </w:p>
    <w:p>
      <w:pPr>
        <w:spacing w:after="120" w:line="480"/>
        <w:jc w:val="left"/>
      </w:pPr>
      <w:r>
        <w:rPr>
          <w:rFonts w:ascii="Times New Roman" w:cs="Times New Roman" w:eastAsia="Times New Roman" w:hAnsi="Times New Roman"/>
          <w:sz w:val="24"/>
          <w:szCs w:val="24"/>
        </w:rPr>
        <w:t xml:space="preserve">The Standard Poodle began with the most allelic variation; its founders had an expected heterozygosity of 0.71 and 8.38 alleles per locus, despite the well-documented Mid-Century Bottleneck (Pedersen et al., 2015). Its breeders were among the first to test for diversity and have worked at improving it for years. Independent pedigree work agrees: of the 121 UK Kennel Club breeds with sufficient registrations for analysis, the Standard Poodle was one of only five whose mean inbreeding coefficient declined from 1980 to 2014 (Lewis et al., 2015).</w:t>
      </w:r>
    </w:p>
    <w:p>
      <w:pPr>
        <w:spacing w:after="120" w:line="480"/>
        <w:jc w:val="left"/>
      </w:pPr>
      <w:r>
        <w:rPr>
          <w:rFonts w:ascii="Times New Roman" w:cs="Times New Roman" w:eastAsia="Times New Roman" w:hAnsi="Times New Roman"/>
          <w:sz w:val="24"/>
          <w:szCs w:val="24"/>
        </w:rPr>
        <w:t xml:space="preserve">Both Dobermans and Flat-Coated Retrievers have limited alleles per locus, but the Doberman is far more populous, both worldwide and in our available data set, so they have more allelic variation in each founding generation of Dobermans than in Flat-Coated Retrievers. The breed has a severe, well-documented bottleneck (Wade et al., 2023). The Doberman community has a broad number of available DNA disease tests for both recessive and dominant mutations, and breeders have focused more on eliminating affected dogs and selecting for clear breeding stock than on eliminating inbreeding. Popular sires in Dobermans are still proudly in existence and advertised. The breed still has some allelic variation, but its allele frequencies are extremely skewed: a few alleles are very common, many are uncommon, and little is in between. The founding Doberman cohort in the simulation as a whole has a high average internal relatedness, a fairly low average outlier index, and the lowest expected heterozygosity of the three breeds (Table 1). It had the most low-frequency allelic variation at risk, and lost the most before its plateau under outlier index and average genetic relatedness selection.</w:t>
      </w:r>
    </w:p>
    <w:p>
      <w:pPr>
        <w:spacing w:after="120" w:line="480"/>
        <w:jc w:val="left"/>
      </w:pPr>
      <w:r>
        <w:rPr>
          <w:rFonts w:ascii="Times New Roman" w:cs="Times New Roman" w:eastAsia="Times New Roman" w:hAnsi="Times New Roman"/>
          <w:sz w:val="24"/>
          <w:szCs w:val="24"/>
        </w:rPr>
        <w:t xml:space="preserve">The Flat-Coated Retriever is a less well-known breed with intact working abilities. The breeder community, in contrast to the Doberman’s, has few necessary DNA health tests, and has avoided inbreeding as a cultural norm for well over a decade, largely in response to a late-onset cancer prevalent in the breed. The data on Flat-Coats show that while they have fewer distinct alleles, they have more balanced frequencies, evidenced by a lower average internal relatedness (the only one of the three founding cohorts that is outbred rather than inbred) and a higher average outlier index (Table 1). The breed began with about five alleles per locus, the fewest of the three breeds. Its founders’ expected heterozygosity of 0.55 was higher than the Doberman’s 0.50. This may be due to a small original founding population, or the breed represents what a population looks like after a bottleneck depletes a breed. Because it had less to lose, its loss before the plateau was smallest of the three. The low total allele count likely explains why inbreeding coefficients continued to rise, albeit very gradually, even under outlier index selection. This slope could be used in future as an indication of the necessity to introduce new allelic variation.</w:t>
      </w:r>
    </w:p>
    <w:p>
      <w:pPr>
        <w:spacing w:after="120" w:line="480"/>
        <w:jc w:val="left"/>
      </w:pPr>
      <w:r>
        <w:rPr>
          <w:rFonts w:ascii="Times New Roman" w:cs="Times New Roman" w:eastAsia="Times New Roman" w:hAnsi="Times New Roman"/>
          <w:sz w:val="24"/>
          <w:szCs w:val="24"/>
        </w:rPr>
        <w:t xml:space="preserve">Breed differences matter for the recommendation of conservation strategy. With three breeds we can report where the methods differed, but not establish a gradient across them.</w:t>
      </w:r>
    </w:p>
    <w:p>
      <w:pPr>
        <w:pStyle w:val="Heading2"/>
        <w:spacing w:after="120" w:before="240" w:line="480"/>
      </w:pPr>
      <w:r>
        <w:rPr>
          <w:rFonts w:ascii="Times New Roman" w:cs="Times New Roman" w:eastAsia="Times New Roman" w:hAnsi="Times New Roman"/>
          <w:b/>
          <w:bCs/>
          <w:sz w:val="24"/>
          <w:szCs w:val="24"/>
        </w:rPr>
        <w:t xml:space="preserve">Practical applications for breed management</w:t>
      </w:r>
    </w:p>
    <w:p>
      <w:pPr>
        <w:spacing w:after="120" w:line="480"/>
        <w:jc w:val="left"/>
      </w:pPr>
      <w:r>
        <w:rPr>
          <w:rFonts w:ascii="Times New Roman" w:cs="Times New Roman" w:eastAsia="Times New Roman" w:hAnsi="Times New Roman"/>
          <w:sz w:val="24"/>
          <w:szCs w:val="24"/>
        </w:rPr>
        <w:t xml:space="preserve">Breeders may balk at selecting for low-frequency alleles, concerned it means selecting against the phenotypical traits they prefer. The use of putatively neutral loci in this panel, combined with continued selection for desirable traits as well as for highest outlier index values, allows for selection pressure to remain on phenotype while still contributing to conservation. The same is true for selection for general robust health. It allows for effective separation of observable phenotype from general allelic variation.</w:t>
      </w:r>
    </w:p>
    <w:p>
      <w:pPr>
        <w:spacing w:after="120" w:line="480"/>
        <w:jc w:val="left"/>
      </w:pPr>
      <w:r>
        <w:rPr>
          <w:rFonts w:ascii="Times New Roman" w:cs="Times New Roman" w:eastAsia="Times New Roman" w:hAnsi="Times New Roman"/>
          <w:sz w:val="24"/>
          <w:szCs w:val="24"/>
        </w:rPr>
        <w:t xml:space="preserve">In the case of some very depleted breeds, true outcrosses to other breeds may be required. No breeding strategy can balance frequencies for alleles that don’t exist. The simulation results suggest that lack of allele count should be the determining factor, not inbreeding averages. However, true outcross programs are at risk of early failure if dogs are bred solely by inbreeding measures (Kinghorn &amp; Kinghorn, 2023), for the same reason inbreeding avoidance doesn’t help raise frequencies of uncommon existing allelic variation to safer levels. Any new variation would most likely drift back out as quickly as it appeared.</w:t>
      </w:r>
    </w:p>
    <w:p>
      <w:pPr>
        <w:pStyle w:val="Heading2"/>
        <w:spacing w:after="120" w:before="240" w:line="480"/>
      </w:pPr>
      <w:r>
        <w:rPr>
          <w:rFonts w:ascii="Times New Roman" w:cs="Times New Roman" w:eastAsia="Times New Roman" w:hAnsi="Times New Roman"/>
          <w:b/>
          <w:bCs/>
          <w:sz w:val="24"/>
          <w:szCs w:val="24"/>
        </w:rPr>
        <w:t xml:space="preserve">Panel size and what a small polymorphic panel can support</w:t>
      </w:r>
    </w:p>
    <w:p>
      <w:pPr>
        <w:spacing w:after="120" w:line="480"/>
        <w:jc w:val="left"/>
      </w:pPr>
      <w:r>
        <w:rPr>
          <w:rFonts w:ascii="Times New Roman" w:cs="Times New Roman" w:eastAsia="Times New Roman" w:hAnsi="Times New Roman"/>
          <w:sz w:val="24"/>
          <w:szCs w:val="24"/>
        </w:rPr>
        <w:t xml:space="preserve">While microsatellite panels do a decent job of assessing inbreeding in individuals, well validated loci do an excellent job of assessing bottleneck severity and relatedness in closed breeds. Microsatellites change fast enough to track changes in the last few hundred years (Teschke et al., 2008; Sunde et al., 2020), and that recent history is what matters most now.</w:t>
      </w:r>
    </w:p>
    <w:p>
      <w:pPr>
        <w:spacing w:after="120" w:line="480"/>
        <w:jc w:val="left"/>
      </w:pPr>
      <w:r>
        <w:rPr>
          <w:rFonts w:ascii="Times New Roman" w:cs="Times New Roman" w:eastAsia="Times New Roman" w:hAnsi="Times New Roman"/>
          <w:sz w:val="24"/>
          <w:szCs w:val="24"/>
        </w:rPr>
        <w:t xml:space="preserve">When a dog carries less common alleles across part of a panel of putatively neutral microsatellites, it is likely carrying less common variation across the rest of its genome too, because patterns of variation within a breed are consistent across sampled genomic regions (Sutter et al., 2004). The same is true with relatedness: two dogs that share many of the same alleles at the same loci are likely similar across the genome, not only at the markers. We do not breed small sets of alleles — we breed whole dogs.</w:t>
      </w:r>
    </w:p>
    <w:p>
      <w:pPr>
        <w:spacing w:after="120" w:line="480"/>
        <w:jc w:val="left"/>
      </w:pPr>
      <w:r>
        <w:rPr>
          <w:rFonts w:ascii="Times New Roman" w:cs="Times New Roman" w:eastAsia="Times New Roman" w:hAnsi="Times New Roman"/>
          <w:sz w:val="24"/>
          <w:szCs w:val="24"/>
        </w:rPr>
        <w:t xml:space="preserve">This panel’s coverage was tested directly, though briefly. Nicholas et al. (2018) challenged its size and coverage in a published letter, saying the panel could not establish that removal of carriers for a recessive mutation in Samoyeds would be safe. Pedersen replied that 25 additional carefully chosen microsatellites added nothing to the power of the 33 markers, and that genetic diversity measured in Standard Poodles on this panel and on a 170K SNP array showed no major differences (Nicholas et al., 2018). This challenge and response was an example of “genetic diversity” meaning only heterozygosity. Removal of carriers from a breed, however, does damage chiefly to allelic richness, which, downstream, affects heterozygosity. Allelic variation is the dimension a large biallelic panel does not see. Pedersen’s analysis of the breed did include allelic richness: his carrier-removal calculation recomputed alleles per locus and effective alleles, not heterozygosity alone, before concluding removal of carriers was safe (Pedersen et al., 2017).</w:t>
      </w:r>
    </w:p>
    <w:p>
      <w:pPr>
        <w:spacing w:after="120" w:line="480"/>
        <w:jc w:val="left"/>
      </w:pPr>
      <w:r>
        <w:rPr>
          <w:rFonts w:ascii="Times New Roman" w:cs="Times New Roman" w:eastAsia="Times New Roman" w:hAnsi="Times New Roman"/>
          <w:sz w:val="24"/>
          <w:szCs w:val="24"/>
        </w:rPr>
        <w:t xml:space="preserve">Bellone et al. (2026) recently demonstrated use of a small microsatellite panel testing two generations of American Quarter Horses to assess whether assisted reproductive technology affected their diversity. With 16 loci and an average of about 11 alleles per locus, the authors detected a significant one-generation decline in effective number of alleles (1.38%) and in observed and expected heterozygosity. Allelic richness showed no significant change in a single generation, consistent with frequencies skewing toward a bottleneck configuration.</w:t>
      </w:r>
    </w:p>
    <w:p>
      <w:pPr>
        <w:spacing w:after="120" w:line="480"/>
        <w:jc w:val="left"/>
      </w:pPr>
      <w:r>
        <w:rPr>
          <w:rFonts w:ascii="Times New Roman" w:cs="Times New Roman" w:eastAsia="Times New Roman" w:hAnsi="Times New Roman"/>
          <w:sz w:val="24"/>
          <w:szCs w:val="24"/>
        </w:rPr>
        <w:t xml:space="preserve">There are recommended marker amounts in conservation literature, but these refer to centrally managed breeding programs using biallelic markers and complete pedigrees (Fernández et al., 2004; Gómez-Romano et al., 2013). This does not translate well to breeder-managed programs like those in purebred dogs.</w:t>
      </w:r>
    </w:p>
    <w:p>
      <w:pPr>
        <w:spacing w:after="120" w:line="480"/>
        <w:jc w:val="left"/>
      </w:pPr>
      <w:r>
        <w:rPr>
          <w:rFonts w:ascii="Times New Roman" w:cs="Times New Roman" w:eastAsia="Times New Roman" w:hAnsi="Times New Roman"/>
          <w:sz w:val="24"/>
          <w:szCs w:val="24"/>
        </w:rPr>
        <w:t xml:space="preserve">Sams et al. (2020) created a forward simulation which showed, post-bottleneck, that using a small panel for breeding decisions lost allelic diversity. They used a simulated 33-locus panel on 25 chromosomes, similar in size and chromosome count to the VGL panel, along with a simulated genome-wide panel of thousands of polymorphic loci that has no real world counterpart. We do not dispute their data, which they report fully; we do dispute their conclusion. The simulation design, not panel size, accounts for the losses. Their assumption was that a small panel would fail at inbreeding avoidance in comparison to a large panel, where marker numbers matter more, and it did. They modeled internal relatedness and pairwise genetic distance on the small panel, and heterozygosity on both. All three choose the most dissimilar available mate, differing only in how allele sharing is weighted. However, a small panel of validated, putatively neutral, polymorphic loci’s best use in breeding management is to identify individuals with more underrepresented alleles (roughly low mean kinship), which they did not model on either panel, despite simulating multi-allelic loci, and despite writing that allelic diversity is “also an important metric to optimize” (Sams et al., 2020).</w:t>
      </w:r>
    </w:p>
    <w:p>
      <w:pPr>
        <w:spacing w:after="120" w:line="480"/>
        <w:jc w:val="left"/>
      </w:pPr>
      <w:r>
        <w:rPr>
          <w:rFonts w:ascii="Times New Roman" w:cs="Times New Roman" w:eastAsia="Times New Roman" w:hAnsi="Times New Roman"/>
          <w:sz w:val="24"/>
          <w:szCs w:val="24"/>
        </w:rPr>
        <w:t xml:space="preserve">Using their simulated small panel, Sams modeled “unmanaged populations, where breeding decisions are made at the pairwise—rather than population-level.” Parent 1 was drawn at random, and parent 2 was the most genetically distant dog (Wang, 2002) in a random pool of 50. Genetic distance from one dog to another is not average genetic relatedness to a population; their “average genetic relatedness” was in fact pairwise relatedness, and therefore they demonstrated inbreeding avoidance, which we also show conserves far less variation. With the real small panel using real genotypes, we show significant conservation of variation is possible.</w:t>
      </w:r>
    </w:p>
    <w:p>
      <w:pPr>
        <w:spacing w:after="120" w:line="480"/>
        <w:jc w:val="left"/>
      </w:pPr>
      <w:r>
        <w:rPr>
          <w:rFonts w:ascii="Times New Roman" w:cs="Times New Roman" w:eastAsia="Times New Roman" w:hAnsi="Times New Roman"/>
          <w:sz w:val="24"/>
          <w:szCs w:val="24"/>
        </w:rPr>
        <w:t xml:space="preserve">They also aptly demonstrate why specific inbreeding avoidance by mate choice in bottlenecked breeds loses variation quickly: the most genetically distant mate from a common dog will be an unusual one. When bred, their offspring will, at best, inherit only half of its unusual parent’s underrepresented alleles. The rest are lost. The Sams design breeds a single offspring per pair. That loss would be true no matter the panel size. Their own best small-panel model shows it: internal relatedness-based mate choice held heterozygosity and inbreeding at or better than random mating, yet preserved allelic richness worse than random in every parameter set but one (Sams et al., 2020).</w:t>
      </w:r>
    </w:p>
    <w:p>
      <w:pPr>
        <w:spacing w:after="120" w:line="480"/>
        <w:jc w:val="left"/>
      </w:pPr>
      <w:r>
        <w:rPr>
          <w:rFonts w:ascii="Times New Roman" w:cs="Times New Roman" w:eastAsia="Times New Roman" w:hAnsi="Times New Roman"/>
          <w:sz w:val="24"/>
          <w:szCs w:val="24"/>
        </w:rPr>
        <w:t xml:space="preserve">Sams’ design also creates popular parents, which they themselves discuss. In any bottlenecked pool, there will be many common dogs and a few unusual ones. Each common dog will be bred, then, to the same few unusual dogs. Their design allowed any one dog to breed up to 200 times per generation. Their data show that capping that limit to 50 breedings changed almost nothing, but capping it to 5 substantially limited the loss, all using the small panel. Popular sire effects cannot be overcome by inbreeding avoidance without abandoning popular sires. Loss of allelic variation would be the expected result.</w:t>
      </w:r>
    </w:p>
    <w:p>
      <w:pPr>
        <w:spacing w:after="120" w:line="480"/>
        <w:jc w:val="left"/>
      </w:pPr>
      <w:r>
        <w:rPr>
          <w:rFonts w:ascii="Times New Roman" w:cs="Times New Roman" w:eastAsia="Times New Roman" w:hAnsi="Times New Roman"/>
          <w:sz w:val="24"/>
          <w:szCs w:val="24"/>
        </w:rPr>
        <w:t xml:space="preserve">The genome-wide arm of their study used a different relatedness estimator (Hedrick &amp; Lacy, 2015) than the small-panel arm (Wang, 2002), and internal relatedness was not run at genome-wide scale. Their single direct comparison between large and small panel was maximization of offspring heterozygosity. This metric depends entirely on marker numbers and simple binary calculations, and naturally more markers is genuinely better. Polymorphic small panels are not built nor recommended for that use. Their power is in frequencies. In the case of erosion of variation genome wide, this would be expected in any popular parent dynamic, which is the simulation that showed such erosion. No strategy tested in our simulation has been run at genome-wide scale, simulated or otherwise, by anyone. The case of a large versus a small panel of polymorphic loci therefore remains open.</w:t>
      </w:r>
    </w:p>
    <w:p>
      <w:pPr>
        <w:spacing w:after="120" w:line="480"/>
        <w:jc w:val="left"/>
      </w:pPr>
      <w:r>
        <w:rPr>
          <w:rFonts w:ascii="Times New Roman" w:cs="Times New Roman" w:eastAsia="Times New Roman" w:hAnsi="Times New Roman"/>
          <w:sz w:val="24"/>
          <w:szCs w:val="24"/>
        </w:rPr>
        <w:t xml:space="preserve">We have no doubt that a genome-wide panel of polymorphic microhaplotypes would be a powerful tool for breeding for conservation, but as yet no such panel exists commercially for dog breeders. Prior to broad use, a panel of that kind will have to be validated, and possibly custom-designed breed by breed to be informative (Hervey et al., 2025). When such a panel arrives, the strategies and algorithms tested here can be run on it directly and compared, on real genotypes, against the small panel.</w:t>
      </w:r>
    </w:p>
    <w:p>
      <w:pPr>
        <w:pStyle w:val="Heading2"/>
        <w:spacing w:after="120" w:before="240" w:line="480"/>
      </w:pPr>
      <w:r>
        <w:rPr>
          <w:rFonts w:ascii="Times New Roman" w:cs="Times New Roman" w:eastAsia="Times New Roman" w:hAnsi="Times New Roman"/>
          <w:b/>
          <w:bCs/>
          <w:sz w:val="24"/>
          <w:szCs w:val="24"/>
        </w:rPr>
        <w:t xml:space="preserve">Threshold sensitivity</w:t>
      </w:r>
    </w:p>
    <w:p>
      <w:pPr>
        <w:spacing w:after="120" w:line="480"/>
        <w:jc w:val="left"/>
      </w:pPr>
      <w:r>
        <w:rPr>
          <w:rFonts w:ascii="Times New Roman" w:cs="Times New Roman" w:eastAsia="Times New Roman" w:hAnsi="Times New Roman"/>
          <w:sz w:val="24"/>
          <w:szCs w:val="24"/>
        </w:rPr>
        <w:t xml:space="preserve">Outlier index starts with each locus’ mean allele frequency and defines mid-frequency as a window of ±25% around that mean. Alleles more than 25% below the mean are low-frequency; alleles more than 25% above it are high-frequency. These thresholds are applied identically in every breed (see Methods). We tested four other windows, both tighter and broader, in all three breeds. Tightening the window slightly increased the selection pressure driving frequencies toward the mean, and loosening it slightly relaxed that pressure, but results over 20 generations shifted only negligibly (Supplementary Table S6). The more important point is the function of the categories: low-frequency alleles are brought up into a safe zone, and high-frequency alleles are kept from dominating, all without selecting on one specific allele or another.</w:t>
      </w:r>
    </w:p>
    <w:p>
      <w:pPr>
        <w:pStyle w:val="Heading2"/>
        <w:spacing w:after="120" w:before="240" w:line="480"/>
      </w:pPr>
      <w:r>
        <w:rPr>
          <w:rFonts w:ascii="Times New Roman" w:cs="Times New Roman" w:eastAsia="Times New Roman" w:hAnsi="Times New Roman"/>
          <w:b/>
          <w:bCs/>
          <w:sz w:val="24"/>
          <w:szCs w:val="24"/>
        </w:rPr>
        <w:t xml:space="preserve">Limitations</w:t>
      </w:r>
    </w:p>
    <w:p>
      <w:pPr>
        <w:spacing w:after="120" w:line="480"/>
        <w:jc w:val="left"/>
      </w:pPr>
      <w:r>
        <w:rPr>
          <w:rFonts w:ascii="Times New Roman" w:cs="Times New Roman" w:eastAsia="Times New Roman" w:hAnsi="Times New Roman"/>
          <w:sz w:val="24"/>
          <w:szCs w:val="24"/>
        </w:rPr>
        <w:t xml:space="preserve">There are, naturally, limitations to any tool. The aforementioned panel size could be one, but we would prefer to establish that definitively by testing allele-based frequency algorithms with a much larger one.</w:t>
      </w:r>
    </w:p>
    <w:p>
      <w:pPr>
        <w:spacing w:after="120" w:line="480"/>
        <w:jc w:val="left"/>
      </w:pPr>
      <w:r>
        <w:rPr>
          <w:rFonts w:ascii="Times New Roman" w:cs="Times New Roman" w:eastAsia="Times New Roman" w:hAnsi="Times New Roman"/>
          <w:sz w:val="24"/>
          <w:szCs w:val="24"/>
        </w:rPr>
        <w:t xml:space="preserve">The simulation assesses heterozygosity and allelic variation at the same 33 loci for all dogs. We do not, therefore, demonstrate genome-wide preservation directly. Because the panel is both the selection criterion and the measuring instrument, gains measured at these loci may overstate or understate genome-wide gains by some unknown amount. Testing this directly with real genotypes is not yet possible: no validated genome-wide microhaplotype panel or larger commercial STR panel exists for dogs. That inference rests on how the panel data is processed. Outlier index says, in effect, “at these neutral loci, this dog happens to have more unusual alleles than common ones”; average genetic relatedness says “this dog happens to be comparatively less related to a majority of the dogs in this population than others.” In both cases, the panel identifies the whole dog, not the loci specifically — and a whole dog comes with a whole genome.</w:t>
      </w:r>
    </w:p>
    <w:p>
      <w:pPr>
        <w:spacing w:after="120" w:line="480"/>
        <w:jc w:val="left"/>
      </w:pPr>
      <w:r>
        <w:rPr>
          <w:rFonts w:ascii="Times New Roman" w:cs="Times New Roman" w:eastAsia="Times New Roman" w:hAnsi="Times New Roman"/>
          <w:sz w:val="24"/>
          <w:szCs w:val="24"/>
        </w:rPr>
        <w:t xml:space="preserve">Because family size was equalized identically in every strategy, the differences between strategies are the effects of the strategies themselves, but unmanaged programs depend on breeders adopting certain guidelines and these are cultural and peer driven.</w:t>
      </w:r>
    </w:p>
    <w:p>
      <w:pPr>
        <w:spacing w:after="120" w:line="480"/>
        <w:jc w:val="left"/>
      </w:pPr>
      <w:r>
        <w:rPr>
          <w:rFonts w:ascii="Times New Roman" w:cs="Times New Roman" w:eastAsia="Times New Roman" w:hAnsi="Times New Roman"/>
          <w:sz w:val="24"/>
          <w:szCs w:val="24"/>
        </w:rPr>
        <w:t xml:space="preserve">In practice breeders weigh diversity results against health and conformation, which may reduce the per-generation pressure on frequency, though by how much will depend on what each breed community perceives as most necessary.</w:t>
      </w:r>
    </w:p>
    <w:p>
      <w:pPr>
        <w:spacing w:after="120" w:line="480"/>
        <w:jc w:val="left"/>
      </w:pPr>
      <w:r>
        <w:rPr>
          <w:rFonts w:ascii="Times New Roman" w:cs="Times New Roman" w:eastAsia="Times New Roman" w:hAnsi="Times New Roman"/>
          <w:sz w:val="24"/>
          <w:szCs w:val="24"/>
        </w:rPr>
        <w:t xml:space="preserve">The single 200-dog population modeled here is a conservative choice, since larger pools would retain more allelic variation. Fifty participating breeders could accomplish the results in this simulation, each with four dogs. To achieve an ideal effect, they would have to select by testing all puppies and keeping the ones with the highest outlier index or lowest average genetic relatedness.</w:t>
      </w:r>
    </w:p>
    <w:p>
      <w:pPr>
        <w:spacing w:after="120" w:line="480"/>
        <w:jc w:val="left"/>
      </w:pPr>
      <w:r>
        <w:rPr>
          <w:rFonts w:ascii="Times New Roman" w:cs="Times New Roman" w:eastAsia="Times New Roman" w:hAnsi="Times New Roman"/>
          <w:sz w:val="24"/>
          <w:szCs w:val="24"/>
        </w:rPr>
        <w:t xml:space="preserve">Any founder sample drawn from only one sector of a breed will be skewed (Allendorf et al., 2024), so samples must represent every known subdivision of a breed’s population.</w:t>
      </w:r>
    </w:p>
    <w:p>
      <w:pPr>
        <w:pStyle w:val="Heading2"/>
        <w:spacing w:after="120" w:before="240" w:line="480"/>
      </w:pPr>
      <w:r>
        <w:rPr>
          <w:rFonts w:ascii="Times New Roman" w:cs="Times New Roman" w:eastAsia="Times New Roman" w:hAnsi="Times New Roman"/>
          <w:b/>
          <w:bCs/>
          <w:sz w:val="24"/>
          <w:szCs w:val="24"/>
        </w:rPr>
        <w:t xml:space="preserve">A caution on health</w:t>
      </w:r>
    </w:p>
    <w:p>
      <w:pPr>
        <w:spacing w:after="120" w:line="480"/>
        <w:jc w:val="left"/>
      </w:pPr>
      <w:r>
        <w:rPr>
          <w:rFonts w:ascii="Times New Roman" w:cs="Times New Roman" w:eastAsia="Times New Roman" w:hAnsi="Times New Roman"/>
          <w:sz w:val="24"/>
          <w:szCs w:val="24"/>
        </w:rPr>
        <w:t xml:space="preserve">The simulation does not show that preserving allelic variation makes individual dogs healthier. The protective value of heterozygosity and allelic richness is established biology, but demonstrating it in these breeds will require long-term health records from real managed populations. That work remains to be done.</w:t>
      </w:r>
    </w:p>
    <w:p>
      <w:pPr>
        <w:spacing w:after="120" w:line="480"/>
        <w:jc w:val="left"/>
      </w:pPr>
      <w:r>
        <w:rPr>
          <w:rFonts w:ascii="Times New Roman" w:cs="Times New Roman" w:eastAsia="Times New Roman" w:hAnsi="Times New Roman"/>
          <w:sz w:val="24"/>
          <w:szCs w:val="24"/>
        </w:rPr>
        <w:t xml:space="preserve">Raising frequencies of low-frequency alleles generally means accepting that some of them will be alleles we would not choose to keep. We do not recommend that breeders retain or breed puppies that are unsound or unhealthy simply based on a “good” diversity value. Keeping selection pressure on robust good health is a necessary component of responsible breed welfare.</w:t>
      </w:r>
    </w:p>
    <w:p>
      <w:pPr>
        <w:spacing w:after="120" w:line="480"/>
        <w:jc w:val="left"/>
      </w:pPr>
      <w:r>
        <w:rPr>
          <w:rFonts w:ascii="Times New Roman" w:cs="Times New Roman" w:eastAsia="Times New Roman" w:hAnsi="Times New Roman"/>
          <w:sz w:val="24"/>
          <w:szCs w:val="24"/>
        </w:rPr>
        <w:t xml:space="preserve">Testing for carriers and breeding them to dogs clear of a recessive mutation, rather than removing carriers from the gene pool entirely, remains the safest way to manage recessives while maintaining genetic diversity.</w:t>
      </w:r>
    </w:p>
    <w:p>
      <w:pPr>
        <w:pStyle w:val="Heading1"/>
        <w:spacing w:after="120" w:before="240" w:line="480"/>
      </w:pPr>
      <w:r>
        <w:rPr>
          <w:rFonts w:ascii="Times New Roman" w:cs="Times New Roman" w:eastAsia="Times New Roman" w:hAnsi="Times New Roman"/>
          <w:b/>
          <w:bCs/>
          <w:sz w:val="26"/>
          <w:szCs w:val="26"/>
        </w:rPr>
        <w:t xml:space="preserve">Conclusion</w:t>
      </w:r>
    </w:p>
    <w:p>
      <w:pPr>
        <w:spacing w:after="120" w:line="480"/>
        <w:jc w:val="left"/>
      </w:pPr>
      <w:r>
        <w:rPr>
          <w:rFonts w:ascii="Times New Roman" w:cs="Times New Roman" w:eastAsia="Times New Roman" w:hAnsi="Times New Roman"/>
          <w:sz w:val="24"/>
          <w:szCs w:val="24"/>
        </w:rPr>
        <w:t xml:space="preserve">Purebred dog breeders have the power to conserve the original allelic variation in their breeds if they identify and select puppies that have the largest estimated proportion of less common alleles for breeding stock. This, combined with equalizing family size, can slow or arrest loss of allelic richness in fewer than ten generations. In doing so, they can also, as a by-product, control inbreeding in the population. Selecting the least inbred puppies, in contrast, does not conserve allelic variation well. A small panel of polymorphic loci can accurately identify unusual dogs using two different algorithms, one based on categorizing alleles by frequency and the other on average genetic relatedness. No central management is necessary to select which dogs to breed or how many they should contribute to the next generation as long as breeders have access to testing, simple tools and easy instructions. Further research should be done on health outcomes in breeds with improved heterozygosity and more even allele frequencies, and future development of breed-specific, multi-allelic loci panels may improve upon the progress demonstrated by these simulations.</w:t>
      </w:r>
    </w:p>
    <w:p>
      <w:pPr>
        <w:pStyle w:val="Heading1"/>
        <w:spacing w:after="120" w:before="240" w:line="480"/>
      </w:pPr>
      <w:r>
        <w:rPr>
          <w:rFonts w:ascii="Times New Roman" w:cs="Times New Roman" w:eastAsia="Times New Roman" w:hAnsi="Times New Roman"/>
          <w:b/>
          <w:bCs/>
          <w:sz w:val="26"/>
          <w:szCs w:val="26"/>
        </w:rPr>
        <w:t xml:space="preserve">Funding</w:t>
      </w:r>
    </w:p>
    <w:p>
      <w:pPr>
        <w:spacing w:after="120" w:line="480"/>
        <w:jc w:val="left"/>
      </w:pPr>
      <w:r>
        <w:rPr>
          <w:rFonts w:ascii="Times New Roman" w:cs="Times New Roman" w:eastAsia="Times New Roman" w:hAnsi="Times New Roman"/>
          <w:sz w:val="24"/>
          <w:szCs w:val="24"/>
        </w:rPr>
        <w:t xml:space="preserve">No external funding was received for this study.</w:t>
      </w:r>
    </w:p>
    <w:p>
      <w:pPr>
        <w:pStyle w:val="Heading1"/>
        <w:spacing w:after="120" w:before="240" w:line="480"/>
      </w:pPr>
      <w:r>
        <w:rPr>
          <w:rFonts w:ascii="Times New Roman" w:cs="Times New Roman" w:eastAsia="Times New Roman" w:hAnsi="Times New Roman"/>
          <w:b/>
          <w:bCs/>
          <w:sz w:val="26"/>
          <w:szCs w:val="26"/>
        </w:rPr>
        <w:t xml:space="preserve">Acknowledgements</w:t>
      </w:r>
    </w:p>
    <w:p>
      <w:pPr>
        <w:spacing w:after="120" w:line="480"/>
        <w:jc w:val="left"/>
      </w:pPr>
      <w:r>
        <w:rPr>
          <w:rFonts w:ascii="Times New Roman" w:cs="Times New Roman" w:eastAsia="Times New Roman" w:hAnsi="Times New Roman"/>
          <w:sz w:val="24"/>
          <w:szCs w:val="24"/>
        </w:rPr>
        <w:t xml:space="preserve">No animals were handled for this study. Genotypes came from samples voluntarily submitted by owners to VGL for commercial testing, and results were then submitted to BetterBred with owners’ permission to use for research. Standard Poodle genotypes for the pedigree data comparison were submitted for the Pedersen et al. (2015) paper, on which the author is listed as co-author.</w:t>
      </w:r>
    </w:p>
    <w:p>
      <w:pPr>
        <w:pStyle w:val="Heading1"/>
        <w:spacing w:after="120" w:before="240" w:line="480"/>
      </w:pPr>
      <w:r>
        <w:rPr>
          <w:rFonts w:ascii="Times New Roman" w:cs="Times New Roman" w:eastAsia="Times New Roman" w:hAnsi="Times New Roman"/>
          <w:b/>
          <w:bCs/>
          <w:sz w:val="26"/>
          <w:szCs w:val="26"/>
        </w:rPr>
        <w:t xml:space="preserve">Data Availability</w:t>
      </w:r>
    </w:p>
    <w:p>
      <w:pPr>
        <w:spacing w:after="120" w:line="480"/>
        <w:jc w:val="left"/>
      </w:pPr>
      <w:r>
        <w:rPr>
          <w:rFonts w:ascii="Times New Roman" w:cs="Times New Roman" w:eastAsia="Times New Roman" w:hAnsi="Times New Roman"/>
          <w:sz w:val="24"/>
          <w:szCs w:val="24"/>
        </w:rPr>
        <w:t xml:space="preserve">The simulation code, the anonymized founder genotype data for all three breeds, the per-replicate results for all strategies, and the supplementary tables are archived on Zenodo (doi: 10.5281/zenodo.22161273) and maintained on GitHub (https://github.com/ngtessier/canine-diversity-forward-sim-2026). Founder genotypes are anonymized and identified only by study codes. For the pedigree-ancestry analysis in Supplementary Figure S2, per-dog outlier index, average genetic relatedness, and Mid-Century Bottleneck ancestry percentages are provided under anonymous study codes. The underlying genotypes and registered names for that cohort are withheld because pedigree data could identify individual dogs and owners; they are available from the author on reasonable request.</w:t>
      </w:r>
    </w:p>
    <w:p>
      <w:pPr>
        <w:pStyle w:val="Heading1"/>
        <w:spacing w:after="120" w:before="240" w:line="480"/>
      </w:pPr>
      <w:r>
        <w:rPr>
          <w:rFonts w:ascii="Times New Roman" w:cs="Times New Roman" w:eastAsia="Times New Roman" w:hAnsi="Times New Roman"/>
          <w:b/>
          <w:bCs/>
          <w:sz w:val="26"/>
          <w:szCs w:val="26"/>
        </w:rPr>
        <w:t xml:space="preserve">Conflict of Interest Statement</w:t>
      </w:r>
    </w:p>
    <w:p>
      <w:pPr>
        <w:spacing w:after="120" w:line="480"/>
        <w:jc w:val="left"/>
      </w:pPr>
      <w:r>
        <w:rPr>
          <w:rFonts w:ascii="Times New Roman" w:cs="Times New Roman" w:eastAsia="Times New Roman" w:hAnsi="Times New Roman"/>
          <w:sz w:val="24"/>
          <w:szCs w:val="24"/>
        </w:rPr>
        <w:t xml:space="preserve">The author developed the outlier index in 2015 and is the founder and operator of BetterBred, a commercial platform that offers outlier index, average genetic relatedness, and internal relatedness to dog breeders, with individual and breed-level metrics at no cost, and advanced analysis and litter simulation by subscription. BetterBred is a client of the UC Davis Veterinary Genetics Laboratory, which provides the STR genotyping to breeders on which outlier index, average genetic relatedness, and internal relatedness are based. The author co-authored Pedersen et al. (2015); the outlier index was not part of that work but was developed afterward as a way to interpret the diversity data easily and so breeders did not select for specific alleles or loci. No external funding was received for this study.</w:t>
      </w:r>
    </w:p>
    <w:p>
      <w:pPr>
        <w:spacing w:after="120" w:line="480"/>
        <w:jc w:val="left"/>
      </w:pPr>
      <w:r>
        <w:rPr>
          <w:rFonts w:ascii="Times New Roman" w:cs="Times New Roman" w:eastAsia="Times New Roman" w:hAnsi="Times New Roman"/>
          <w:sz w:val="24"/>
          <w:szCs w:val="24"/>
        </w:rPr>
        <w:t xml:space="preserve">While the author developed one of the tested metrics, and offers all three, the simulation was designed so that no metric had any advantage over another, other than its own effect. The motivation was scientific: the author hypothesized that selecting unusual puppies would preserve allelic variation, but did not know long-term outcomes, how outlier index and average genetic relatedness would compare, how much they might outperform selection for low inbreeding, or how breed structure would influence results. All three strategies and random selection were tested under identical conditions, and the results are reported in full — including findings that complicate any single tool, such as the convergence of average genetic relatedness with outlier index and the decline of allele count under every strategy. The simulation code, founder data, and per-replicate results are provided so the analysis can be independently replicated.</w:t>
      </w:r>
    </w:p>
    <w:p>
      <w:pPr>
        <w:pStyle w:val="Heading1"/>
        <w:spacing w:after="120" w:before="240" w:line="480"/>
      </w:pPr>
      <w:r>
        <w:rPr>
          <w:rFonts w:ascii="Times New Roman" w:cs="Times New Roman" w:eastAsia="Times New Roman" w:hAnsi="Times New Roman"/>
          <w:b/>
          <w:bCs/>
          <w:sz w:val="26"/>
          <w:szCs w:val="26"/>
        </w:rPr>
        <w:t xml:space="preserve">Declaration of generative AI in scientific writing</w:t>
      </w:r>
    </w:p>
    <w:p>
      <w:pPr>
        <w:spacing w:after="120" w:line="480"/>
        <w:jc w:val="left"/>
      </w:pPr>
      <w:r>
        <w:rPr>
          <w:rFonts w:ascii="Times New Roman" w:cs="Times New Roman" w:eastAsia="Times New Roman" w:hAnsi="Times New Roman"/>
          <w:sz w:val="24"/>
          <w:szCs w:val="24"/>
        </w:rPr>
        <w:t xml:space="preserve">During the preparation of this work the author used Claude (Anthropic) to translate the author’s original PHP simulation and analysis code into Python, to run statistical analyses specified by the author, to help organize manuscript structure and arguments the author had developed and explained. All content was written or rewritten by the author. Claude also verified citations and values from source materials. All analyses were independently replicated multiple times and all outputs verified before inclusion. After using this tool, the author reviewed, re-verified and edited all of the content and takes full responsibility for the content of the published article.</w:t>
      </w:r>
    </w:p>
    <w:p>
      <w:pPr>
        <w:pStyle w:val="Heading1"/>
        <w:spacing w:after="120" w:before="240" w:line="480"/>
      </w:pPr>
      <w:r>
        <w:rPr>
          <w:rFonts w:ascii="Times New Roman" w:cs="Times New Roman" w:eastAsia="Times New Roman" w:hAnsi="Times New Roman"/>
          <w:b/>
          <w:bCs/>
          <w:sz w:val="26"/>
          <w:szCs w:val="26"/>
        </w:rPr>
        <w:t xml:space="preserve">References</w:t>
      </w:r>
    </w:p>
    <w:p>
      <w:pPr>
        <w:spacing w:after="120" w:line="480"/>
        <w:jc w:val="left"/>
      </w:pPr>
      <w:r>
        <w:rPr>
          <w:rFonts w:ascii="Times New Roman" w:cs="Times New Roman" w:eastAsia="Times New Roman" w:hAnsi="Times New Roman"/>
          <w:sz w:val="24"/>
          <w:szCs w:val="24"/>
        </w:rPr>
        <w:t xml:space="preserve">Allendorf, F. W. (1986). Genetic drift and the loss of alleles versus heterozygosity. </w:t>
      </w:r>
      <w:r>
        <w:rPr>
          <w:rFonts w:ascii="Times New Roman" w:cs="Times New Roman" w:eastAsia="Times New Roman" w:hAnsi="Times New Roman"/>
          <w:i/>
          <w:iCs/>
          <w:sz w:val="24"/>
          <w:szCs w:val="24"/>
        </w:rPr>
        <w:t xml:space="preserve">Zoo Biology</w:t>
      </w:r>
      <w:r>
        <w:rPr>
          <w:rFonts w:ascii="Times New Roman" w:cs="Times New Roman" w:eastAsia="Times New Roman" w:hAnsi="Times New Roman"/>
          <w:sz w:val="24"/>
          <w:szCs w:val="24"/>
        </w:rPr>
        <w:t xml:space="preserve">, 5(2), 181–190. doi:10.1002/zoo.1430050212</w:t>
      </w:r>
    </w:p>
    <w:p>
      <w:pPr>
        <w:spacing w:after="120" w:line="480"/>
        <w:jc w:val="left"/>
      </w:pPr>
      <w:r>
        <w:rPr>
          <w:rFonts w:ascii="Times New Roman" w:cs="Times New Roman" w:eastAsia="Times New Roman" w:hAnsi="Times New Roman"/>
          <w:sz w:val="24"/>
          <w:szCs w:val="24"/>
        </w:rPr>
        <w:t xml:space="preserve">Allendorf, F. W., Hössjer, O., &amp; Ryman, N. (2024). What does effective population size tell us about loss of allelic variation?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17, e13733. doi:10.1111/eva.13733</w:t>
      </w:r>
    </w:p>
    <w:p>
      <w:pPr>
        <w:spacing w:after="120" w:line="480"/>
        <w:jc w:val="left"/>
      </w:pPr>
      <w:r>
        <w:rPr>
          <w:rFonts w:ascii="Times New Roman" w:cs="Times New Roman" w:eastAsia="Times New Roman" w:hAnsi="Times New Roman"/>
          <w:sz w:val="24"/>
          <w:szCs w:val="24"/>
        </w:rPr>
        <w:t xml:space="preserve">Amos, W., Wilmer, J. W., Fullard, K., Burg, T. M., Croxall, J. P., Bloch, D., &amp; Coulson, T. (2001). The influence of parental relatedness on reproductive success. </w:t>
      </w:r>
      <w:r>
        <w:rPr>
          <w:rFonts w:ascii="Times New Roman" w:cs="Times New Roman" w:eastAsia="Times New Roman" w:hAnsi="Times New Roman"/>
          <w:i/>
          <w:iCs/>
          <w:sz w:val="24"/>
          <w:szCs w:val="24"/>
        </w:rPr>
        <w:t xml:space="preserve">Proceedings of the Royal Society B</w:t>
      </w:r>
      <w:r>
        <w:rPr>
          <w:rFonts w:ascii="Times New Roman" w:cs="Times New Roman" w:eastAsia="Times New Roman" w:hAnsi="Times New Roman"/>
          <w:sz w:val="24"/>
          <w:szCs w:val="24"/>
        </w:rPr>
        <w:t xml:space="preserve">, 268(1480), 2021–2027.</w:t>
      </w:r>
    </w:p>
    <w:p>
      <w:pPr>
        <w:spacing w:after="120" w:line="480"/>
        <w:jc w:val="left"/>
      </w:pPr>
      <w:r>
        <w:rPr>
          <w:rFonts w:ascii="Times New Roman" w:cs="Times New Roman" w:eastAsia="Times New Roman" w:hAnsi="Times New Roman"/>
          <w:sz w:val="24"/>
          <w:szCs w:val="24"/>
        </w:rPr>
        <w:t xml:space="preserve">Ballou, J. D., &amp; Lacy, R. C. (1995). Identifying genetically important individuals for management of genetic variation in pedigreed populations. In J. D. Ballou, M. Gilpin, &amp; T. J. Foose (Eds.), </w:t>
      </w:r>
      <w:r>
        <w:rPr>
          <w:rFonts w:ascii="Times New Roman" w:cs="Times New Roman" w:eastAsia="Times New Roman" w:hAnsi="Times New Roman"/>
          <w:i/>
          <w:iCs/>
          <w:sz w:val="24"/>
          <w:szCs w:val="24"/>
        </w:rPr>
        <w:t xml:space="preserve">Population management for survival and recovery: Analytical methods and strategies in small population conservation</w:t>
      </w:r>
      <w:r>
        <w:rPr>
          <w:rFonts w:ascii="Times New Roman" w:cs="Times New Roman" w:eastAsia="Times New Roman" w:hAnsi="Times New Roman"/>
          <w:sz w:val="24"/>
          <w:szCs w:val="24"/>
        </w:rPr>
        <w:t xml:space="preserve"> (pp. 76–111). Columbia University Press.</w:t>
      </w:r>
    </w:p>
    <w:p>
      <w:pPr>
        <w:spacing w:after="120" w:line="480"/>
        <w:jc w:val="left"/>
      </w:pPr>
      <w:r>
        <w:rPr>
          <w:rFonts w:ascii="Times New Roman" w:cs="Times New Roman" w:eastAsia="Times New Roman" w:hAnsi="Times New Roman"/>
          <w:sz w:val="24"/>
          <w:szCs w:val="24"/>
        </w:rPr>
        <w:t xml:space="preserve">Bannasch, D., Famula, T., Donner, J., Anderson, H., Honkanen, L., Batcher, K., Safra, N., Thomasy, S., &amp; Rebhun, R. (2021). The effect of inbreeding, body size and morphology on health in dog breeds.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8, 12. doi:10.1186/s40575-021-00111-4</w:t>
      </w:r>
    </w:p>
    <w:p>
      <w:pPr>
        <w:spacing w:after="120" w:line="480"/>
        <w:jc w:val="left"/>
      </w:pPr>
      <w:r>
        <w:rPr>
          <w:rFonts w:ascii="Times New Roman" w:cs="Times New Roman" w:eastAsia="Times New Roman" w:hAnsi="Times New Roman"/>
          <w:sz w:val="24"/>
          <w:szCs w:val="24"/>
        </w:rPr>
        <w:t xml:space="preserve">Bellone, R. R., Hoff, J., Spier, H., Dini, P., &amp; Avila, F. (2026). Genetic diversity in domestic horses: Temporal patterns, the influence of assisted reproductive technologies, and implications for the American Quarter Horse. </w:t>
      </w:r>
      <w:r>
        <w:rPr>
          <w:rFonts w:ascii="Times New Roman" w:cs="Times New Roman" w:eastAsia="Times New Roman" w:hAnsi="Times New Roman"/>
          <w:i/>
          <w:iCs/>
          <w:sz w:val="24"/>
          <w:szCs w:val="24"/>
        </w:rPr>
        <w:t xml:space="preserve">Journal of Equine Veterinary Science</w:t>
      </w:r>
      <w:r>
        <w:rPr>
          <w:rFonts w:ascii="Times New Roman" w:cs="Times New Roman" w:eastAsia="Times New Roman" w:hAnsi="Times New Roman"/>
          <w:sz w:val="24"/>
          <w:szCs w:val="24"/>
        </w:rPr>
        <w:t xml:space="preserve">, 164, 106072. doi:10.1016/j.jevs.2026.106072</w:t>
      </w:r>
    </w:p>
    <w:p>
      <w:pPr>
        <w:spacing w:after="120" w:line="480"/>
        <w:jc w:val="left"/>
      </w:pPr>
      <w:r>
        <w:rPr>
          <w:rFonts w:ascii="Times New Roman" w:cs="Times New Roman" w:eastAsia="Times New Roman" w:hAnsi="Times New Roman"/>
          <w:sz w:val="24"/>
          <w:szCs w:val="24"/>
        </w:rPr>
        <w:t xml:space="preserve">Brambilla, A., Keller, L., Bassano, B., &amp; Grossen, C. (2018). Heterozygosity–fitness correlation at the major histocompatibility complex despite low variation in Alpine ibex (</w:t>
      </w:r>
      <w:r>
        <w:rPr>
          <w:rFonts w:ascii="Times New Roman" w:cs="Times New Roman" w:eastAsia="Times New Roman" w:hAnsi="Times New Roman"/>
          <w:i/>
          <w:iCs/>
          <w:sz w:val="24"/>
          <w:szCs w:val="24"/>
        </w:rPr>
        <w:t xml:space="preserve">Capra ibex</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11(5), 631–644. doi:10.1111/eva.12575</w:t>
      </w:r>
    </w:p>
    <w:p>
      <w:pPr>
        <w:spacing w:after="120" w:line="480"/>
        <w:jc w:val="left"/>
      </w:pPr>
      <w:r>
        <w:rPr>
          <w:rFonts w:ascii="Times New Roman" w:cs="Times New Roman" w:eastAsia="Times New Roman" w:hAnsi="Times New Roman"/>
          <w:sz w:val="24"/>
          <w:szCs w:val="24"/>
        </w:rPr>
        <w:t xml:space="preserve">Caballero, A., &amp; García-Dorado, A. (2013). Allelic diversity and its implications for the rate of adaptation.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195(4), 1373–1384.</w:t>
      </w:r>
    </w:p>
    <w:p>
      <w:pPr>
        <w:spacing w:after="120" w:line="480"/>
        <w:jc w:val="left"/>
      </w:pPr>
      <w:r>
        <w:rPr>
          <w:rFonts w:ascii="Times New Roman" w:cs="Times New Roman" w:eastAsia="Times New Roman" w:hAnsi="Times New Roman"/>
          <w:sz w:val="24"/>
          <w:szCs w:val="24"/>
        </w:rPr>
        <w:t xml:space="preserve">Chu, E. T., Simpson, M. J., Diehl, K., Page, R. L., Sams, A. J., &amp; Boyko, A. R. (2019). Inbreeding depression causes reduced fecundity in Golden Retrievers. </w:t>
      </w:r>
      <w:r>
        <w:rPr>
          <w:rFonts w:ascii="Times New Roman" w:cs="Times New Roman" w:eastAsia="Times New Roman" w:hAnsi="Times New Roman"/>
          <w:i/>
          <w:iCs/>
          <w:sz w:val="24"/>
          <w:szCs w:val="24"/>
        </w:rPr>
        <w:t xml:space="preserve">Mammalian Genome</w:t>
      </w:r>
      <w:r>
        <w:rPr>
          <w:rFonts w:ascii="Times New Roman" w:cs="Times New Roman" w:eastAsia="Times New Roman" w:hAnsi="Times New Roman"/>
          <w:sz w:val="24"/>
          <w:szCs w:val="24"/>
        </w:rPr>
        <w:t xml:space="preserve">, 30(5–6), 166–172. doi:10.1007/s00335-019-09805-4</w:t>
      </w:r>
    </w:p>
    <w:p>
      <w:pPr>
        <w:spacing w:after="120" w:line="480"/>
        <w:jc w:val="left"/>
      </w:pPr>
      <w:r>
        <w:rPr>
          <w:rFonts w:ascii="Times New Roman" w:cs="Times New Roman" w:eastAsia="Times New Roman" w:hAnsi="Times New Roman"/>
          <w:sz w:val="24"/>
          <w:szCs w:val="24"/>
        </w:rPr>
        <w:t xml:space="preserve">Fernández, J., Toro, M. A., &amp; Caballero, A. (2004). Managing individuals’ contributions to maximize the allelic diversity maintained in small, conserved populations. </w:t>
      </w:r>
      <w:r>
        <w:rPr>
          <w:rFonts w:ascii="Times New Roman" w:cs="Times New Roman" w:eastAsia="Times New Roman" w:hAnsi="Times New Roman"/>
          <w:i/>
          <w:iCs/>
          <w:sz w:val="24"/>
          <w:szCs w:val="24"/>
        </w:rPr>
        <w:t xml:space="preserve">Conservation Biology</w:t>
      </w:r>
      <w:r>
        <w:rPr>
          <w:rFonts w:ascii="Times New Roman" w:cs="Times New Roman" w:eastAsia="Times New Roman" w:hAnsi="Times New Roman"/>
          <w:sz w:val="24"/>
          <w:szCs w:val="24"/>
        </w:rPr>
        <w:t xml:space="preserve">, 18(5), 1358–1367. doi:10.1111/j.1523-1739.2004.00341.x</w:t>
      </w:r>
    </w:p>
    <w:p>
      <w:pPr>
        <w:spacing w:after="120" w:line="480"/>
        <w:jc w:val="left"/>
      </w:pPr>
      <w:r>
        <w:rPr>
          <w:rFonts w:ascii="Times New Roman" w:cs="Times New Roman" w:eastAsia="Times New Roman" w:hAnsi="Times New Roman"/>
          <w:sz w:val="24"/>
          <w:szCs w:val="24"/>
        </w:rPr>
        <w:t xml:space="preserve">Gómez-Romano, F., Villanueva, B., Rodríguez de Cara, M. Á., &amp; Fernández, J. (2013). Maintaining genetic diversity using molecular coancestry: the effect of marker density and effective population size. </w:t>
      </w:r>
      <w:r>
        <w:rPr>
          <w:rFonts w:ascii="Times New Roman" w:cs="Times New Roman" w:eastAsia="Times New Roman" w:hAnsi="Times New Roman"/>
          <w:i/>
          <w:iCs/>
          <w:sz w:val="24"/>
          <w:szCs w:val="24"/>
        </w:rPr>
        <w:t xml:space="preserve">Genetics Selection Evolution</w:t>
      </w:r>
      <w:r>
        <w:rPr>
          <w:rFonts w:ascii="Times New Roman" w:cs="Times New Roman" w:eastAsia="Times New Roman" w:hAnsi="Times New Roman"/>
          <w:sz w:val="24"/>
          <w:szCs w:val="24"/>
        </w:rPr>
        <w:t xml:space="preserve">, 45, 38. doi:10.1186/1297-9686-45-38</w:t>
      </w:r>
    </w:p>
    <w:p>
      <w:pPr>
        <w:spacing w:after="120" w:line="480"/>
        <w:jc w:val="left"/>
      </w:pPr>
      <w:r>
        <w:rPr>
          <w:rFonts w:ascii="Times New Roman" w:cs="Times New Roman" w:eastAsia="Times New Roman" w:hAnsi="Times New Roman"/>
          <w:sz w:val="24"/>
          <w:szCs w:val="24"/>
        </w:rPr>
        <w:t xml:space="preserve">Hedrick, P. W., &amp; Lacy, R. C. (2015). Measuring relatedness between inbred individuals.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106(1), 20–25. doi:10.1093/jhered/esu072</w:t>
      </w:r>
    </w:p>
    <w:p>
      <w:pPr>
        <w:spacing w:after="120" w:line="480"/>
        <w:jc w:val="left"/>
      </w:pPr>
      <w:r>
        <w:rPr>
          <w:rFonts w:ascii="Times New Roman" w:cs="Times New Roman" w:eastAsia="Times New Roman" w:hAnsi="Times New Roman"/>
          <w:sz w:val="24"/>
          <w:szCs w:val="24"/>
        </w:rPr>
        <w:t xml:space="preserve">Hervey, S. D., vonHoldt, B. M., Romanski, M. C., Wheeldon, T. J., Patterson, B. R., &amp; Brzeski, K. E. (2025). Development of a noninvasive Genotyping-in-Thousands (GTseq) panel for long-term conservation of Western Great Lakes gray wolves (Canis lupus). </w:t>
      </w:r>
      <w:r>
        <w:rPr>
          <w:rFonts w:ascii="Times New Roman" w:cs="Times New Roman" w:eastAsia="Times New Roman" w:hAnsi="Times New Roman"/>
          <w:i/>
          <w:iCs/>
          <w:sz w:val="24"/>
          <w:szCs w:val="24"/>
        </w:rPr>
        <w:t xml:space="preserve">Ecology and Evolution</w:t>
      </w:r>
      <w:r>
        <w:rPr>
          <w:rFonts w:ascii="Times New Roman" w:cs="Times New Roman" w:eastAsia="Times New Roman" w:hAnsi="Times New Roman"/>
          <w:sz w:val="24"/>
          <w:szCs w:val="24"/>
        </w:rPr>
        <w:t xml:space="preserve">, 15, e71240. doi:10.1002/ece3.71240</w:t>
      </w:r>
    </w:p>
    <w:p>
      <w:pPr>
        <w:spacing w:after="120" w:line="480"/>
        <w:jc w:val="left"/>
      </w:pPr>
      <w:r>
        <w:rPr>
          <w:rFonts w:ascii="Times New Roman" w:cs="Times New Roman" w:eastAsia="Times New Roman" w:hAnsi="Times New Roman"/>
          <w:sz w:val="24"/>
          <w:szCs w:val="24"/>
        </w:rPr>
        <w:t xml:space="preserve">Hoban, S. M., Forester, B. R., Gargiulo, R., Koontz, A. C., Mastretta-Yanes, A., Mergeay, J., Paz-Vinas, I., Coalition for Conservation Genetics, &amp; Laikre, L. (2026). Ne does not provide sufficient information on allelic variation: Suggestions to fill the gap.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19(3), e70219. doi:10.1111/eva.70219</w:t>
      </w:r>
    </w:p>
    <w:p>
      <w:pPr>
        <w:spacing w:after="120" w:line="480"/>
        <w:jc w:val="left"/>
      </w:pPr>
      <w:r>
        <w:rPr>
          <w:rFonts w:ascii="Times New Roman" w:cs="Times New Roman" w:eastAsia="Times New Roman" w:hAnsi="Times New Roman"/>
          <w:sz w:val="24"/>
          <w:szCs w:val="24"/>
        </w:rPr>
        <w:t xml:space="preserve">Kardos, M., Armstrong, E. E., Fitzpatrick, S. W., Hauser, S., Hedrick, P. W., Miller, J. M., Tallmon, D. A., &amp; Funk, W. C. (2021). The crucial role of genome-wide genetic variation in conservation.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118(48), e2104642118. doi:10.1073/pnas.2104642118</w:t>
      </w:r>
    </w:p>
    <w:p>
      <w:pPr>
        <w:spacing w:after="120" w:line="480"/>
        <w:jc w:val="left"/>
      </w:pPr>
      <w:r>
        <w:rPr>
          <w:rFonts w:ascii="Times New Roman" w:cs="Times New Roman" w:eastAsia="Times New Roman" w:hAnsi="Times New Roman"/>
          <w:sz w:val="24"/>
          <w:szCs w:val="24"/>
        </w:rPr>
        <w:t xml:space="preserve">Kinghorn, B., &amp; Kinghorn, A. (2023). Management of diversity and inbreeding when importing new stock into an inbred population. </w:t>
      </w:r>
      <w:r>
        <w:rPr>
          <w:rFonts w:ascii="Times New Roman" w:cs="Times New Roman" w:eastAsia="Times New Roman" w:hAnsi="Times New Roman"/>
          <w:i/>
          <w:iCs/>
          <w:sz w:val="24"/>
          <w:szCs w:val="24"/>
        </w:rPr>
        <w:t xml:space="preserve">Journal of Heredity</w:t>
      </w:r>
      <w:r>
        <w:rPr>
          <w:rFonts w:ascii="Times New Roman" w:cs="Times New Roman" w:eastAsia="Times New Roman" w:hAnsi="Times New Roman"/>
          <w:sz w:val="24"/>
          <w:szCs w:val="24"/>
        </w:rPr>
        <w:t xml:space="preserve">, 114(5), 492–503. doi:10.1093/jhered/esad027</w:t>
      </w:r>
    </w:p>
    <w:p>
      <w:pPr>
        <w:spacing w:after="120" w:line="480"/>
        <w:jc w:val="left"/>
      </w:pPr>
      <w:r>
        <w:rPr>
          <w:rFonts w:ascii="Times New Roman" w:cs="Times New Roman" w:eastAsia="Times New Roman" w:hAnsi="Times New Roman"/>
          <w:sz w:val="24"/>
          <w:szCs w:val="24"/>
        </w:rPr>
        <w:t xml:space="preserve">Lacy, R. C. (1993). VORTEX: A computer simulation model for population viability analysis. </w:t>
      </w:r>
      <w:r>
        <w:rPr>
          <w:rFonts w:ascii="Times New Roman" w:cs="Times New Roman" w:eastAsia="Times New Roman" w:hAnsi="Times New Roman"/>
          <w:i/>
          <w:iCs/>
          <w:sz w:val="24"/>
          <w:szCs w:val="24"/>
        </w:rPr>
        <w:t xml:space="preserve">Wildlife Research</w:t>
      </w:r>
      <w:r>
        <w:rPr>
          <w:rFonts w:ascii="Times New Roman" w:cs="Times New Roman" w:eastAsia="Times New Roman" w:hAnsi="Times New Roman"/>
          <w:sz w:val="24"/>
          <w:szCs w:val="24"/>
        </w:rPr>
        <w:t xml:space="preserve">, 20(1), 45–65.</w:t>
      </w:r>
    </w:p>
    <w:p>
      <w:pPr>
        <w:spacing w:after="120" w:line="480"/>
        <w:jc w:val="left"/>
      </w:pPr>
      <w:r>
        <w:rPr>
          <w:rFonts w:ascii="Times New Roman" w:cs="Times New Roman" w:eastAsia="Times New Roman" w:hAnsi="Times New Roman"/>
          <w:sz w:val="24"/>
          <w:szCs w:val="24"/>
        </w:rPr>
        <w:t xml:space="preserve">Lacy, R. C., &amp; Pollak, J. P. (2014). VORTEX: A stochastic simulation of the extinction process. Version 10.0. Chicago Zoological Society, Brookfield, Illinois.</w:t>
      </w:r>
    </w:p>
    <w:p>
      <w:pPr>
        <w:spacing w:after="120" w:line="480"/>
        <w:jc w:val="left"/>
      </w:pPr>
      <w:r>
        <w:rPr>
          <w:rFonts w:ascii="Times New Roman" w:cs="Times New Roman" w:eastAsia="Times New Roman" w:hAnsi="Times New Roman"/>
          <w:sz w:val="24"/>
          <w:szCs w:val="24"/>
        </w:rPr>
        <w:t xml:space="preserve">Leroy, G. (2011). Genetic diversity, inbreeding and breeding practices in dogs: results from pedigree analyses. </w:t>
      </w:r>
      <w:r>
        <w:rPr>
          <w:rFonts w:ascii="Times New Roman" w:cs="Times New Roman" w:eastAsia="Times New Roman" w:hAnsi="Times New Roman"/>
          <w:i/>
          <w:iCs/>
          <w:sz w:val="24"/>
          <w:szCs w:val="24"/>
        </w:rPr>
        <w:t xml:space="preserve">The Veterinary Journal</w:t>
      </w:r>
      <w:r>
        <w:rPr>
          <w:rFonts w:ascii="Times New Roman" w:cs="Times New Roman" w:eastAsia="Times New Roman" w:hAnsi="Times New Roman"/>
          <w:sz w:val="24"/>
          <w:szCs w:val="24"/>
        </w:rPr>
        <w:t xml:space="preserve">, 189(2), 177–182. doi:10.1016/j.tvjl.2011.06.016</w:t>
      </w:r>
    </w:p>
    <w:p>
      <w:pPr>
        <w:spacing w:after="120" w:line="480"/>
        <w:jc w:val="left"/>
      </w:pPr>
      <w:r>
        <w:rPr>
          <w:rFonts w:ascii="Times New Roman" w:cs="Times New Roman" w:eastAsia="Times New Roman" w:hAnsi="Times New Roman"/>
          <w:sz w:val="24"/>
          <w:szCs w:val="24"/>
        </w:rPr>
        <w:t xml:space="preserve">Lewis, T. W., Abhayaratne, B. M., &amp; Blott, S. C. (2015). Trends in genetic diversity for all Kennel Club registered pedigree dog breeds.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13. doi:10.1186/s40575-015-0027-4</w:t>
      </w:r>
    </w:p>
    <w:p>
      <w:pPr>
        <w:spacing w:after="120" w:line="480"/>
        <w:jc w:val="left"/>
      </w:pPr>
      <w:r>
        <w:rPr>
          <w:rFonts w:ascii="Times New Roman" w:cs="Times New Roman" w:eastAsia="Times New Roman" w:hAnsi="Times New Roman"/>
          <w:sz w:val="24"/>
          <w:szCs w:val="24"/>
        </w:rPr>
        <w:t xml:space="preserve">Marsden, C. D., Ortega-Del Vecchyo, D., O’Brien, D. P., Taylor, J. F., Ramirez, O., Vilà, C., Marques-Bonet, T., Schnabel, R. D., Wayne, R. K., &amp; Lohmueller, K. E. (2016). Bottlenecks and selective sweeps during domestication have increased deleterious genetic variation in dogs.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113(1), 152–157. doi:10.1073/pnas.1512501113</w:t>
      </w:r>
    </w:p>
    <w:p>
      <w:pPr>
        <w:spacing w:after="120" w:line="480"/>
        <w:jc w:val="left"/>
      </w:pPr>
      <w:r>
        <w:rPr>
          <w:rFonts w:ascii="Times New Roman" w:cs="Times New Roman" w:eastAsia="Times New Roman" w:hAnsi="Times New Roman"/>
          <w:sz w:val="24"/>
          <w:szCs w:val="24"/>
        </w:rPr>
        <w:t xml:space="preserve">Nicholas, F. W., Mellersh, C., Lewis, T., Pedersen, N. C., Shope, B., &amp; Liu, H. (2018). Letter to the editor regarding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5, 4. doi:10.1186/s40575-018-0059-7</w:t>
      </w:r>
    </w:p>
    <w:p>
      <w:pPr>
        <w:spacing w:after="120" w:line="480"/>
        <w:jc w:val="left"/>
      </w:pPr>
      <w:r>
        <w:rPr>
          <w:rFonts w:ascii="Times New Roman" w:cs="Times New Roman" w:eastAsia="Times New Roman" w:hAnsi="Times New Roman"/>
          <w:sz w:val="24"/>
          <w:szCs w:val="24"/>
        </w:rPr>
        <w:t xml:space="preserve">Pedersen, N. C., Liu, H., Greenfield, D. L., &amp; Echols, L. G. (2012). Multiple autoimmune diseases syndrome in Italian Greyhounds: Preliminary studies of genome-wide diversity and possible associations within the dog leukocyte antigen (DLA) complex. </w:t>
      </w:r>
      <w:r>
        <w:rPr>
          <w:rFonts w:ascii="Times New Roman" w:cs="Times New Roman" w:eastAsia="Times New Roman" w:hAnsi="Times New Roman"/>
          <w:i/>
          <w:iCs/>
          <w:sz w:val="24"/>
          <w:szCs w:val="24"/>
        </w:rPr>
        <w:t xml:space="preserve">Veterinary Immunology and Immunopathology</w:t>
      </w:r>
      <w:r>
        <w:rPr>
          <w:rFonts w:ascii="Times New Roman" w:cs="Times New Roman" w:eastAsia="Times New Roman" w:hAnsi="Times New Roman"/>
          <w:sz w:val="24"/>
          <w:szCs w:val="24"/>
        </w:rPr>
        <w:t xml:space="preserve">, 145(1–2), 264–276.</w:t>
      </w:r>
    </w:p>
    <w:p>
      <w:pPr>
        <w:spacing w:after="120" w:line="480"/>
        <w:jc w:val="left"/>
      </w:pPr>
      <w:r>
        <w:rPr>
          <w:rFonts w:ascii="Times New Roman" w:cs="Times New Roman" w:eastAsia="Times New Roman" w:hAnsi="Times New Roman"/>
          <w:sz w:val="24"/>
          <w:szCs w:val="24"/>
        </w:rPr>
        <w:t xml:space="preserve">Pedersen, N. C., Brucker, L., Tessier, N. G., Liu, H., Penedo, M. C. T., Hughes, S., Oberbauer, A., &amp; Sacks, B. (2015). The effect of genetic bottlenecks and inbreeding on the incidence of two major autoimmune diseases in standard poodles, sebaceous adenitis and Addison’s disease.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2, 14.</w:t>
      </w:r>
    </w:p>
    <w:p>
      <w:pPr>
        <w:spacing w:after="120" w:line="480"/>
        <w:jc w:val="left"/>
      </w:pPr>
      <w:r>
        <w:rPr>
          <w:rFonts w:ascii="Times New Roman" w:cs="Times New Roman" w:eastAsia="Times New Roman" w:hAnsi="Times New Roman"/>
          <w:sz w:val="24"/>
          <w:szCs w:val="24"/>
        </w:rPr>
        <w:t xml:space="preserve">Pedersen, N. C., Shope, B., &amp; Liu, H. (2017). An autosomal recessive mutation in SCL24A4 causing enamel hypoplasia in Samoyed and its relationship to breed-wide genetic diversity. </w:t>
      </w:r>
      <w:r>
        <w:rPr>
          <w:rFonts w:ascii="Times New Roman" w:cs="Times New Roman" w:eastAsia="Times New Roman" w:hAnsi="Times New Roman"/>
          <w:i/>
          <w:iCs/>
          <w:sz w:val="24"/>
          <w:szCs w:val="24"/>
        </w:rPr>
        <w:t xml:space="preserve">Canine Genetics and Epidemiology</w:t>
      </w:r>
      <w:r>
        <w:rPr>
          <w:rFonts w:ascii="Times New Roman" w:cs="Times New Roman" w:eastAsia="Times New Roman" w:hAnsi="Times New Roman"/>
          <w:sz w:val="24"/>
          <w:szCs w:val="24"/>
        </w:rPr>
        <w:t xml:space="preserve">, 4, 11. doi:10.1186/s40575-017-0049-1</w:t>
      </w:r>
    </w:p>
    <w:p>
      <w:pPr>
        <w:spacing w:after="120" w:line="480"/>
        <w:jc w:val="left"/>
      </w:pPr>
      <w:r>
        <w:rPr>
          <w:rFonts w:ascii="Times New Roman" w:cs="Times New Roman" w:eastAsia="Times New Roman" w:hAnsi="Times New Roman"/>
          <w:sz w:val="24"/>
          <w:szCs w:val="24"/>
        </w:rPr>
        <w:t xml:space="preserve">Peng, B., &amp; Kimmel, M. (2005). simuPOP: a forward-time population genetics simulation environment. </w:t>
      </w:r>
      <w:r>
        <w:rPr>
          <w:rFonts w:ascii="Times New Roman" w:cs="Times New Roman" w:eastAsia="Times New Roman" w:hAnsi="Times New Roman"/>
          <w:i/>
          <w:iCs/>
          <w:sz w:val="24"/>
          <w:szCs w:val="24"/>
        </w:rPr>
        <w:t xml:space="preserve">Bioinformatics</w:t>
      </w:r>
      <w:r>
        <w:rPr>
          <w:rFonts w:ascii="Times New Roman" w:cs="Times New Roman" w:eastAsia="Times New Roman" w:hAnsi="Times New Roman"/>
          <w:sz w:val="24"/>
          <w:szCs w:val="24"/>
        </w:rPr>
        <w:t xml:space="preserve">, 21(18), 3686–3687.</w:t>
      </w:r>
    </w:p>
    <w:p>
      <w:pPr>
        <w:spacing w:after="120" w:line="480"/>
        <w:jc w:val="left"/>
      </w:pPr>
      <w:r>
        <w:rPr>
          <w:rFonts w:ascii="Times New Roman" w:cs="Times New Roman" w:eastAsia="Times New Roman" w:hAnsi="Times New Roman"/>
          <w:sz w:val="24"/>
          <w:szCs w:val="24"/>
        </w:rPr>
        <w:t xml:space="preserve">Proschowsky, H. F., &amp; Arendt, M. L. (2025). A new future for dog breeding. </w:t>
      </w:r>
      <w:r>
        <w:rPr>
          <w:rFonts w:ascii="Times New Roman" w:cs="Times New Roman" w:eastAsia="Times New Roman" w:hAnsi="Times New Roman"/>
          <w:i/>
          <w:iCs/>
          <w:sz w:val="24"/>
          <w:szCs w:val="24"/>
        </w:rPr>
        <w:t xml:space="preserve">Animal Welfare</w:t>
      </w:r>
      <w:r>
        <w:rPr>
          <w:rFonts w:ascii="Times New Roman" w:cs="Times New Roman" w:eastAsia="Times New Roman" w:hAnsi="Times New Roman"/>
          <w:sz w:val="24"/>
          <w:szCs w:val="24"/>
        </w:rPr>
        <w:t xml:space="preserve">, 34, e6. doi:10.1017/awf.2024.66</w:t>
      </w:r>
    </w:p>
    <w:p>
      <w:pPr>
        <w:spacing w:after="120" w:line="480"/>
        <w:jc w:val="left"/>
      </w:pPr>
      <w:r>
        <w:rPr>
          <w:rFonts w:ascii="Times New Roman" w:cs="Times New Roman" w:eastAsia="Times New Roman" w:hAnsi="Times New Roman"/>
          <w:sz w:val="24"/>
          <w:szCs w:val="24"/>
        </w:rPr>
        <w:t xml:space="preserve">Sams, A. J., &amp; Boyko, A. R. (2019). Fine-scale resolution of runs of homozygosity reveal patterns of inbreeding and substantial overlap with recessive disease genotypes in domestic dogs. </w:t>
      </w:r>
      <w:r>
        <w:rPr>
          <w:rFonts w:ascii="Times New Roman" w:cs="Times New Roman" w:eastAsia="Times New Roman" w:hAnsi="Times New Roman"/>
          <w:i/>
          <w:iCs/>
          <w:sz w:val="24"/>
          <w:szCs w:val="24"/>
        </w:rPr>
        <w:t xml:space="preserve">G3: Genes, Genomes, Genetics</w:t>
      </w:r>
      <w:r>
        <w:rPr>
          <w:rFonts w:ascii="Times New Roman" w:cs="Times New Roman" w:eastAsia="Times New Roman" w:hAnsi="Times New Roman"/>
          <w:sz w:val="24"/>
          <w:szCs w:val="24"/>
        </w:rPr>
        <w:t xml:space="preserve">, 9(1), 117–123. doi:10.1534/g3.118.200836</w:t>
      </w:r>
    </w:p>
    <w:p>
      <w:pPr>
        <w:spacing w:after="120" w:line="480"/>
        <w:jc w:val="left"/>
      </w:pPr>
      <w:r>
        <w:rPr>
          <w:rFonts w:ascii="Times New Roman" w:cs="Times New Roman" w:eastAsia="Times New Roman" w:hAnsi="Times New Roman"/>
          <w:sz w:val="24"/>
          <w:szCs w:val="24"/>
        </w:rPr>
        <w:t xml:space="preserve">Sams, A. J., Ford, B., Gardner, A., &amp; Boyko, A. R. (2020). Examination of the efficacy of small genetic panels in genomic conservation of companion animal populations. </w:t>
      </w:r>
      <w:r>
        <w:rPr>
          <w:rFonts w:ascii="Times New Roman" w:cs="Times New Roman" w:eastAsia="Times New Roman" w:hAnsi="Times New Roman"/>
          <w:i/>
          <w:iCs/>
          <w:sz w:val="24"/>
          <w:szCs w:val="24"/>
        </w:rPr>
        <w:t xml:space="preserve">Evolutionary Applications</w:t>
      </w:r>
      <w:r>
        <w:rPr>
          <w:rFonts w:ascii="Times New Roman" w:cs="Times New Roman" w:eastAsia="Times New Roman" w:hAnsi="Times New Roman"/>
          <w:sz w:val="24"/>
          <w:szCs w:val="24"/>
        </w:rPr>
        <w:t xml:space="preserve">, 13(10), 2555–2565. doi:10.1111/eva.13038</w:t>
      </w:r>
    </w:p>
    <w:p>
      <w:pPr>
        <w:spacing w:after="120" w:line="480"/>
        <w:jc w:val="left"/>
      </w:pPr>
      <w:r>
        <w:rPr>
          <w:rFonts w:ascii="Times New Roman" w:cs="Times New Roman" w:eastAsia="Times New Roman" w:hAnsi="Times New Roman"/>
          <w:sz w:val="24"/>
          <w:szCs w:val="24"/>
        </w:rPr>
        <w:t xml:space="preserve">Shannon, L. M., Boyko, R. H., Castelhano, M., Corey, E., Hayward, J. J., McLean, C., White, M. E., Abi Said, M., Anita, B. A., Bondjengo, N. I., Calero, J., Galov, A., Hedimbi, M., Imam, B., Khalap, R., Lally, D., Masta, A., Oliveira, K. C., Pérez, L., Randall, J., Tam, N. M., Trujillo-Cornejo, F. J., Valeriano, C., Sutter, N. B., Todhunter, R. J., Bustamante, C. D., &amp; Boyko, A. R. (2015). Genetic structure in village dogs reveals a Central Asian domestication origin.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112(44), 13639–13644. doi:10.1073/pnas.1516215112</w:t>
      </w:r>
    </w:p>
    <w:p>
      <w:pPr>
        <w:spacing w:after="120" w:line="480"/>
        <w:jc w:val="left"/>
      </w:pPr>
      <w:r>
        <w:rPr>
          <w:rFonts w:ascii="Times New Roman" w:cs="Times New Roman" w:eastAsia="Times New Roman" w:hAnsi="Times New Roman"/>
          <w:sz w:val="24"/>
          <w:szCs w:val="24"/>
        </w:rPr>
        <w:t xml:space="preserve">Stronen, A. V., Salmela, E., Baldursdóttir, B. K., Berg, P., Espelien, I. S., Järvi, K., Jensen, H., Kristensen, T. N., Melis, C., Manenti, T., Lohi, H., &amp; Pertoldi, C. (2017). Genetic rescue of an endangered domestic animal through outcrossing with closely related breeds: A case study of the Norwegian Lundehund.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12(6), e0177429. doi:10.1371/journal.pone.0177429</w:t>
      </w:r>
    </w:p>
    <w:p>
      <w:pPr>
        <w:spacing w:after="120" w:line="480"/>
        <w:jc w:val="left"/>
      </w:pPr>
      <w:r>
        <w:rPr>
          <w:rFonts w:ascii="Times New Roman" w:cs="Times New Roman" w:eastAsia="Times New Roman" w:hAnsi="Times New Roman"/>
          <w:sz w:val="24"/>
          <w:szCs w:val="24"/>
        </w:rPr>
        <w:t xml:space="preserve">Sunde, J., Yıldırım, Y., Tibblin, P., &amp; Forsman, A. (2020). Comparing the performance of microsatellites and RADseq in population genetic studies: Analysis of data for pike (</w:t>
      </w:r>
      <w:r>
        <w:rPr>
          <w:rFonts w:ascii="Times New Roman" w:cs="Times New Roman" w:eastAsia="Times New Roman" w:hAnsi="Times New Roman"/>
          <w:i/>
          <w:iCs/>
          <w:sz w:val="24"/>
          <w:szCs w:val="24"/>
        </w:rPr>
        <w:t xml:space="preserve">Esox lucius</w:t>
      </w:r>
      <w:r>
        <w:rPr>
          <w:rFonts w:ascii="Times New Roman" w:cs="Times New Roman" w:eastAsia="Times New Roman" w:hAnsi="Times New Roman"/>
          <w:sz w:val="24"/>
          <w:szCs w:val="24"/>
        </w:rPr>
        <w:t xml:space="preserve">) and a synthesis of previous studies. </w:t>
      </w:r>
      <w:r>
        <w:rPr>
          <w:rFonts w:ascii="Times New Roman" w:cs="Times New Roman" w:eastAsia="Times New Roman" w:hAnsi="Times New Roman"/>
          <w:i/>
          <w:iCs/>
          <w:sz w:val="24"/>
          <w:szCs w:val="24"/>
        </w:rPr>
        <w:t xml:space="preserve">Frontiers in Genetics</w:t>
      </w:r>
      <w:r>
        <w:rPr>
          <w:rFonts w:ascii="Times New Roman" w:cs="Times New Roman" w:eastAsia="Times New Roman" w:hAnsi="Times New Roman"/>
          <w:sz w:val="24"/>
          <w:szCs w:val="24"/>
        </w:rPr>
        <w:t xml:space="preserve">, 11, 218. doi:10.3389/fgene.2020.00218</w:t>
      </w:r>
    </w:p>
    <w:p>
      <w:pPr>
        <w:spacing w:after="120" w:line="480"/>
        <w:jc w:val="left"/>
      </w:pPr>
      <w:r>
        <w:rPr>
          <w:rFonts w:ascii="Times New Roman" w:cs="Times New Roman" w:eastAsia="Times New Roman" w:hAnsi="Times New Roman"/>
          <w:sz w:val="24"/>
          <w:szCs w:val="24"/>
        </w:rPr>
        <w:t xml:space="preserve">Sutter, N. B., Eberle, M. A., Parker, H. G., Pullar, B. J., Kirkness, E. F., Kruglyak, L., &amp; Ostrander, E. A. (2004). Extensive and breed-specific linkage disequilibrium in </w:t>
      </w:r>
      <w:r>
        <w:rPr>
          <w:rFonts w:ascii="Times New Roman" w:cs="Times New Roman" w:eastAsia="Times New Roman" w:hAnsi="Times New Roman"/>
          <w:i/>
          <w:iCs/>
          <w:sz w:val="24"/>
          <w:szCs w:val="24"/>
        </w:rPr>
        <w:t xml:space="preserve">Canis familiaris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Genome Research</w:t>
      </w:r>
      <w:r>
        <w:rPr>
          <w:rFonts w:ascii="Times New Roman" w:cs="Times New Roman" w:eastAsia="Times New Roman" w:hAnsi="Times New Roman"/>
          <w:sz w:val="24"/>
          <w:szCs w:val="24"/>
        </w:rPr>
        <w:t xml:space="preserve">, 14(12), 2388–2396. doi:10.1101/gr.3147604</w:t>
      </w:r>
    </w:p>
    <w:p>
      <w:pPr>
        <w:spacing w:after="120" w:line="480"/>
        <w:jc w:val="left"/>
      </w:pPr>
      <w:r>
        <w:rPr>
          <w:rFonts w:ascii="Times New Roman" w:cs="Times New Roman" w:eastAsia="Times New Roman" w:hAnsi="Times New Roman"/>
          <w:sz w:val="24"/>
          <w:szCs w:val="24"/>
        </w:rPr>
        <w:t xml:space="preserve">Teixeira, J. C., &amp; Huber, C. D. (2021). The inflated significance of neutral genetic diversity in conservation genetics.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118(10), e2015096118. doi:10.1073/pnas.2015096118</w:t>
      </w:r>
    </w:p>
    <w:p>
      <w:pPr>
        <w:spacing w:after="120" w:line="480"/>
        <w:jc w:val="left"/>
      </w:pPr>
      <w:r>
        <w:rPr>
          <w:rFonts w:ascii="Times New Roman" w:cs="Times New Roman" w:eastAsia="Times New Roman" w:hAnsi="Times New Roman"/>
          <w:sz w:val="24"/>
          <w:szCs w:val="24"/>
        </w:rPr>
        <w:t xml:space="preserve">Teschke, M., Mukabayire, O., Wiehe, T., &amp; Tautz, D. (2008). Identification of selective sweeps in closely related populations of the house mouse based on microsatellite scans.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180(3), 1537–1545. doi:10.1534/genetics.108.090811</w:t>
      </w:r>
    </w:p>
    <w:p>
      <w:pPr>
        <w:spacing w:after="120" w:line="480"/>
        <w:jc w:val="left"/>
      </w:pPr>
      <w:r>
        <w:rPr>
          <w:rFonts w:ascii="Times New Roman" w:cs="Times New Roman" w:eastAsia="Times New Roman" w:hAnsi="Times New Roman"/>
          <w:sz w:val="24"/>
          <w:szCs w:val="24"/>
        </w:rPr>
        <w:t xml:space="preserve">[dataset] Tessier, N. G. (2026). Data and code for: Selecting puppies for underrepresented alleles conserves genetic diversity: a forward simulation in three dog breeds. Zenodo. https://doi.org/10.5281/zenodo.22161273</w:t>
      </w:r>
    </w:p>
    <w:p>
      <w:pPr>
        <w:spacing w:after="120" w:line="480"/>
        <w:jc w:val="left"/>
      </w:pPr>
      <w:r>
        <w:rPr>
          <w:rFonts w:ascii="Times New Roman" w:cs="Times New Roman" w:eastAsia="Times New Roman" w:hAnsi="Times New Roman"/>
          <w:sz w:val="24"/>
          <w:szCs w:val="24"/>
        </w:rPr>
        <w:t xml:space="preserve">Wade, C. M., Nuttall, R., &amp; Liu, S. (2023). Comprehensive analysis of geographic and breed-purpose influences on genetic diversity and inherited disease risk in the Doberman dog breed. </w:t>
      </w:r>
      <w:r>
        <w:rPr>
          <w:rFonts w:ascii="Times New Roman" w:cs="Times New Roman" w:eastAsia="Times New Roman" w:hAnsi="Times New Roman"/>
          <w:i/>
          <w:iCs/>
          <w:sz w:val="24"/>
          <w:szCs w:val="24"/>
        </w:rPr>
        <w:t xml:space="preserve">Canine Medicine and Genetics</w:t>
      </w:r>
      <w:r>
        <w:rPr>
          <w:rFonts w:ascii="Times New Roman" w:cs="Times New Roman" w:eastAsia="Times New Roman" w:hAnsi="Times New Roman"/>
          <w:sz w:val="24"/>
          <w:szCs w:val="24"/>
        </w:rPr>
        <w:t xml:space="preserve">, 10, 7. doi:10.1186/s40575-023-00130-3</w:t>
      </w:r>
    </w:p>
    <w:p>
      <w:pPr>
        <w:spacing w:after="120" w:line="480"/>
        <w:jc w:val="left"/>
      </w:pPr>
      <w:r>
        <w:rPr>
          <w:rFonts w:ascii="Times New Roman" w:cs="Times New Roman" w:eastAsia="Times New Roman" w:hAnsi="Times New Roman"/>
          <w:sz w:val="24"/>
          <w:szCs w:val="24"/>
        </w:rPr>
        <w:t xml:space="preserve">Wang, J. (2002). An estimator for pairwise relatedness using molecular markers. </w:t>
      </w:r>
      <w:r>
        <w:rPr>
          <w:rFonts w:ascii="Times New Roman" w:cs="Times New Roman" w:eastAsia="Times New Roman" w:hAnsi="Times New Roman"/>
          <w:i/>
          <w:iCs/>
          <w:sz w:val="24"/>
          <w:szCs w:val="24"/>
        </w:rPr>
        <w:t xml:space="preserve">Genetics</w:t>
      </w:r>
      <w:r>
        <w:rPr>
          <w:rFonts w:ascii="Times New Roman" w:cs="Times New Roman" w:eastAsia="Times New Roman" w:hAnsi="Times New Roman"/>
          <w:sz w:val="24"/>
          <w:szCs w:val="24"/>
        </w:rPr>
        <w:t xml:space="preserve">, 160(3), 1203–1215.</w:t>
      </w:r>
    </w:p>
    <w:p>
      <w:pPr>
        <w:spacing w:after="120" w:line="480"/>
        <w:jc w:val="left"/>
      </w:pPr>
      <w:r>
        <w:rPr>
          <w:rFonts w:ascii="Times New Roman" w:cs="Times New Roman" w:eastAsia="Times New Roman" w:hAnsi="Times New Roman"/>
          <w:sz w:val="24"/>
          <w:szCs w:val="24"/>
        </w:rPr>
        <w:t xml:space="preserve">Wang, J., Santiago, E., &amp; Caballero, A. (2016). Prediction and estimation of effective population size. </w:t>
      </w:r>
      <w:r>
        <w:rPr>
          <w:rFonts w:ascii="Times New Roman" w:cs="Times New Roman" w:eastAsia="Times New Roman" w:hAnsi="Times New Roman"/>
          <w:i/>
          <w:iCs/>
          <w:sz w:val="24"/>
          <w:szCs w:val="24"/>
        </w:rPr>
        <w:t xml:space="preserve">Heredity</w:t>
      </w:r>
      <w:r>
        <w:rPr>
          <w:rFonts w:ascii="Times New Roman" w:cs="Times New Roman" w:eastAsia="Times New Roman" w:hAnsi="Times New Roman"/>
          <w:sz w:val="24"/>
          <w:szCs w:val="24"/>
        </w:rPr>
        <w:t xml:space="preserve">, 117(4), 193–206. doi:10.1038/hdy.2016.43</w:t>
      </w:r>
    </w:p>
    <w:p>
      <w:pPr>
        <w:spacing w:after="120" w:line="480"/>
        <w:jc w:val="left"/>
      </w:pPr>
      <w:r>
        <w:rPr>
          <w:rFonts w:ascii="Times New Roman" w:cs="Times New Roman" w:eastAsia="Times New Roman" w:hAnsi="Times New Roman"/>
          <w:sz w:val="24"/>
          <w:szCs w:val="24"/>
        </w:rPr>
        <w:t xml:space="preserve">Wictum, E., Kun, T., Lindquist, C., Malvick, J., Vankan, D., &amp; Sacks, B. (2013). Developmental validation of DogFiler, a novel multiplex for canine DNA profiling in forensic casework. </w:t>
      </w:r>
      <w:r>
        <w:rPr>
          <w:rFonts w:ascii="Times New Roman" w:cs="Times New Roman" w:eastAsia="Times New Roman" w:hAnsi="Times New Roman"/>
          <w:i/>
          <w:iCs/>
          <w:sz w:val="24"/>
          <w:szCs w:val="24"/>
        </w:rPr>
        <w:t xml:space="preserve">Forensic Science International: Genetics</w:t>
      </w:r>
      <w:r>
        <w:rPr>
          <w:rFonts w:ascii="Times New Roman" w:cs="Times New Roman" w:eastAsia="Times New Roman" w:hAnsi="Times New Roman"/>
          <w:sz w:val="24"/>
          <w:szCs w:val="24"/>
        </w:rPr>
        <w:t xml:space="preserve">, 7(1), 82–91.</w:t>
      </w:r>
    </w:p>
    <w:p>
      <w:pPr>
        <w:spacing w:after="120" w:line="480"/>
        <w:jc w:val="left"/>
      </w:pPr>
      <w:r>
        <w:rPr>
          <w:rFonts w:ascii="Times New Roman" w:cs="Times New Roman" w:eastAsia="Times New Roman" w:hAnsi="Times New Roman"/>
          <w:sz w:val="24"/>
          <w:szCs w:val="24"/>
        </w:rPr>
        <w:t xml:space="preserve">Willi, Y., Kristensen, T. N., Sgrò, C. M., Weeks, A. R., Ørsted, M., &amp; Hoffmann, A. A. (2022). Conservation genetics as a management tool: The five best-supported paradigms to assist the management of threatened species. </w:t>
      </w:r>
      <w:r>
        <w:rPr>
          <w:rFonts w:ascii="Times New Roman" w:cs="Times New Roman" w:eastAsia="Times New Roman" w:hAnsi="Times New Roman"/>
          <w:i/>
          <w:iCs/>
          <w:sz w:val="24"/>
          <w:szCs w:val="24"/>
        </w:rPr>
        <w:t xml:space="preserve">PNAS</w:t>
      </w:r>
      <w:r>
        <w:rPr>
          <w:rFonts w:ascii="Times New Roman" w:cs="Times New Roman" w:eastAsia="Times New Roman" w:hAnsi="Times New Roman"/>
          <w:sz w:val="24"/>
          <w:szCs w:val="24"/>
        </w:rPr>
        <w:t xml:space="preserve">, 119(1), e2105076119. doi:10.1073/pnas.2105076119</w:t>
      </w:r>
    </w:p>
    <w:p>
      <w:pPr>
        <w:spacing w:after="120" w:line="480"/>
        <w:jc w:val="left"/>
      </w:pPr>
      <w:r>
        <w:rPr>
          <w:rFonts w:ascii="Times New Roman" w:cs="Times New Roman" w:eastAsia="Times New Roman" w:hAnsi="Times New Roman"/>
          <w:sz w:val="24"/>
          <w:szCs w:val="24"/>
        </w:rPr>
        <w:t xml:space="preserve">Windig, J. J., &amp; Doekes, H. P. (2018). Limits to genetic rescue by outcross in pedigree dogs. </w:t>
      </w:r>
      <w:r>
        <w:rPr>
          <w:rFonts w:ascii="Times New Roman" w:cs="Times New Roman" w:eastAsia="Times New Roman" w:hAnsi="Times New Roman"/>
          <w:i/>
          <w:iCs/>
          <w:sz w:val="24"/>
          <w:szCs w:val="24"/>
        </w:rPr>
        <w:t xml:space="preserve">Journal of Animal Breeding and Genetics</w:t>
      </w:r>
      <w:r>
        <w:rPr>
          <w:rFonts w:ascii="Times New Roman" w:cs="Times New Roman" w:eastAsia="Times New Roman" w:hAnsi="Times New Roman"/>
          <w:sz w:val="24"/>
          <w:szCs w:val="24"/>
        </w:rPr>
        <w:t xml:space="preserve">, 135(3), 238–248. doi:10.1111/jbg.12330</w:t>
      </w:r>
    </w:p>
    <w:p>
      <w:pPr>
        <w:pStyle w:val="Heading1"/>
        <w:spacing w:after="120" w:before="240" w:line="480"/>
      </w:pPr>
      <w:r>
        <w:rPr>
          <w:rFonts w:ascii="Times New Roman" w:cs="Times New Roman" w:eastAsia="Times New Roman" w:hAnsi="Times New Roman"/>
          <w:b/>
          <w:bCs/>
          <w:sz w:val="26"/>
          <w:szCs w:val="26"/>
        </w:rPr>
        <w:t xml:space="preserve">Supplementary</w:t>
      </w:r>
    </w:p>
    <w:p>
      <w:pPr>
        <w:spacing w:after="120" w:line="480"/>
        <w:jc w:val="left"/>
      </w:pPr>
      <w:r>
        <w:rPr>
          <w:rFonts w:ascii="Times New Roman" w:cs="Times New Roman" w:eastAsia="Times New Roman" w:hAnsi="Times New Roman"/>
          <w:sz w:val="24"/>
          <w:szCs w:val="24"/>
        </w:rPr>
        <w:t xml:space="preserve">Supplementary Tables S1–S5 (paired Wilcoxon signed-rank, full pairwise results for average alleles per locus, expected heterozygosity, effective alleles per locus, mean population internal relatedness, and observed heterozygosity) are provided in the separate file SimStudyI_SupplementaryTables_S1-S5.xlsx. Each table reports all 18 comparisons for its outcome variable (6 strategy pairs × 3 breeds) with means, the mean paired difference, its standard deviation, replicate sign counts, the Wilcoxon statistic, and both uncorrected and Bonferroni-corrected p-values.</w:t>
      </w:r>
    </w:p>
    <w:p>
      <w:pPr>
        <w:spacing w:after="240" w:line="360"/>
      </w:pPr>
      <w:r>
        <w:rPr>
          <w:rFonts w:ascii="Times New Roman" w:cs="Times New Roman" w:eastAsia="Times New Roman" w:hAnsi="Times New Roman"/>
          <w:i/>
          <w:iCs/>
          <w:sz w:val="24"/>
          <w:szCs w:val="24"/>
        </w:rPr>
        <w:t xml:space="preserve">Supplementary Table S6. Threshold sensitivity — generation-20 means ± SD (n = 20 replicates per cell for this threshold-sensitivity analysis, distinct from the 50-replicate main study) for expected heterozygosity, effective alleles, and mean alleles per locus, under five classification windows. The standard ±25% window (T3) used throughout the study is bolded. Windows tighter than T3 produce no detectable gain; wider windows (T4, T5) incur a small effective alleles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72"/>
        <w:gridCol w:w="1872"/>
        <w:gridCol w:w="1872"/>
        <w:gridCol w:w="1872"/>
        <w:gridCol w:w="1872"/>
      </w:tblGrid>
      <w:tr>
        <w:tc>
          <w:tcPr>
            <w:tcW w:type="dxa" w:w="1872"/>
          </w:tcPr>
          <w:p>
            <w:pPr>
              <w:spacing w:line="240"/>
            </w:pPr>
            <w:r>
              <w:rPr>
                <w:rFonts w:ascii="Times New Roman" w:cs="Times New Roman" w:eastAsia="Times New Roman" w:hAnsi="Times New Roman"/>
                <w:b/>
                <w:bCs/>
                <w:sz w:val="20"/>
                <w:szCs w:val="20"/>
              </w:rPr>
              <w:t xml:space="preserve">Breed</w:t>
            </w:r>
          </w:p>
        </w:tc>
        <w:tc>
          <w:tcPr>
            <w:tcW w:type="dxa" w:w="1872"/>
          </w:tcPr>
          <w:p>
            <w:pPr>
              <w:spacing w:line="240"/>
            </w:pPr>
            <w:r>
              <w:rPr>
                <w:rFonts w:ascii="Times New Roman" w:cs="Times New Roman" w:eastAsia="Times New Roman" w:hAnsi="Times New Roman"/>
                <w:b/>
                <w:bCs/>
                <w:sz w:val="20"/>
                <w:szCs w:val="20"/>
              </w:rPr>
              <w:t xml:space="preserve">Threshold</w:t>
            </w:r>
          </w:p>
        </w:tc>
        <w:tc>
          <w:tcPr>
            <w:tcW w:type="dxa" w:w="1872"/>
          </w:tcPr>
          <w:p>
            <w:pPr>
              <w:spacing w:line="240"/>
            </w:pPr>
            <w:r>
              <w:rPr>
                <w:rFonts w:ascii="Times New Roman" w:cs="Times New Roman" w:eastAsia="Times New Roman" w:hAnsi="Times New Roman"/>
                <w:b/>
                <w:bCs/>
                <w:sz w:val="20"/>
                <w:szCs w:val="20"/>
              </w:rPr>
              <w:t xml:space="preserve">Expected heterozygosity</w:t>
            </w:r>
          </w:p>
        </w:tc>
        <w:tc>
          <w:tcPr>
            <w:tcW w:type="dxa" w:w="1872"/>
          </w:tcPr>
          <w:p>
            <w:pPr>
              <w:spacing w:line="240"/>
            </w:pPr>
            <w:r>
              <w:rPr>
                <w:rFonts w:ascii="Times New Roman" w:cs="Times New Roman" w:eastAsia="Times New Roman" w:hAnsi="Times New Roman"/>
                <w:b/>
                <w:bCs/>
                <w:sz w:val="20"/>
                <w:szCs w:val="20"/>
              </w:rPr>
              <w:t xml:space="preserve">Effective alleles</w:t>
            </w:r>
          </w:p>
        </w:tc>
        <w:tc>
          <w:tcPr>
            <w:tcW w:type="dxa" w:w="1872"/>
          </w:tcPr>
          <w:p>
            <w:pPr>
              <w:spacing w:line="240"/>
            </w:pPr>
            <w:r>
              <w:rPr>
                <w:rFonts w:ascii="Times New Roman" w:cs="Times New Roman" w:eastAsia="Times New Roman" w:hAnsi="Times New Roman"/>
                <w:b/>
                <w:bCs/>
                <w:sz w:val="20"/>
                <w:szCs w:val="20"/>
              </w:rPr>
              <w:t xml:space="preserve">Alleles per locus</w:t>
            </w:r>
          </w:p>
        </w:tc>
      </w:tr>
      <w:tr>
        <w:tc>
          <w:tcPr>
            <w:tcW w:type="dxa" w:w="1872"/>
          </w:tcPr>
          <w:p>
            <w:pPr>
              <w:spacing w:line="240"/>
            </w:pPr>
            <w:r>
              <w:rPr>
                <w:rFonts w:ascii="Times New Roman" w:cs="Times New Roman" w:eastAsia="Times New Roman" w:hAnsi="Times New Roman"/>
                <w:b w:val="false"/>
                <w:bCs w:val="false"/>
                <w:sz w:val="20"/>
                <w:szCs w:val="20"/>
              </w:rPr>
              <w:t xml:space="preserve">Standard Poodle</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0.8623 ± 0.0019</w:t>
            </w:r>
          </w:p>
        </w:tc>
        <w:tc>
          <w:tcPr>
            <w:tcW w:type="dxa" w:w="1872"/>
          </w:tcPr>
          <w:p>
            <w:pPr>
              <w:spacing w:line="240"/>
            </w:pPr>
            <w:r>
              <w:rPr>
                <w:rFonts w:ascii="Times New Roman" w:cs="Times New Roman" w:eastAsia="Times New Roman" w:hAnsi="Times New Roman"/>
                <w:b w:val="false"/>
                <w:bCs w:val="false"/>
                <w:sz w:val="20"/>
                <w:szCs w:val="20"/>
              </w:rPr>
              <w:t xml:space="preserve">7.868 ± 0.114</w:t>
            </w:r>
          </w:p>
        </w:tc>
        <w:tc>
          <w:tcPr>
            <w:tcW w:type="dxa" w:w="1872"/>
          </w:tcPr>
          <w:p>
            <w:pPr>
              <w:spacing w:line="240"/>
            </w:pPr>
            <w:r>
              <w:rPr>
                <w:rFonts w:ascii="Times New Roman" w:cs="Times New Roman" w:eastAsia="Times New Roman" w:hAnsi="Times New Roman"/>
                <w:b w:val="false"/>
                <w:bCs w:val="false"/>
                <w:sz w:val="20"/>
                <w:szCs w:val="20"/>
              </w:rPr>
              <w:t xml:space="preserve">8.048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0.8617 ± 0.0022</w:t>
            </w:r>
          </w:p>
        </w:tc>
        <w:tc>
          <w:tcPr>
            <w:tcW w:type="dxa" w:w="1872"/>
          </w:tcPr>
          <w:p>
            <w:pPr>
              <w:spacing w:line="240"/>
            </w:pPr>
            <w:r>
              <w:rPr>
                <w:rFonts w:ascii="Times New Roman" w:cs="Times New Roman" w:eastAsia="Times New Roman" w:hAnsi="Times New Roman"/>
                <w:b w:val="false"/>
                <w:bCs w:val="false"/>
                <w:sz w:val="20"/>
                <w:szCs w:val="20"/>
              </w:rPr>
              <w:t xml:space="preserve">7.861 ± 0.109</w:t>
            </w:r>
          </w:p>
        </w:tc>
        <w:tc>
          <w:tcPr>
            <w:tcW w:type="dxa" w:w="1872"/>
          </w:tcPr>
          <w:p>
            <w:pPr>
              <w:spacing w:line="240"/>
            </w:pPr>
            <w:r>
              <w:rPr>
                <w:rFonts w:ascii="Times New Roman" w:cs="Times New Roman" w:eastAsia="Times New Roman" w:hAnsi="Times New Roman"/>
                <w:b w:val="false"/>
                <w:bCs w:val="false"/>
                <w:sz w:val="20"/>
                <w:szCs w:val="20"/>
              </w:rPr>
              <w:t xml:space="preserve">8.041 ± 0.122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0.8617 ± 0.0024</w:t>
            </w:r>
          </w:p>
        </w:tc>
        <w:tc>
          <w:tcPr>
            <w:tcW w:type="dxa" w:w="1872"/>
          </w:tcPr>
          <w:p>
            <w:pPr>
              <w:spacing w:line="240"/>
            </w:pPr>
            <w:r>
              <w:rPr>
                <w:rFonts w:ascii="Times New Roman" w:cs="Times New Roman" w:eastAsia="Times New Roman" w:hAnsi="Times New Roman"/>
                <w:b/>
                <w:bCs/>
                <w:sz w:val="20"/>
                <w:szCs w:val="20"/>
              </w:rPr>
              <w:t xml:space="preserve">7.862 ± 0.103</w:t>
            </w:r>
          </w:p>
        </w:tc>
        <w:tc>
          <w:tcPr>
            <w:tcW w:type="dxa" w:w="1872"/>
          </w:tcPr>
          <w:p>
            <w:pPr>
              <w:spacing w:line="240"/>
            </w:pPr>
            <w:r>
              <w:rPr>
                <w:rFonts w:ascii="Times New Roman" w:cs="Times New Roman" w:eastAsia="Times New Roman" w:hAnsi="Times New Roman"/>
                <w:b/>
                <w:bCs/>
                <w:sz w:val="20"/>
                <w:szCs w:val="20"/>
              </w:rPr>
              <w:t xml:space="preserve">8.068 ± 0.104</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0.8611 ± 0.0021</w:t>
            </w:r>
          </w:p>
        </w:tc>
        <w:tc>
          <w:tcPr>
            <w:tcW w:type="dxa" w:w="1872"/>
          </w:tcPr>
          <w:p>
            <w:pPr>
              <w:spacing w:line="240"/>
            </w:pPr>
            <w:r>
              <w:rPr>
                <w:rFonts w:ascii="Times New Roman" w:cs="Times New Roman" w:eastAsia="Times New Roman" w:hAnsi="Times New Roman"/>
                <w:b w:val="false"/>
                <w:bCs w:val="false"/>
                <w:sz w:val="20"/>
                <w:szCs w:val="20"/>
              </w:rPr>
              <w:t xml:space="preserve">7.829 ± 0.101</w:t>
            </w:r>
          </w:p>
        </w:tc>
        <w:tc>
          <w:tcPr>
            <w:tcW w:type="dxa" w:w="1872"/>
          </w:tcPr>
          <w:p>
            <w:pPr>
              <w:spacing w:line="240"/>
            </w:pPr>
            <w:r>
              <w:rPr>
                <w:rFonts w:ascii="Times New Roman" w:cs="Times New Roman" w:eastAsia="Times New Roman" w:hAnsi="Times New Roman"/>
                <w:b w:val="false"/>
                <w:bCs w:val="false"/>
                <w:sz w:val="20"/>
                <w:szCs w:val="20"/>
              </w:rPr>
              <w:t xml:space="preserve">8.090 ± 0.108</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0.8603 ± 0.0018</w:t>
            </w:r>
          </w:p>
        </w:tc>
        <w:tc>
          <w:tcPr>
            <w:tcW w:type="dxa" w:w="1872"/>
          </w:tcPr>
          <w:p>
            <w:pPr>
              <w:spacing w:line="240"/>
            </w:pPr>
            <w:r>
              <w:rPr>
                <w:rFonts w:ascii="Times New Roman" w:cs="Times New Roman" w:eastAsia="Times New Roman" w:hAnsi="Times New Roman"/>
                <w:b w:val="false"/>
                <w:bCs w:val="false"/>
                <w:sz w:val="20"/>
                <w:szCs w:val="20"/>
              </w:rPr>
              <w:t xml:space="preserve">7.757 ± 0.103</w:t>
            </w:r>
          </w:p>
        </w:tc>
        <w:tc>
          <w:tcPr>
            <w:tcW w:type="dxa" w:w="1872"/>
          </w:tcPr>
          <w:p>
            <w:pPr>
              <w:spacing w:line="240"/>
            </w:pPr>
            <w:r>
              <w:rPr>
                <w:rFonts w:ascii="Times New Roman" w:cs="Times New Roman" w:eastAsia="Times New Roman" w:hAnsi="Times New Roman"/>
                <w:b w:val="false"/>
                <w:bCs w:val="false"/>
                <w:sz w:val="20"/>
                <w:szCs w:val="20"/>
              </w:rPr>
              <w:t xml:space="preserve">8.123 ± 0.118</w:t>
            </w:r>
          </w:p>
        </w:tc>
      </w:tr>
      <w:tr>
        <w:tc>
          <w:tcPr>
            <w:tcW w:type="dxa" w:w="1872"/>
          </w:tcPr>
          <w:p>
            <w:pPr>
              <w:spacing w:line="240"/>
            </w:pPr>
            <w:r>
              <w:rPr>
                <w:rFonts w:ascii="Times New Roman" w:cs="Times New Roman" w:eastAsia="Times New Roman" w:hAnsi="Times New Roman"/>
                <w:b w:val="false"/>
                <w:bCs w:val="false"/>
                <w:sz w:val="20"/>
                <w:szCs w:val="20"/>
              </w:rPr>
              <w:t xml:space="preserve">Doberman Pinscher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0.7877 ± 0.0063</w:t>
            </w:r>
          </w:p>
        </w:tc>
        <w:tc>
          <w:tcPr>
            <w:tcW w:type="dxa" w:w="1872"/>
          </w:tcPr>
          <w:p>
            <w:pPr>
              <w:spacing w:line="240"/>
            </w:pPr>
            <w:r>
              <w:rPr>
                <w:rFonts w:ascii="Times New Roman" w:cs="Times New Roman" w:eastAsia="Times New Roman" w:hAnsi="Times New Roman"/>
                <w:b w:val="false"/>
                <w:bCs w:val="false"/>
                <w:sz w:val="20"/>
                <w:szCs w:val="20"/>
              </w:rPr>
              <w:t xml:space="preserve">5.290 ± 0.128</w:t>
            </w:r>
          </w:p>
        </w:tc>
        <w:tc>
          <w:tcPr>
            <w:tcW w:type="dxa" w:w="1872"/>
          </w:tcPr>
          <w:p>
            <w:pPr>
              <w:spacing w:line="240"/>
            </w:pPr>
            <w:r>
              <w:rPr>
                <w:rFonts w:ascii="Times New Roman" w:cs="Times New Roman" w:eastAsia="Times New Roman" w:hAnsi="Times New Roman"/>
                <w:b w:val="false"/>
                <w:bCs w:val="false"/>
                <w:sz w:val="20"/>
                <w:szCs w:val="20"/>
              </w:rPr>
              <w:t xml:space="preserve">5.412 ± 0.140</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0.7876 ± 0.0061</w:t>
            </w:r>
          </w:p>
        </w:tc>
        <w:tc>
          <w:tcPr>
            <w:tcW w:type="dxa" w:w="1872"/>
          </w:tcPr>
          <w:p>
            <w:pPr>
              <w:spacing w:line="240"/>
            </w:pPr>
            <w:r>
              <w:rPr>
                <w:rFonts w:ascii="Times New Roman" w:cs="Times New Roman" w:eastAsia="Times New Roman" w:hAnsi="Times New Roman"/>
                <w:b w:val="false"/>
                <w:bCs w:val="false"/>
                <w:sz w:val="20"/>
                <w:szCs w:val="20"/>
              </w:rPr>
              <w:t xml:space="preserve">5.300 ± 0.117</w:t>
            </w:r>
          </w:p>
        </w:tc>
        <w:tc>
          <w:tcPr>
            <w:tcW w:type="dxa" w:w="1872"/>
          </w:tcPr>
          <w:p>
            <w:pPr>
              <w:spacing w:line="240"/>
            </w:pPr>
            <w:r>
              <w:rPr>
                <w:rFonts w:ascii="Times New Roman" w:cs="Times New Roman" w:eastAsia="Times New Roman" w:hAnsi="Times New Roman"/>
                <w:b w:val="false"/>
                <w:bCs w:val="false"/>
                <w:sz w:val="20"/>
                <w:szCs w:val="20"/>
              </w:rPr>
              <w:t xml:space="preserve">5.423 ± 0.119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0.7870 ± 0.0061</w:t>
            </w:r>
          </w:p>
        </w:tc>
        <w:tc>
          <w:tcPr>
            <w:tcW w:type="dxa" w:w="1872"/>
          </w:tcPr>
          <w:p>
            <w:pPr>
              <w:spacing w:line="240"/>
            </w:pPr>
            <w:r>
              <w:rPr>
                <w:rFonts w:ascii="Times New Roman" w:cs="Times New Roman" w:eastAsia="Times New Roman" w:hAnsi="Times New Roman"/>
                <w:b/>
                <w:bCs/>
                <w:sz w:val="20"/>
                <w:szCs w:val="20"/>
              </w:rPr>
              <w:t xml:space="preserve">5.291 ± 0.118</w:t>
            </w:r>
          </w:p>
        </w:tc>
        <w:tc>
          <w:tcPr>
            <w:tcW w:type="dxa" w:w="1872"/>
          </w:tcPr>
          <w:p>
            <w:pPr>
              <w:spacing w:line="240"/>
            </w:pPr>
            <w:r>
              <w:rPr>
                <w:rFonts w:ascii="Times New Roman" w:cs="Times New Roman" w:eastAsia="Times New Roman" w:hAnsi="Times New Roman"/>
                <w:b/>
                <w:bCs/>
                <w:sz w:val="20"/>
                <w:szCs w:val="20"/>
              </w:rPr>
              <w:t xml:space="preserve">5.428 ± 0.139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0.7847 ± 0.0067</w:t>
            </w:r>
          </w:p>
        </w:tc>
        <w:tc>
          <w:tcPr>
            <w:tcW w:type="dxa" w:w="1872"/>
          </w:tcPr>
          <w:p>
            <w:pPr>
              <w:spacing w:line="240"/>
            </w:pPr>
            <w:r>
              <w:rPr>
                <w:rFonts w:ascii="Times New Roman" w:cs="Times New Roman" w:eastAsia="Times New Roman" w:hAnsi="Times New Roman"/>
                <w:b w:val="false"/>
                <w:bCs w:val="false"/>
                <w:sz w:val="20"/>
                <w:szCs w:val="20"/>
              </w:rPr>
              <w:t xml:space="preserve">5.238 ± 0.154</w:t>
            </w:r>
          </w:p>
        </w:tc>
        <w:tc>
          <w:tcPr>
            <w:tcW w:type="dxa" w:w="1872"/>
          </w:tcPr>
          <w:p>
            <w:pPr>
              <w:spacing w:line="240"/>
            </w:pPr>
            <w:r>
              <w:rPr>
                <w:rFonts w:ascii="Times New Roman" w:cs="Times New Roman" w:eastAsia="Times New Roman" w:hAnsi="Times New Roman"/>
                <w:b w:val="false"/>
                <w:bCs w:val="false"/>
                <w:sz w:val="20"/>
                <w:szCs w:val="20"/>
              </w:rPr>
              <w:t xml:space="preserve">5.407 ± 0.171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0.7835 ± 0.0045</w:t>
            </w:r>
          </w:p>
        </w:tc>
        <w:tc>
          <w:tcPr>
            <w:tcW w:type="dxa" w:w="1872"/>
          </w:tcPr>
          <w:p>
            <w:pPr>
              <w:spacing w:line="240"/>
            </w:pPr>
            <w:r>
              <w:rPr>
                <w:rFonts w:ascii="Times New Roman" w:cs="Times New Roman" w:eastAsia="Times New Roman" w:hAnsi="Times New Roman"/>
                <w:b w:val="false"/>
                <w:bCs w:val="false"/>
                <w:sz w:val="20"/>
                <w:szCs w:val="20"/>
              </w:rPr>
              <w:t xml:space="preserve">5.179 ± 0.089</w:t>
            </w:r>
          </w:p>
        </w:tc>
        <w:tc>
          <w:tcPr>
            <w:tcW w:type="dxa" w:w="1872"/>
          </w:tcPr>
          <w:p>
            <w:pPr>
              <w:spacing w:line="240"/>
            </w:pPr>
            <w:r>
              <w:rPr>
                <w:rFonts w:ascii="Times New Roman" w:cs="Times New Roman" w:eastAsia="Times New Roman" w:hAnsi="Times New Roman"/>
                <w:b w:val="false"/>
                <w:bCs w:val="false"/>
                <w:sz w:val="20"/>
                <w:szCs w:val="20"/>
              </w:rPr>
              <w:t xml:space="preserve">5.428 ± 0.092</w:t>
            </w:r>
          </w:p>
        </w:tc>
      </w:tr>
      <w:tr>
        <w:tc>
          <w:tcPr>
            <w:tcW w:type="dxa" w:w="1872"/>
          </w:tcPr>
          <w:p>
            <w:pPr>
              <w:spacing w:line="240"/>
            </w:pPr>
            <w:r>
              <w:rPr>
                <w:rFonts w:ascii="Times New Roman" w:cs="Times New Roman" w:eastAsia="Times New Roman" w:hAnsi="Times New Roman"/>
                <w:b w:val="false"/>
                <w:bCs w:val="false"/>
                <w:sz w:val="20"/>
                <w:szCs w:val="20"/>
              </w:rPr>
              <w:t xml:space="preserve">Flat-Coated Retriever</w:t>
            </w:r>
          </w:p>
        </w:tc>
        <w:tc>
          <w:tcPr>
            <w:tcW w:type="dxa" w:w="1872"/>
          </w:tcPr>
          <w:p>
            <w:pPr>
              <w:spacing w:line="240"/>
            </w:pPr>
            <w:r>
              <w:rPr>
                <w:rFonts w:ascii="Times New Roman" w:cs="Times New Roman" w:eastAsia="Times New Roman" w:hAnsi="Times New Roman"/>
                <w:b w:val="false"/>
                <w:bCs w:val="false"/>
                <w:sz w:val="20"/>
                <w:szCs w:val="20"/>
              </w:rPr>
              <w:t xml:space="preserve">T1 (±10%)</w:t>
            </w:r>
          </w:p>
        </w:tc>
        <w:tc>
          <w:tcPr>
            <w:tcW w:type="dxa" w:w="1872"/>
          </w:tcPr>
          <w:p>
            <w:pPr>
              <w:spacing w:line="240"/>
            </w:pPr>
            <w:r>
              <w:rPr>
                <w:rFonts w:ascii="Times New Roman" w:cs="Times New Roman" w:eastAsia="Times New Roman" w:hAnsi="Times New Roman"/>
                <w:b w:val="false"/>
                <w:bCs w:val="false"/>
                <w:sz w:val="20"/>
                <w:szCs w:val="20"/>
              </w:rPr>
              <w:t xml:space="preserve">0.7570 ± 0.0039</w:t>
            </w:r>
          </w:p>
        </w:tc>
        <w:tc>
          <w:tcPr>
            <w:tcW w:type="dxa" w:w="1872"/>
          </w:tcPr>
          <w:p>
            <w:pPr>
              <w:spacing w:line="240"/>
            </w:pPr>
            <w:r>
              <w:rPr>
                <w:rFonts w:ascii="Times New Roman" w:cs="Times New Roman" w:eastAsia="Times New Roman" w:hAnsi="Times New Roman"/>
                <w:b w:val="false"/>
                <w:bCs w:val="false"/>
                <w:sz w:val="20"/>
                <w:szCs w:val="20"/>
              </w:rPr>
              <w:t xml:space="preserve">4.773 ± 0.077</w:t>
            </w:r>
          </w:p>
        </w:tc>
        <w:tc>
          <w:tcPr>
            <w:tcW w:type="dxa" w:w="1872"/>
          </w:tcPr>
          <w:p>
            <w:pPr>
              <w:spacing w:line="240"/>
            </w:pPr>
            <w:r>
              <w:rPr>
                <w:rFonts w:ascii="Times New Roman" w:cs="Times New Roman" w:eastAsia="Times New Roman" w:hAnsi="Times New Roman"/>
                <w:b w:val="false"/>
                <w:bCs w:val="false"/>
                <w:sz w:val="20"/>
                <w:szCs w:val="20"/>
              </w:rPr>
              <w:t xml:space="preserve">4.838 ± 0.081</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T2 (±17.5%)</w:t>
            </w:r>
          </w:p>
        </w:tc>
        <w:tc>
          <w:tcPr>
            <w:tcW w:type="dxa" w:w="1872"/>
          </w:tcPr>
          <w:p>
            <w:pPr>
              <w:spacing w:line="240"/>
            </w:pPr>
            <w:r>
              <w:rPr>
                <w:rFonts w:ascii="Times New Roman" w:cs="Times New Roman" w:eastAsia="Times New Roman" w:hAnsi="Times New Roman"/>
                <w:b w:val="false"/>
                <w:bCs w:val="false"/>
                <w:sz w:val="20"/>
                <w:szCs w:val="20"/>
              </w:rPr>
              <w:t xml:space="preserve">0.7582 ± 0.0040</w:t>
            </w:r>
          </w:p>
        </w:tc>
        <w:tc>
          <w:tcPr>
            <w:tcW w:type="dxa" w:w="1872"/>
          </w:tcPr>
          <w:p>
            <w:pPr>
              <w:spacing w:line="240"/>
            </w:pPr>
            <w:r>
              <w:rPr>
                <w:rFonts w:ascii="Times New Roman" w:cs="Times New Roman" w:eastAsia="Times New Roman" w:hAnsi="Times New Roman"/>
                <w:b w:val="false"/>
                <w:bCs w:val="false"/>
                <w:sz w:val="20"/>
                <w:szCs w:val="20"/>
              </w:rPr>
              <w:t xml:space="preserve">4.801 ± 0.082</w:t>
            </w:r>
          </w:p>
        </w:tc>
        <w:tc>
          <w:tcPr>
            <w:tcW w:type="dxa" w:w="1872"/>
          </w:tcPr>
          <w:p>
            <w:pPr>
              <w:spacing w:line="240"/>
            </w:pPr>
            <w:r>
              <w:rPr>
                <w:rFonts w:ascii="Times New Roman" w:cs="Times New Roman" w:eastAsia="Times New Roman" w:hAnsi="Times New Roman"/>
                <w:b w:val="false"/>
                <w:bCs w:val="false"/>
                <w:sz w:val="20"/>
                <w:szCs w:val="20"/>
              </w:rPr>
              <w:t xml:space="preserve">4.868 ± 0.086</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bCs/>
                <w:sz w:val="20"/>
                <w:szCs w:val="20"/>
              </w:rPr>
              <w:t xml:space="preserve">T3 (±25%)</w:t>
            </w:r>
          </w:p>
        </w:tc>
        <w:tc>
          <w:tcPr>
            <w:tcW w:type="dxa" w:w="1872"/>
          </w:tcPr>
          <w:p>
            <w:pPr>
              <w:spacing w:line="240"/>
            </w:pPr>
            <w:r>
              <w:rPr>
                <w:rFonts w:ascii="Times New Roman" w:cs="Times New Roman" w:eastAsia="Times New Roman" w:hAnsi="Times New Roman"/>
                <w:b/>
                <w:bCs/>
                <w:sz w:val="20"/>
                <w:szCs w:val="20"/>
              </w:rPr>
              <w:t xml:space="preserve">0.7580 ± 0.0034</w:t>
            </w:r>
          </w:p>
        </w:tc>
        <w:tc>
          <w:tcPr>
            <w:tcW w:type="dxa" w:w="1872"/>
          </w:tcPr>
          <w:p>
            <w:pPr>
              <w:spacing w:line="240"/>
            </w:pPr>
            <w:r>
              <w:rPr>
                <w:rFonts w:ascii="Times New Roman" w:cs="Times New Roman" w:eastAsia="Times New Roman" w:hAnsi="Times New Roman"/>
                <w:b/>
                <w:bCs/>
                <w:sz w:val="20"/>
                <w:szCs w:val="20"/>
              </w:rPr>
              <w:t xml:space="preserve">4.792 ± 0.090</w:t>
            </w:r>
          </w:p>
        </w:tc>
        <w:tc>
          <w:tcPr>
            <w:tcW w:type="dxa" w:w="1872"/>
          </w:tcPr>
          <w:p>
            <w:pPr>
              <w:spacing w:line="240"/>
            </w:pPr>
            <w:r>
              <w:rPr>
                <w:rFonts w:ascii="Times New Roman" w:cs="Times New Roman" w:eastAsia="Times New Roman" w:hAnsi="Times New Roman"/>
                <w:b/>
                <w:bCs/>
                <w:sz w:val="20"/>
                <w:szCs w:val="20"/>
              </w:rPr>
              <w:t xml:space="preserve">4.891 ± 0.089</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T4 (±32.5%)</w:t>
            </w:r>
          </w:p>
        </w:tc>
        <w:tc>
          <w:tcPr>
            <w:tcW w:type="dxa" w:w="1872"/>
          </w:tcPr>
          <w:p>
            <w:pPr>
              <w:spacing w:line="240"/>
            </w:pPr>
            <w:r>
              <w:rPr>
                <w:rFonts w:ascii="Times New Roman" w:cs="Times New Roman" w:eastAsia="Times New Roman" w:hAnsi="Times New Roman"/>
                <w:b w:val="false"/>
                <w:bCs w:val="false"/>
                <w:sz w:val="20"/>
                <w:szCs w:val="20"/>
              </w:rPr>
              <w:t xml:space="preserve">0.7571 ± 0.0039</w:t>
            </w:r>
          </w:p>
        </w:tc>
        <w:tc>
          <w:tcPr>
            <w:tcW w:type="dxa" w:w="1872"/>
          </w:tcPr>
          <w:p>
            <w:pPr>
              <w:spacing w:line="240"/>
            </w:pPr>
            <w:r>
              <w:rPr>
                <w:rFonts w:ascii="Times New Roman" w:cs="Times New Roman" w:eastAsia="Times New Roman" w:hAnsi="Times New Roman"/>
                <w:b w:val="false"/>
                <w:bCs w:val="false"/>
                <w:sz w:val="20"/>
                <w:szCs w:val="20"/>
              </w:rPr>
              <w:t xml:space="preserve">4.783 ± 0.088</w:t>
            </w:r>
          </w:p>
        </w:tc>
        <w:tc>
          <w:tcPr>
            <w:tcW w:type="dxa" w:w="1872"/>
          </w:tcPr>
          <w:p>
            <w:pPr>
              <w:spacing w:line="240"/>
            </w:pPr>
            <w:r>
              <w:rPr>
                <w:rFonts w:ascii="Times New Roman" w:cs="Times New Roman" w:eastAsia="Times New Roman" w:hAnsi="Times New Roman"/>
                <w:b w:val="false"/>
                <w:bCs w:val="false"/>
                <w:sz w:val="20"/>
                <w:szCs w:val="20"/>
              </w:rPr>
              <w:t xml:space="preserve">4.916 ± 0.092</w:t>
            </w:r>
          </w:p>
        </w:tc>
      </w:tr>
      <w:tr>
        <w:tc>
          <w:tcPr>
            <w:tcW w:type="dxa" w:w="1872"/>
          </w:tcPr>
          <w:p>
            <w:pPr>
              <w:spacing w:line="240"/>
            </w:pPr>
            <w:r>
              <w:rPr>
                <w:rFonts w:ascii="Times New Roman" w:cs="Times New Roman" w:eastAsia="Times New Roman" w:hAnsi="Times New Roman"/>
                <w:b w:val="false"/>
                <w:bCs w:val="false"/>
                <w:sz w:val="20"/>
                <w:szCs w:val="20"/>
              </w:rPr>
              <w:t xml:space="preserve"/>
            </w:r>
          </w:p>
        </w:tc>
        <w:tc>
          <w:tcPr>
            <w:tcW w:type="dxa" w:w="1872"/>
          </w:tcPr>
          <w:p>
            <w:pPr>
              <w:spacing w:line="240"/>
            </w:pPr>
            <w:r>
              <w:rPr>
                <w:rFonts w:ascii="Times New Roman" w:cs="Times New Roman" w:eastAsia="Times New Roman" w:hAnsi="Times New Roman"/>
                <w:b w:val="false"/>
                <w:bCs w:val="false"/>
                <w:sz w:val="20"/>
                <w:szCs w:val="20"/>
              </w:rPr>
              <w:t xml:space="preserve">T5 (±40%)</w:t>
            </w:r>
          </w:p>
        </w:tc>
        <w:tc>
          <w:tcPr>
            <w:tcW w:type="dxa" w:w="1872"/>
          </w:tcPr>
          <w:p>
            <w:pPr>
              <w:spacing w:line="240"/>
            </w:pPr>
            <w:r>
              <w:rPr>
                <w:rFonts w:ascii="Times New Roman" w:cs="Times New Roman" w:eastAsia="Times New Roman" w:hAnsi="Times New Roman"/>
                <w:b w:val="false"/>
                <w:bCs w:val="false"/>
                <w:sz w:val="20"/>
                <w:szCs w:val="20"/>
              </w:rPr>
              <w:t xml:space="preserve">0.7526 ± 0.0035</w:t>
            </w:r>
          </w:p>
        </w:tc>
        <w:tc>
          <w:tcPr>
            <w:tcW w:type="dxa" w:w="1872"/>
          </w:tcPr>
          <w:p>
            <w:pPr>
              <w:spacing w:line="240"/>
            </w:pPr>
            <w:r>
              <w:rPr>
                <w:rFonts w:ascii="Times New Roman" w:cs="Times New Roman" w:eastAsia="Times New Roman" w:hAnsi="Times New Roman"/>
                <w:b w:val="false"/>
                <w:bCs w:val="false"/>
                <w:sz w:val="20"/>
                <w:szCs w:val="20"/>
              </w:rPr>
              <w:t xml:space="preserve">4.696 ± 0.064</w:t>
            </w:r>
          </w:p>
        </w:tc>
        <w:tc>
          <w:tcPr>
            <w:tcW w:type="dxa" w:w="1872"/>
          </w:tcPr>
          <w:p>
            <w:pPr>
              <w:spacing w:line="240"/>
            </w:pPr>
            <w:r>
              <w:rPr>
                <w:rFonts w:ascii="Times New Roman" w:cs="Times New Roman" w:eastAsia="Times New Roman" w:hAnsi="Times New Roman"/>
                <w:b w:val="false"/>
                <w:bCs w:val="false"/>
                <w:sz w:val="20"/>
                <w:szCs w:val="20"/>
              </w:rPr>
              <w:t xml:space="preserve">4.892 ± 0.069</w:t>
            </w:r>
          </w:p>
        </w:tc>
      </w:tr>
    </w:tbl>
    <w:p>
      <w:pPr>
        <w:spacing w:after="240" w:line="360"/>
      </w:pPr>
      <w:r>
        <w:rPr>
          <w:rFonts w:ascii="Times New Roman" w:cs="Times New Roman" w:eastAsia="Times New Roman" w:hAnsi="Times New Roman"/>
          <w:i/>
          <w:iCs/>
          <w:sz w:val="24"/>
          <w:szCs w:val="24"/>
        </w:rPr>
        <w:t xml:space="preserve">Supplementary Table S7. (a) Genome positions of the 33 panel loci on canFam4 (UU_Cfam_GSD_1.0), determined by UCSC In-Silico PCR of the published primer pairs (Pedersen et al., 2012; Wictum et al., 2013). Every amplicon fell within its published size range. (b) Distances between loci sharing an autosome; the remaining 17 loci are each the sole panel marker on their chromosome. Minimum inter-locus distance 6.75 Mb (CFA10), beyond the distances over which linkage disequilibrium decays by half within dog breeds (0.4–3.2 Mb; Sutter et al., 2004).</w:t>
      </w:r>
    </w:p>
    <w:p>
      <w:pPr>
        <w:spacing w:after="240" w:line="360"/>
      </w:pPr>
      <w:r>
        <w:rPr>
          <w:rFonts w:ascii="Times New Roman" w:cs="Times New Roman" w:eastAsia="Times New Roman" w:hAnsi="Times New Roman"/>
          <w:i/>
          <w:iCs/>
          <w:sz w:val="24"/>
          <w:szCs w:val="24"/>
        </w:rPr>
        <w:t xml:space="preserve">(a) Locus positions</w:t>
      </w:r>
    </w:p>
    <w:tbl>
      <w:tblPr>
        <w:tblW w:type="auto" w:w="0"/>
        <w:tblBorders>
          <w:top w:val="single" w:sz="4" w:space="0" w:color="auto"/>
          <w:bottom w:val="single" w:sz="4" w:space="0" w:color="auto"/>
          <w:insideH w:val="single" w:sz="4" w:space="0" w:color="auto"/>
        </w:tblBorders>
        <w:tblLayout w:type="fixed"/>
      </w:tblPr>
      <w:tblGrid>
        <w:gridCol w:w="2200"/>
        <w:gridCol w:w="1200"/>
        <w:gridCol w:w="2000"/>
      </w:tblGrid>
      <w:tr>
        <w:tc>
          <w:tcPr>
            <w:tcW w:type="dxa" w:w="2200"/>
          </w:tcPr>
          <w:p>
            <w:pPr>
              <w:spacing w:line="240"/>
            </w:pPr>
            <w:r>
              <w:rPr>
                <w:rFonts w:ascii="Times New Roman" w:cs="Times New Roman" w:eastAsia="Times New Roman" w:hAnsi="Times New Roman"/>
                <w:b/>
                <w:bCs/>
                <w:sz w:val="20"/>
                <w:szCs w:val="20"/>
              </w:rPr>
              <w:t xml:space="preserve">Locus</w:t>
            </w:r>
          </w:p>
        </w:tc>
        <w:tc>
          <w:tcPr>
            <w:tcW w:type="dxa" w:w="1200"/>
          </w:tcPr>
          <w:p>
            <w:pPr>
              <w:spacing w:line="240"/>
            </w:pPr>
            <w:r>
              <w:rPr>
                <w:rFonts w:ascii="Times New Roman" w:cs="Times New Roman" w:eastAsia="Times New Roman" w:hAnsi="Times New Roman"/>
                <w:b/>
                <w:bCs/>
                <w:sz w:val="20"/>
                <w:szCs w:val="20"/>
              </w:rPr>
              <w:t xml:space="preserve">CFA</w:t>
            </w:r>
          </w:p>
        </w:tc>
        <w:tc>
          <w:tcPr>
            <w:tcW w:type="dxa" w:w="2000"/>
          </w:tcPr>
          <w:p>
            <w:pPr>
              <w:spacing w:line="240"/>
            </w:pPr>
            <w:r>
              <w:rPr>
                <w:rFonts w:ascii="Times New Roman" w:cs="Times New Roman" w:eastAsia="Times New Roman" w:hAnsi="Times New Roman"/>
                <w:b/>
                <w:bCs/>
                <w:sz w:val="20"/>
                <w:szCs w:val="20"/>
              </w:rPr>
              <w:t xml:space="preserve">Position (Mb)</w:t>
            </w:r>
          </w:p>
        </w:tc>
      </w:tr>
      <w:tr>
        <w:tc>
          <w:tcPr>
            <w:tcW w:type="dxa" w:w="2200"/>
          </w:tcPr>
          <w:p>
            <w:pPr>
              <w:spacing w:line="240"/>
            </w:pPr>
            <w:r>
              <w:rPr>
                <w:rFonts w:ascii="Times New Roman" w:cs="Times New Roman" w:eastAsia="Times New Roman" w:hAnsi="Times New Roman"/>
                <w:b w:val="false"/>
                <w:bCs w:val="false"/>
                <w:sz w:val="20"/>
                <w:szCs w:val="20"/>
              </w:rPr>
              <w:t xml:space="preserve">FH2848</w:t>
            </w:r>
          </w:p>
        </w:tc>
        <w:tc>
          <w:tcPr>
            <w:tcW w:type="dxa" w:w="1200"/>
          </w:tcPr>
          <w:p>
            <w:pPr>
              <w:spacing w:line="240"/>
            </w:pPr>
            <w:r>
              <w:rPr>
                <w:rFonts w:ascii="Times New Roman" w:cs="Times New Roman" w:eastAsia="Times New Roman" w:hAnsi="Times New Roman"/>
                <w:b w:val="false"/>
                <w:bCs w:val="false"/>
                <w:sz w:val="20"/>
                <w:szCs w:val="20"/>
              </w:rPr>
              <w:t xml:space="preserve">2</w:t>
            </w:r>
          </w:p>
        </w:tc>
        <w:tc>
          <w:tcPr>
            <w:tcW w:type="dxa" w:w="2000"/>
          </w:tcPr>
          <w:p>
            <w:pPr>
              <w:spacing w:line="240"/>
            </w:pPr>
            <w:r>
              <w:rPr>
                <w:rFonts w:ascii="Times New Roman" w:cs="Times New Roman" w:eastAsia="Times New Roman" w:hAnsi="Times New Roman"/>
                <w:b w:val="false"/>
                <w:bCs w:val="false"/>
                <w:sz w:val="20"/>
                <w:szCs w:val="20"/>
              </w:rPr>
              <w:t xml:space="preserve">59.40</w:t>
            </w:r>
          </w:p>
        </w:tc>
      </w:tr>
      <w:tr>
        <w:tc>
          <w:tcPr>
            <w:tcW w:type="dxa" w:w="2200"/>
          </w:tcPr>
          <w:p>
            <w:pPr>
              <w:spacing w:line="240"/>
            </w:pPr>
            <w:r>
              <w:rPr>
                <w:rFonts w:ascii="Times New Roman" w:cs="Times New Roman" w:eastAsia="Times New Roman" w:hAnsi="Times New Roman"/>
                <w:b w:val="false"/>
                <w:bCs w:val="false"/>
                <w:sz w:val="20"/>
                <w:szCs w:val="20"/>
              </w:rPr>
              <w:t xml:space="preserve">AHTh171-A</w:t>
            </w:r>
          </w:p>
        </w:tc>
        <w:tc>
          <w:tcPr>
            <w:tcW w:type="dxa" w:w="1200"/>
          </w:tcPr>
          <w:p>
            <w:pPr>
              <w:spacing w:line="240"/>
            </w:pPr>
            <w:r>
              <w:rPr>
                <w:rFonts w:ascii="Times New Roman" w:cs="Times New Roman" w:eastAsia="Times New Roman" w:hAnsi="Times New Roman"/>
                <w:b w:val="false"/>
                <w:bCs w:val="false"/>
                <w:sz w:val="20"/>
                <w:szCs w:val="20"/>
              </w:rPr>
              <w:t xml:space="preserve">6</w:t>
            </w:r>
          </w:p>
        </w:tc>
        <w:tc>
          <w:tcPr>
            <w:tcW w:type="dxa" w:w="2000"/>
          </w:tcPr>
          <w:p>
            <w:pPr>
              <w:spacing w:line="240"/>
            </w:pPr>
            <w:r>
              <w:rPr>
                <w:rFonts w:ascii="Times New Roman" w:cs="Times New Roman" w:eastAsia="Times New Roman" w:hAnsi="Times New Roman"/>
                <w:b w:val="false"/>
                <w:bCs w:val="false"/>
                <w:sz w:val="20"/>
                <w:szCs w:val="20"/>
              </w:rPr>
              <w:t xml:space="preserve">7.39</w:t>
            </w:r>
          </w:p>
        </w:tc>
      </w:tr>
      <w:tr>
        <w:tc>
          <w:tcPr>
            <w:tcW w:type="dxa" w:w="2200"/>
          </w:tcPr>
          <w:p>
            <w:pPr>
              <w:spacing w:line="240"/>
            </w:pPr>
            <w:r>
              <w:rPr>
                <w:rFonts w:ascii="Times New Roman" w:cs="Times New Roman" w:eastAsia="Times New Roman" w:hAnsi="Times New Roman"/>
                <w:b w:val="false"/>
                <w:bCs w:val="false"/>
                <w:sz w:val="20"/>
                <w:szCs w:val="20"/>
              </w:rPr>
              <w:t xml:space="preserve">REN162C04</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26.51</w:t>
            </w:r>
          </w:p>
        </w:tc>
      </w:tr>
      <w:tr>
        <w:tc>
          <w:tcPr>
            <w:tcW w:type="dxa" w:w="2200"/>
          </w:tcPr>
          <w:p>
            <w:pPr>
              <w:spacing w:line="240"/>
            </w:pPr>
            <w:r>
              <w:rPr>
                <w:rFonts w:ascii="Times New Roman" w:cs="Times New Roman" w:eastAsia="Times New Roman" w:hAnsi="Times New Roman"/>
                <w:b w:val="false"/>
                <w:bCs w:val="false"/>
                <w:sz w:val="20"/>
                <w:szCs w:val="20"/>
              </w:rPr>
              <w:t xml:space="preserve">VGL0760</w:t>
            </w:r>
          </w:p>
        </w:tc>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2000"/>
          </w:tcPr>
          <w:p>
            <w:pPr>
              <w:spacing w:line="240"/>
            </w:pPr>
            <w:r>
              <w:rPr>
                <w:rFonts w:ascii="Times New Roman" w:cs="Times New Roman" w:eastAsia="Times New Roman" w:hAnsi="Times New Roman"/>
                <w:b w:val="false"/>
                <w:bCs w:val="false"/>
                <w:sz w:val="20"/>
                <w:szCs w:val="20"/>
              </w:rPr>
              <w:t xml:space="preserve">57.06</w:t>
            </w:r>
          </w:p>
        </w:tc>
      </w:tr>
      <w:tr>
        <w:tc>
          <w:tcPr>
            <w:tcW w:type="dxa" w:w="2200"/>
          </w:tcPr>
          <w:p>
            <w:pPr>
              <w:spacing w:line="240"/>
            </w:pPr>
            <w:r>
              <w:rPr>
                <w:rFonts w:ascii="Times New Roman" w:cs="Times New Roman" w:eastAsia="Times New Roman" w:hAnsi="Times New Roman"/>
                <w:b w:val="false"/>
                <w:bCs w:val="false"/>
                <w:sz w:val="20"/>
                <w:szCs w:val="20"/>
              </w:rPr>
              <w:t xml:space="preserve">VGL0910</w:t>
            </w:r>
          </w:p>
        </w:tc>
        <w:tc>
          <w:tcPr>
            <w:tcW w:type="dxa" w:w="1200"/>
          </w:tcPr>
          <w:p>
            <w:pPr>
              <w:spacing w:line="240"/>
            </w:pPr>
            <w:r>
              <w:rPr>
                <w:rFonts w:ascii="Times New Roman" w:cs="Times New Roman" w:eastAsia="Times New Roman" w:hAnsi="Times New Roman"/>
                <w:b w:val="false"/>
                <w:bCs w:val="false"/>
                <w:sz w:val="20"/>
                <w:szCs w:val="20"/>
              </w:rPr>
              <w:t xml:space="preserve">9</w:t>
            </w:r>
          </w:p>
        </w:tc>
        <w:tc>
          <w:tcPr>
            <w:tcW w:type="dxa" w:w="2000"/>
          </w:tcPr>
          <w:p>
            <w:pPr>
              <w:spacing w:line="240"/>
            </w:pPr>
            <w:r>
              <w:rPr>
                <w:rFonts w:ascii="Times New Roman" w:cs="Times New Roman" w:eastAsia="Times New Roman" w:hAnsi="Times New Roman"/>
                <w:b w:val="false"/>
                <w:bCs w:val="false"/>
                <w:sz w:val="20"/>
                <w:szCs w:val="20"/>
              </w:rPr>
              <w:t xml:space="preserve">8.10</w:t>
            </w:r>
          </w:p>
        </w:tc>
      </w:tr>
      <w:tr>
        <w:tc>
          <w:tcPr>
            <w:tcW w:type="dxa" w:w="2200"/>
          </w:tcPr>
          <w:p>
            <w:pPr>
              <w:spacing w:line="240"/>
            </w:pPr>
            <w:r>
              <w:rPr>
                <w:rFonts w:ascii="Times New Roman" w:cs="Times New Roman" w:eastAsia="Times New Roman" w:hAnsi="Times New Roman"/>
                <w:b w:val="false"/>
                <w:bCs w:val="false"/>
                <w:sz w:val="20"/>
                <w:szCs w:val="20"/>
              </w:rPr>
              <w:t xml:space="preserve">VGL1063</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61.33</w:t>
            </w:r>
          </w:p>
        </w:tc>
      </w:tr>
      <w:tr>
        <w:tc>
          <w:tcPr>
            <w:tcW w:type="dxa" w:w="2200"/>
          </w:tcPr>
          <w:p>
            <w:pPr>
              <w:spacing w:line="240"/>
            </w:pPr>
            <w:r>
              <w:rPr>
                <w:rFonts w:ascii="Times New Roman" w:cs="Times New Roman" w:eastAsia="Times New Roman" w:hAnsi="Times New Roman"/>
                <w:b w:val="false"/>
                <w:bCs w:val="false"/>
                <w:sz w:val="20"/>
                <w:szCs w:val="20"/>
              </w:rPr>
              <w:t xml:space="preserve">INU055</w:t>
            </w:r>
          </w:p>
        </w:tc>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2000"/>
          </w:tcPr>
          <w:p>
            <w:pPr>
              <w:spacing w:line="240"/>
            </w:pPr>
            <w:r>
              <w:rPr>
                <w:rFonts w:ascii="Times New Roman" w:cs="Times New Roman" w:eastAsia="Times New Roman" w:hAnsi="Times New Roman"/>
                <w:b w:val="false"/>
                <w:bCs w:val="false"/>
                <w:sz w:val="20"/>
                <w:szCs w:val="20"/>
              </w:rPr>
              <w:t xml:space="preserve">68.08</w:t>
            </w:r>
          </w:p>
        </w:tc>
      </w:tr>
      <w:tr>
        <w:tc>
          <w:tcPr>
            <w:tcW w:type="dxa" w:w="2200"/>
          </w:tcPr>
          <w:p>
            <w:pPr>
              <w:spacing w:line="240"/>
            </w:pPr>
            <w:r>
              <w:rPr>
                <w:rFonts w:ascii="Times New Roman" w:cs="Times New Roman" w:eastAsia="Times New Roman" w:hAnsi="Times New Roman"/>
                <w:b w:val="false"/>
                <w:bCs w:val="false"/>
                <w:sz w:val="20"/>
                <w:szCs w:val="20"/>
              </w:rPr>
              <w:t xml:space="preserve">AHT137</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3.09</w:t>
            </w:r>
          </w:p>
        </w:tc>
      </w:tr>
      <w:tr>
        <w:tc>
          <w:tcPr>
            <w:tcW w:type="dxa" w:w="2200"/>
          </w:tcPr>
          <w:p>
            <w:pPr>
              <w:spacing w:line="240"/>
            </w:pPr>
            <w:r>
              <w:rPr>
                <w:rFonts w:ascii="Times New Roman" w:cs="Times New Roman" w:eastAsia="Times New Roman" w:hAnsi="Times New Roman"/>
                <w:b w:val="false"/>
                <w:bCs w:val="false"/>
                <w:sz w:val="20"/>
                <w:szCs w:val="20"/>
              </w:rPr>
              <w:t xml:space="preserve">REN105L03</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38.57</w:t>
            </w:r>
          </w:p>
        </w:tc>
      </w:tr>
      <w:tr>
        <w:tc>
          <w:tcPr>
            <w:tcW w:type="dxa" w:w="2200"/>
          </w:tcPr>
          <w:p>
            <w:pPr>
              <w:spacing w:line="240"/>
            </w:pPr>
            <w:r>
              <w:rPr>
                <w:rFonts w:ascii="Times New Roman" w:cs="Times New Roman" w:eastAsia="Times New Roman" w:hAnsi="Times New Roman"/>
                <w:b w:val="false"/>
                <w:bCs w:val="false"/>
                <w:sz w:val="20"/>
                <w:szCs w:val="20"/>
              </w:rPr>
              <w:t xml:space="preserve">VGL1165</w:t>
            </w:r>
          </w:p>
        </w:tc>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2000"/>
          </w:tcPr>
          <w:p>
            <w:pPr>
              <w:spacing w:line="240"/>
            </w:pPr>
            <w:r>
              <w:rPr>
                <w:rFonts w:ascii="Times New Roman" w:cs="Times New Roman" w:eastAsia="Times New Roman" w:hAnsi="Times New Roman"/>
                <w:b w:val="false"/>
                <w:bCs w:val="false"/>
                <w:sz w:val="20"/>
                <w:szCs w:val="20"/>
              </w:rPr>
              <w:t xml:space="preserve">62.70</w:t>
            </w:r>
          </w:p>
        </w:tc>
      </w:tr>
      <w:tr>
        <w:tc>
          <w:tcPr>
            <w:tcW w:type="dxa" w:w="2200"/>
          </w:tcPr>
          <w:p>
            <w:pPr>
              <w:spacing w:line="240"/>
            </w:pPr>
            <w:r>
              <w:rPr>
                <w:rFonts w:ascii="Times New Roman" w:cs="Times New Roman" w:eastAsia="Times New Roman" w:hAnsi="Times New Roman"/>
                <w:b w:val="false"/>
                <w:bCs w:val="false"/>
                <w:sz w:val="20"/>
                <w:szCs w:val="20"/>
              </w:rPr>
              <w:t xml:space="preserve">FH2054</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21.52</w:t>
            </w:r>
          </w:p>
        </w:tc>
      </w:tr>
      <w:tr>
        <w:tc>
          <w:tcPr>
            <w:tcW w:type="dxa" w:w="2200"/>
          </w:tcPr>
          <w:p>
            <w:pPr>
              <w:spacing w:line="240"/>
            </w:pPr>
            <w:r>
              <w:rPr>
                <w:rFonts w:ascii="Times New Roman" w:cs="Times New Roman" w:eastAsia="Times New Roman" w:hAnsi="Times New Roman"/>
                <w:b w:val="false"/>
                <w:bCs w:val="false"/>
                <w:sz w:val="20"/>
                <w:szCs w:val="20"/>
              </w:rPr>
              <w:t xml:space="preserve">INU030</w:t>
            </w:r>
          </w:p>
        </w:tc>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2000"/>
          </w:tcPr>
          <w:p>
            <w:pPr>
              <w:spacing w:line="240"/>
            </w:pPr>
            <w:r>
              <w:rPr>
                <w:rFonts w:ascii="Times New Roman" w:cs="Times New Roman" w:eastAsia="Times New Roman" w:hAnsi="Times New Roman"/>
                <w:b w:val="false"/>
                <w:bCs w:val="false"/>
                <w:sz w:val="20"/>
                <w:szCs w:val="20"/>
              </w:rPr>
              <w:t xml:space="preserve">59.94</w:t>
            </w:r>
          </w:p>
        </w:tc>
      </w:tr>
      <w:tr>
        <w:tc>
          <w:tcPr>
            <w:tcW w:type="dxa" w:w="2200"/>
          </w:tcPr>
          <w:p>
            <w:pPr>
              <w:spacing w:line="240"/>
            </w:pPr>
            <w:r>
              <w:rPr>
                <w:rFonts w:ascii="Times New Roman" w:cs="Times New Roman" w:eastAsia="Times New Roman" w:hAnsi="Times New Roman"/>
                <w:b w:val="false"/>
                <w:bCs w:val="false"/>
                <w:sz w:val="20"/>
                <w:szCs w:val="20"/>
              </w:rPr>
              <w:t xml:space="preserve">AHT121</w:t>
            </w:r>
          </w:p>
        </w:tc>
        <w:tc>
          <w:tcPr>
            <w:tcW w:type="dxa" w:w="1200"/>
          </w:tcPr>
          <w:p>
            <w:pPr>
              <w:spacing w:line="240"/>
            </w:pPr>
            <w:r>
              <w:rPr>
                <w:rFonts w:ascii="Times New Roman" w:cs="Times New Roman" w:eastAsia="Times New Roman" w:hAnsi="Times New Roman"/>
                <w:b w:val="false"/>
                <w:bCs w:val="false"/>
                <w:sz w:val="20"/>
                <w:szCs w:val="20"/>
              </w:rPr>
              <w:t xml:space="preserve">13</w:t>
            </w:r>
          </w:p>
        </w:tc>
        <w:tc>
          <w:tcPr>
            <w:tcW w:type="dxa" w:w="2000"/>
          </w:tcPr>
          <w:p>
            <w:pPr>
              <w:spacing w:line="240"/>
            </w:pPr>
            <w:r>
              <w:rPr>
                <w:rFonts w:ascii="Times New Roman" w:cs="Times New Roman" w:eastAsia="Times New Roman" w:hAnsi="Times New Roman"/>
                <w:b w:val="false"/>
                <w:bCs w:val="false"/>
                <w:sz w:val="20"/>
                <w:szCs w:val="20"/>
              </w:rPr>
              <w:t xml:space="preserve">49.45</w:t>
            </w:r>
          </w:p>
        </w:tc>
      </w:tr>
      <w:tr>
        <w:tc>
          <w:tcPr>
            <w:tcW w:type="dxa" w:w="2200"/>
          </w:tcPr>
          <w:p>
            <w:pPr>
              <w:spacing w:line="240"/>
            </w:pPr>
            <w:r>
              <w:rPr>
                <w:rFonts w:ascii="Times New Roman" w:cs="Times New Roman" w:eastAsia="Times New Roman" w:hAnsi="Times New Roman"/>
                <w:b w:val="false"/>
                <w:bCs w:val="false"/>
                <w:sz w:val="20"/>
                <w:szCs w:val="20"/>
              </w:rPr>
              <w:t xml:space="preserve">REN169D01</w:t>
            </w:r>
          </w:p>
        </w:tc>
        <w:tc>
          <w:tcPr>
            <w:tcW w:type="dxa" w:w="1200"/>
          </w:tcPr>
          <w:p>
            <w:pPr>
              <w:spacing w:line="240"/>
            </w:pPr>
            <w:r>
              <w:rPr>
                <w:rFonts w:ascii="Times New Roman" w:cs="Times New Roman" w:eastAsia="Times New Roman" w:hAnsi="Times New Roman"/>
                <w:b w:val="false"/>
                <w:bCs w:val="false"/>
                <w:sz w:val="20"/>
                <w:szCs w:val="20"/>
              </w:rPr>
              <w:t xml:space="preserve">14</w:t>
            </w:r>
          </w:p>
        </w:tc>
        <w:tc>
          <w:tcPr>
            <w:tcW w:type="dxa" w:w="2000"/>
          </w:tcPr>
          <w:p>
            <w:pPr>
              <w:spacing w:line="240"/>
            </w:pPr>
            <w:r>
              <w:rPr>
                <w:rFonts w:ascii="Times New Roman" w:cs="Times New Roman" w:eastAsia="Times New Roman" w:hAnsi="Times New Roman"/>
                <w:b w:val="false"/>
                <w:bCs w:val="false"/>
                <w:sz w:val="20"/>
                <w:szCs w:val="20"/>
              </w:rPr>
              <w:t xml:space="preserve">34.85</w:t>
            </w:r>
          </w:p>
        </w:tc>
      </w:tr>
      <w:tr>
        <w:tc>
          <w:tcPr>
            <w:tcW w:type="dxa" w:w="2200"/>
          </w:tcPr>
          <w:p>
            <w:pPr>
              <w:spacing w:line="240"/>
            </w:pPr>
            <w:r>
              <w:rPr>
                <w:rFonts w:ascii="Times New Roman" w:cs="Times New Roman" w:eastAsia="Times New Roman" w:hAnsi="Times New Roman"/>
                <w:b w:val="false"/>
                <w:bCs w:val="false"/>
                <w:sz w:val="20"/>
                <w:szCs w:val="20"/>
              </w:rPr>
              <w:t xml:space="preserve">REN247M23</w:t>
            </w:r>
          </w:p>
        </w:tc>
        <w:tc>
          <w:tcPr>
            <w:tcW w:type="dxa" w:w="1200"/>
          </w:tcPr>
          <w:p>
            <w:pPr>
              <w:spacing w:line="240"/>
            </w:pPr>
            <w:r>
              <w:rPr>
                <w:rFonts w:ascii="Times New Roman" w:cs="Times New Roman" w:eastAsia="Times New Roman" w:hAnsi="Times New Roman"/>
                <w:b w:val="false"/>
                <w:bCs w:val="false"/>
                <w:sz w:val="20"/>
                <w:szCs w:val="20"/>
              </w:rPr>
              <w:t xml:space="preserve">15</w:t>
            </w:r>
          </w:p>
        </w:tc>
        <w:tc>
          <w:tcPr>
            <w:tcW w:type="dxa" w:w="2000"/>
          </w:tcPr>
          <w:p>
            <w:pPr>
              <w:spacing w:line="240"/>
            </w:pPr>
            <w:r>
              <w:rPr>
                <w:rFonts w:ascii="Times New Roman" w:cs="Times New Roman" w:eastAsia="Times New Roman" w:hAnsi="Times New Roman"/>
                <w:b w:val="false"/>
                <w:bCs w:val="false"/>
                <w:sz w:val="20"/>
                <w:szCs w:val="20"/>
              </w:rPr>
              <w:t xml:space="preserve">23.33</w:t>
            </w:r>
          </w:p>
        </w:tc>
      </w:tr>
      <w:tr>
        <w:tc>
          <w:tcPr>
            <w:tcW w:type="dxa" w:w="2200"/>
          </w:tcPr>
          <w:p>
            <w:pPr>
              <w:spacing w:line="240"/>
            </w:pPr>
            <w:r>
              <w:rPr>
                <w:rFonts w:ascii="Times New Roman" w:cs="Times New Roman" w:eastAsia="Times New Roman" w:hAnsi="Times New Roman"/>
                <w:b w:val="false"/>
                <w:bCs w:val="false"/>
                <w:sz w:val="20"/>
                <w:szCs w:val="20"/>
              </w:rPr>
              <w:t xml:space="preserve">AHTh260</w:t>
            </w:r>
          </w:p>
        </w:tc>
        <w:tc>
          <w:tcPr>
            <w:tcW w:type="dxa" w:w="1200"/>
          </w:tcPr>
          <w:p>
            <w:pPr>
              <w:spacing w:line="240"/>
            </w:pPr>
            <w:r>
              <w:rPr>
                <w:rFonts w:ascii="Times New Roman" w:cs="Times New Roman" w:eastAsia="Times New Roman" w:hAnsi="Times New Roman"/>
                <w:b w:val="false"/>
                <w:bCs w:val="false"/>
                <w:sz w:val="20"/>
                <w:szCs w:val="20"/>
              </w:rPr>
              <w:t xml:space="preserve">16</w:t>
            </w:r>
          </w:p>
        </w:tc>
        <w:tc>
          <w:tcPr>
            <w:tcW w:type="dxa" w:w="2000"/>
          </w:tcPr>
          <w:p>
            <w:pPr>
              <w:spacing w:line="240"/>
            </w:pPr>
            <w:r>
              <w:rPr>
                <w:rFonts w:ascii="Times New Roman" w:cs="Times New Roman" w:eastAsia="Times New Roman" w:hAnsi="Times New Roman"/>
                <w:b w:val="false"/>
                <w:bCs w:val="false"/>
                <w:sz w:val="20"/>
                <w:szCs w:val="20"/>
              </w:rPr>
              <w:t xml:space="preserve">14.23</w:t>
            </w:r>
          </w:p>
        </w:tc>
      </w:tr>
      <w:tr>
        <w:tc>
          <w:tcPr>
            <w:tcW w:type="dxa" w:w="2200"/>
          </w:tcPr>
          <w:p>
            <w:pPr>
              <w:spacing w:line="240"/>
            </w:pPr>
            <w:r>
              <w:rPr>
                <w:rFonts w:ascii="Times New Roman" w:cs="Times New Roman" w:eastAsia="Times New Roman" w:hAnsi="Times New Roman"/>
                <w:b w:val="false"/>
                <w:bCs w:val="false"/>
                <w:sz w:val="20"/>
                <w:szCs w:val="20"/>
              </w:rPr>
              <w:t xml:space="preserve">REN54P11</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18.36</w:t>
            </w:r>
          </w:p>
        </w:tc>
      </w:tr>
      <w:tr>
        <w:tc>
          <w:tcPr>
            <w:tcW w:type="dxa" w:w="2200"/>
          </w:tcPr>
          <w:p>
            <w:pPr>
              <w:spacing w:line="240"/>
            </w:pPr>
            <w:r>
              <w:rPr>
                <w:rFonts w:ascii="Times New Roman" w:cs="Times New Roman" w:eastAsia="Times New Roman" w:hAnsi="Times New Roman"/>
                <w:b w:val="false"/>
                <w:bCs w:val="false"/>
                <w:sz w:val="20"/>
                <w:szCs w:val="20"/>
              </w:rPr>
              <w:t xml:space="preserve">VGL1828</w:t>
            </w:r>
          </w:p>
        </w:tc>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2000"/>
          </w:tcPr>
          <w:p>
            <w:pPr>
              <w:spacing w:line="240"/>
            </w:pPr>
            <w:r>
              <w:rPr>
                <w:rFonts w:ascii="Times New Roman" w:cs="Times New Roman" w:eastAsia="Times New Roman" w:hAnsi="Times New Roman"/>
                <w:b w:val="false"/>
                <w:bCs w:val="false"/>
                <w:sz w:val="20"/>
                <w:szCs w:val="20"/>
              </w:rPr>
              <w:t xml:space="preserve">25.78</w:t>
            </w:r>
          </w:p>
        </w:tc>
      </w:tr>
      <w:tr>
        <w:tc>
          <w:tcPr>
            <w:tcW w:type="dxa" w:w="2200"/>
          </w:tcPr>
          <w:p>
            <w:pPr>
              <w:spacing w:line="240"/>
            </w:pPr>
            <w:r>
              <w:rPr>
                <w:rFonts w:ascii="Times New Roman" w:cs="Times New Roman" w:eastAsia="Times New Roman" w:hAnsi="Times New Roman"/>
                <w:b w:val="false"/>
                <w:bCs w:val="false"/>
                <w:sz w:val="20"/>
                <w:szCs w:val="20"/>
              </w:rPr>
              <w:t xml:space="preserve">VGL2009</w:t>
            </w:r>
          </w:p>
        </w:tc>
        <w:tc>
          <w:tcPr>
            <w:tcW w:type="dxa" w:w="1200"/>
          </w:tcPr>
          <w:p>
            <w:pPr>
              <w:spacing w:line="240"/>
            </w:pPr>
            <w:r>
              <w:rPr>
                <w:rFonts w:ascii="Times New Roman" w:cs="Times New Roman" w:eastAsia="Times New Roman" w:hAnsi="Times New Roman"/>
                <w:b w:val="false"/>
                <w:bCs w:val="false"/>
                <w:sz w:val="20"/>
                <w:szCs w:val="20"/>
              </w:rPr>
              <w:t xml:space="preserve">20</w:t>
            </w:r>
          </w:p>
        </w:tc>
        <w:tc>
          <w:tcPr>
            <w:tcW w:type="dxa" w:w="2000"/>
          </w:tcPr>
          <w:p>
            <w:pPr>
              <w:spacing w:line="240"/>
            </w:pPr>
            <w:r>
              <w:rPr>
                <w:rFonts w:ascii="Times New Roman" w:cs="Times New Roman" w:eastAsia="Times New Roman" w:hAnsi="Times New Roman"/>
                <w:b w:val="false"/>
                <w:bCs w:val="false"/>
                <w:sz w:val="20"/>
                <w:szCs w:val="20"/>
              </w:rPr>
              <w:t xml:space="preserve">6.36</w:t>
            </w:r>
          </w:p>
        </w:tc>
      </w:tr>
      <w:tr>
        <w:tc>
          <w:tcPr>
            <w:tcW w:type="dxa" w:w="2200"/>
          </w:tcPr>
          <w:p>
            <w:pPr>
              <w:spacing w:line="240"/>
            </w:pPr>
            <w:r>
              <w:rPr>
                <w:rFonts w:ascii="Times New Roman" w:cs="Times New Roman" w:eastAsia="Times New Roman" w:hAnsi="Times New Roman"/>
                <w:b w:val="false"/>
                <w:bCs w:val="false"/>
                <w:sz w:val="20"/>
                <w:szCs w:val="20"/>
              </w:rPr>
              <w:t xml:space="preserve">INRA21</w:t>
            </w:r>
          </w:p>
        </w:tc>
        <w:tc>
          <w:tcPr>
            <w:tcW w:type="dxa" w:w="1200"/>
          </w:tcPr>
          <w:p>
            <w:pPr>
              <w:spacing w:line="240"/>
            </w:pPr>
            <w:r>
              <w:rPr>
                <w:rFonts w:ascii="Times New Roman" w:cs="Times New Roman" w:eastAsia="Times New Roman" w:hAnsi="Times New Roman"/>
                <w:b w:val="false"/>
                <w:bCs w:val="false"/>
                <w:sz w:val="20"/>
                <w:szCs w:val="20"/>
              </w:rPr>
              <w:t xml:space="preserve">21</w:t>
            </w:r>
          </w:p>
        </w:tc>
        <w:tc>
          <w:tcPr>
            <w:tcW w:type="dxa" w:w="2000"/>
          </w:tcPr>
          <w:p>
            <w:pPr>
              <w:spacing w:line="240"/>
            </w:pPr>
            <w:r>
              <w:rPr>
                <w:rFonts w:ascii="Times New Roman" w:cs="Times New Roman" w:eastAsia="Times New Roman" w:hAnsi="Times New Roman"/>
                <w:b w:val="false"/>
                <w:bCs w:val="false"/>
                <w:sz w:val="20"/>
                <w:szCs w:val="20"/>
              </w:rPr>
              <w:t xml:space="preserve">46.71</w:t>
            </w:r>
          </w:p>
        </w:tc>
      </w:tr>
      <w:tr>
        <w:tc>
          <w:tcPr>
            <w:tcW w:type="dxa" w:w="2200"/>
          </w:tcPr>
          <w:p>
            <w:pPr>
              <w:spacing w:line="240"/>
            </w:pPr>
            <w:r>
              <w:rPr>
                <w:rFonts w:ascii="Times New Roman" w:cs="Times New Roman" w:eastAsia="Times New Roman" w:hAnsi="Times New Roman"/>
                <w:b w:val="false"/>
                <w:bCs w:val="false"/>
                <w:sz w:val="20"/>
                <w:szCs w:val="20"/>
              </w:rPr>
              <w:t xml:space="preserve">C22.279</w:t>
            </w:r>
          </w:p>
        </w:tc>
        <w:tc>
          <w:tcPr>
            <w:tcW w:type="dxa" w:w="1200"/>
          </w:tcPr>
          <w:p>
            <w:pPr>
              <w:spacing w:line="240"/>
            </w:pPr>
            <w:r>
              <w:rPr>
                <w:rFonts w:ascii="Times New Roman" w:cs="Times New Roman" w:eastAsia="Times New Roman" w:hAnsi="Times New Roman"/>
                <w:b w:val="false"/>
                <w:bCs w:val="false"/>
                <w:sz w:val="20"/>
                <w:szCs w:val="20"/>
              </w:rPr>
              <w:t xml:space="preserve">22</w:t>
            </w:r>
          </w:p>
        </w:tc>
        <w:tc>
          <w:tcPr>
            <w:tcW w:type="dxa" w:w="2000"/>
          </w:tcPr>
          <w:p>
            <w:pPr>
              <w:spacing w:line="240"/>
            </w:pPr>
            <w:r>
              <w:rPr>
                <w:rFonts w:ascii="Times New Roman" w:cs="Times New Roman" w:eastAsia="Times New Roman" w:hAnsi="Times New Roman"/>
                <w:b w:val="false"/>
                <w:bCs w:val="false"/>
                <w:sz w:val="20"/>
                <w:szCs w:val="20"/>
              </w:rPr>
              <w:t xml:space="preserve">49.77</w:t>
            </w:r>
          </w:p>
        </w:tc>
      </w:tr>
      <w:tr>
        <w:tc>
          <w:tcPr>
            <w:tcW w:type="dxa" w:w="2200"/>
          </w:tcPr>
          <w:p>
            <w:pPr>
              <w:spacing w:line="240"/>
            </w:pPr>
            <w:r>
              <w:rPr>
                <w:rFonts w:ascii="Times New Roman" w:cs="Times New Roman" w:eastAsia="Times New Roman" w:hAnsi="Times New Roman"/>
                <w:b w:val="false"/>
                <w:bCs w:val="false"/>
                <w:sz w:val="20"/>
                <w:szCs w:val="20"/>
              </w:rPr>
              <w:t xml:space="preserve">AHTk253</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8.50</w:t>
            </w:r>
          </w:p>
        </w:tc>
      </w:tr>
      <w:tr>
        <w:tc>
          <w:tcPr>
            <w:tcW w:type="dxa" w:w="2200"/>
          </w:tcPr>
          <w:p>
            <w:pPr>
              <w:spacing w:line="240"/>
            </w:pPr>
            <w:r>
              <w:rPr>
                <w:rFonts w:ascii="Times New Roman" w:cs="Times New Roman" w:eastAsia="Times New Roman" w:hAnsi="Times New Roman"/>
                <w:b w:val="false"/>
                <w:bCs w:val="false"/>
                <w:sz w:val="20"/>
                <w:szCs w:val="20"/>
              </w:rPr>
              <w:t xml:space="preserve">FH2001</w:t>
            </w:r>
          </w:p>
        </w:tc>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2000"/>
          </w:tcPr>
          <w:p>
            <w:pPr>
              <w:spacing w:line="240"/>
            </w:pPr>
            <w:r>
              <w:rPr>
                <w:rFonts w:ascii="Times New Roman" w:cs="Times New Roman" w:eastAsia="Times New Roman" w:hAnsi="Times New Roman"/>
                <w:b w:val="false"/>
                <w:bCs w:val="false"/>
                <w:sz w:val="20"/>
                <w:szCs w:val="20"/>
              </w:rPr>
              <w:t xml:space="preserve">48.46</w:t>
            </w:r>
          </w:p>
        </w:tc>
      </w:tr>
      <w:tr>
        <w:tc>
          <w:tcPr>
            <w:tcW w:type="dxa" w:w="2200"/>
          </w:tcPr>
          <w:p>
            <w:pPr>
              <w:spacing w:line="240"/>
            </w:pPr>
            <w:r>
              <w:rPr>
                <w:rFonts w:ascii="Times New Roman" w:cs="Times New Roman" w:eastAsia="Times New Roman" w:hAnsi="Times New Roman"/>
                <w:b w:val="false"/>
                <w:bCs w:val="false"/>
                <w:sz w:val="20"/>
                <w:szCs w:val="20"/>
              </w:rPr>
              <w:t xml:space="preserve">VGL2409</w:t>
            </w:r>
          </w:p>
        </w:tc>
        <w:tc>
          <w:tcPr>
            <w:tcW w:type="dxa" w:w="1200"/>
          </w:tcPr>
          <w:p>
            <w:pPr>
              <w:spacing w:line="240"/>
            </w:pPr>
            <w:r>
              <w:rPr>
                <w:rFonts w:ascii="Times New Roman" w:cs="Times New Roman" w:eastAsia="Times New Roman" w:hAnsi="Times New Roman"/>
                <w:b w:val="false"/>
                <w:bCs w:val="false"/>
                <w:sz w:val="20"/>
                <w:szCs w:val="20"/>
              </w:rPr>
              <w:t xml:space="preserve">24</w:t>
            </w:r>
          </w:p>
        </w:tc>
        <w:tc>
          <w:tcPr>
            <w:tcW w:type="dxa" w:w="2000"/>
          </w:tcPr>
          <w:p>
            <w:pPr>
              <w:spacing w:line="240"/>
            </w:pPr>
            <w:r>
              <w:rPr>
                <w:rFonts w:ascii="Times New Roman" w:cs="Times New Roman" w:eastAsia="Times New Roman" w:hAnsi="Times New Roman"/>
                <w:b w:val="false"/>
                <w:bCs w:val="false"/>
                <w:sz w:val="20"/>
                <w:szCs w:val="20"/>
              </w:rPr>
              <w:t xml:space="preserve">6.59</w:t>
            </w:r>
          </w:p>
        </w:tc>
      </w:tr>
      <w:tr>
        <w:tc>
          <w:tcPr>
            <w:tcW w:type="dxa" w:w="2200"/>
          </w:tcPr>
          <w:p>
            <w:pPr>
              <w:spacing w:line="240"/>
            </w:pPr>
            <w:r>
              <w:rPr>
                <w:rFonts w:ascii="Times New Roman" w:cs="Times New Roman" w:eastAsia="Times New Roman" w:hAnsi="Times New Roman"/>
                <w:b w:val="false"/>
                <w:bCs w:val="false"/>
                <w:sz w:val="20"/>
                <w:szCs w:val="20"/>
              </w:rPr>
              <w:t xml:space="preserve">AHTk211</w:t>
            </w:r>
          </w:p>
        </w:tc>
        <w:tc>
          <w:tcPr>
            <w:tcW w:type="dxa" w:w="1200"/>
          </w:tcPr>
          <w:p>
            <w:pPr>
              <w:spacing w:line="240"/>
            </w:pPr>
            <w:r>
              <w:rPr>
                <w:rFonts w:ascii="Times New Roman" w:cs="Times New Roman" w:eastAsia="Times New Roman" w:hAnsi="Times New Roman"/>
                <w:b w:val="false"/>
                <w:bCs w:val="false"/>
                <w:sz w:val="20"/>
                <w:szCs w:val="20"/>
              </w:rPr>
              <w:t xml:space="preserve">26</w:t>
            </w:r>
          </w:p>
        </w:tc>
        <w:tc>
          <w:tcPr>
            <w:tcW w:type="dxa" w:w="2000"/>
          </w:tcPr>
          <w:p>
            <w:pPr>
              <w:spacing w:line="240"/>
            </w:pPr>
            <w:r>
              <w:rPr>
                <w:rFonts w:ascii="Times New Roman" w:cs="Times New Roman" w:eastAsia="Times New Roman" w:hAnsi="Times New Roman"/>
                <w:b w:val="false"/>
                <w:bCs w:val="false"/>
                <w:sz w:val="20"/>
                <w:szCs w:val="20"/>
              </w:rPr>
              <w:t xml:space="preserve">11.12</w:t>
            </w:r>
          </w:p>
        </w:tc>
      </w:tr>
      <w:tr>
        <w:tc>
          <w:tcPr>
            <w:tcW w:type="dxa" w:w="2200"/>
          </w:tcPr>
          <w:p>
            <w:pPr>
              <w:spacing w:line="240"/>
            </w:pPr>
            <w:r>
              <w:rPr>
                <w:rFonts w:ascii="Times New Roman" w:cs="Times New Roman" w:eastAsia="Times New Roman" w:hAnsi="Times New Roman"/>
                <w:b w:val="false"/>
                <w:bCs w:val="false"/>
                <w:sz w:val="20"/>
                <w:szCs w:val="20"/>
              </w:rPr>
              <w:t xml:space="preserve">VGL2918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15.70</w:t>
            </w:r>
          </w:p>
        </w:tc>
      </w:tr>
      <w:tr>
        <w:tc>
          <w:tcPr>
            <w:tcW w:type="dxa" w:w="2200"/>
          </w:tcPr>
          <w:p>
            <w:pPr>
              <w:spacing w:line="240"/>
            </w:pPr>
            <w:r>
              <w:rPr>
                <w:rFonts w:ascii="Times New Roman" w:cs="Times New Roman" w:eastAsia="Times New Roman" w:hAnsi="Times New Roman"/>
                <w:b w:val="false"/>
                <w:bCs w:val="false"/>
                <w:sz w:val="20"/>
                <w:szCs w:val="20"/>
              </w:rPr>
              <w:t xml:space="preserve">REN169O18</w:t>
            </w:r>
          </w:p>
        </w:tc>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2000"/>
          </w:tcPr>
          <w:p>
            <w:pPr>
              <w:spacing w:line="240"/>
            </w:pPr>
            <w:r>
              <w:rPr>
                <w:rFonts w:ascii="Times New Roman" w:cs="Times New Roman" w:eastAsia="Times New Roman" w:hAnsi="Times New Roman"/>
                <w:b w:val="false"/>
                <w:bCs w:val="false"/>
                <w:sz w:val="20"/>
                <w:szCs w:val="20"/>
              </w:rPr>
              <w:t xml:space="preserve">32.38</w:t>
            </w:r>
          </w:p>
        </w:tc>
      </w:tr>
      <w:tr>
        <w:tc>
          <w:tcPr>
            <w:tcW w:type="dxa" w:w="2200"/>
          </w:tcPr>
          <w:p>
            <w:pPr>
              <w:spacing w:line="240"/>
            </w:pPr>
            <w:r>
              <w:rPr>
                <w:rFonts w:ascii="Times New Roman" w:cs="Times New Roman" w:eastAsia="Times New Roman" w:hAnsi="Times New Roman"/>
                <w:b w:val="false"/>
                <w:bCs w:val="false"/>
                <w:sz w:val="20"/>
                <w:szCs w:val="20"/>
              </w:rPr>
              <w:t xml:space="preserve">VGL3008</w:t>
            </w:r>
          </w:p>
        </w:tc>
        <w:tc>
          <w:tcPr>
            <w:tcW w:type="dxa" w:w="1200"/>
          </w:tcPr>
          <w:p>
            <w:pPr>
              <w:spacing w:line="240"/>
            </w:pPr>
            <w:r>
              <w:rPr>
                <w:rFonts w:ascii="Times New Roman" w:cs="Times New Roman" w:eastAsia="Times New Roman" w:hAnsi="Times New Roman"/>
                <w:b w:val="false"/>
                <w:bCs w:val="false"/>
                <w:sz w:val="20"/>
                <w:szCs w:val="20"/>
              </w:rPr>
              <w:t xml:space="preserve">30</w:t>
            </w:r>
          </w:p>
        </w:tc>
        <w:tc>
          <w:tcPr>
            <w:tcW w:type="dxa" w:w="2000"/>
          </w:tcPr>
          <w:p>
            <w:pPr>
              <w:spacing w:line="240"/>
            </w:pPr>
            <w:r>
              <w:rPr>
                <w:rFonts w:ascii="Times New Roman" w:cs="Times New Roman" w:eastAsia="Times New Roman" w:hAnsi="Times New Roman"/>
                <w:b w:val="false"/>
                <w:bCs w:val="false"/>
                <w:sz w:val="20"/>
                <w:szCs w:val="20"/>
              </w:rPr>
              <w:t xml:space="preserve">6.14</w:t>
            </w:r>
          </w:p>
        </w:tc>
      </w:tr>
      <w:tr>
        <w:tc>
          <w:tcPr>
            <w:tcW w:type="dxa" w:w="2200"/>
          </w:tcPr>
          <w:p>
            <w:pPr>
              <w:spacing w:line="240"/>
            </w:pPr>
            <w:r>
              <w:rPr>
                <w:rFonts w:ascii="Times New Roman" w:cs="Times New Roman" w:eastAsia="Times New Roman" w:hAnsi="Times New Roman"/>
                <w:b w:val="false"/>
                <w:bCs w:val="false"/>
                <w:sz w:val="20"/>
                <w:szCs w:val="20"/>
              </w:rPr>
              <w:t xml:space="preserve">VGL3235</w:t>
            </w:r>
          </w:p>
        </w:tc>
        <w:tc>
          <w:tcPr>
            <w:tcW w:type="dxa" w:w="1200"/>
          </w:tcPr>
          <w:p>
            <w:pPr>
              <w:spacing w:line="240"/>
            </w:pPr>
            <w:r>
              <w:rPr>
                <w:rFonts w:ascii="Times New Roman" w:cs="Times New Roman" w:eastAsia="Times New Roman" w:hAnsi="Times New Roman"/>
                <w:b w:val="false"/>
                <w:bCs w:val="false"/>
                <w:sz w:val="20"/>
                <w:szCs w:val="20"/>
              </w:rPr>
              <w:t xml:space="preserve">32</w:t>
            </w:r>
          </w:p>
        </w:tc>
        <w:tc>
          <w:tcPr>
            <w:tcW w:type="dxa" w:w="2000"/>
          </w:tcPr>
          <w:p>
            <w:pPr>
              <w:spacing w:line="240"/>
            </w:pPr>
            <w:r>
              <w:rPr>
                <w:rFonts w:ascii="Times New Roman" w:cs="Times New Roman" w:eastAsia="Times New Roman" w:hAnsi="Times New Roman"/>
                <w:b w:val="false"/>
                <w:bCs w:val="false"/>
                <w:sz w:val="20"/>
                <w:szCs w:val="20"/>
              </w:rPr>
              <w:t xml:space="preserve">7.29</w:t>
            </w:r>
          </w:p>
        </w:tc>
      </w:tr>
      <w:tr>
        <w:tc>
          <w:tcPr>
            <w:tcW w:type="dxa" w:w="2200"/>
          </w:tcPr>
          <w:p>
            <w:pPr>
              <w:spacing w:line="240"/>
            </w:pPr>
            <w:r>
              <w:rPr>
                <w:rFonts w:ascii="Times New Roman" w:cs="Times New Roman" w:eastAsia="Times New Roman" w:hAnsi="Times New Roman"/>
                <w:b w:val="false"/>
                <w:bCs w:val="false"/>
                <w:sz w:val="20"/>
                <w:szCs w:val="20"/>
              </w:rPr>
              <w:t xml:space="preserve">INU005</w:t>
            </w:r>
          </w:p>
        </w:tc>
        <w:tc>
          <w:tcPr>
            <w:tcW w:type="dxa" w:w="1200"/>
          </w:tcPr>
          <w:p>
            <w:pPr>
              <w:spacing w:line="240"/>
            </w:pPr>
            <w:r>
              <w:rPr>
                <w:rFonts w:ascii="Times New Roman" w:cs="Times New Roman" w:eastAsia="Times New Roman" w:hAnsi="Times New Roman"/>
                <w:b w:val="false"/>
                <w:bCs w:val="false"/>
                <w:sz w:val="20"/>
                <w:szCs w:val="20"/>
              </w:rPr>
              <w:t xml:space="preserve">33</w:t>
            </w:r>
          </w:p>
        </w:tc>
        <w:tc>
          <w:tcPr>
            <w:tcW w:type="dxa" w:w="2000"/>
          </w:tcPr>
          <w:p>
            <w:pPr>
              <w:spacing w:line="240"/>
            </w:pPr>
            <w:r>
              <w:rPr>
                <w:rFonts w:ascii="Times New Roman" w:cs="Times New Roman" w:eastAsia="Times New Roman" w:hAnsi="Times New Roman"/>
                <w:b w:val="false"/>
                <w:bCs w:val="false"/>
                <w:sz w:val="20"/>
                <w:szCs w:val="20"/>
              </w:rPr>
              <w:t xml:space="preserve">26.29</w:t>
            </w:r>
          </w:p>
        </w:tc>
      </w:tr>
      <w:tr>
        <w:tc>
          <w:tcPr>
            <w:tcW w:type="dxa" w:w="2200"/>
          </w:tcPr>
          <w:p>
            <w:pPr>
              <w:spacing w:line="240"/>
            </w:pPr>
            <w:r>
              <w:rPr>
                <w:rFonts w:ascii="Times New Roman" w:cs="Times New Roman" w:eastAsia="Times New Roman" w:hAnsi="Times New Roman"/>
                <w:b w:val="false"/>
                <w:bCs w:val="false"/>
                <w:sz w:val="20"/>
                <w:szCs w:val="20"/>
              </w:rPr>
              <w:t xml:space="preserve">REN64E19</w:t>
            </w:r>
          </w:p>
        </w:tc>
        <w:tc>
          <w:tcPr>
            <w:tcW w:type="dxa" w:w="1200"/>
          </w:tcPr>
          <w:p>
            <w:pPr>
              <w:spacing w:line="240"/>
            </w:pPr>
            <w:r>
              <w:rPr>
                <w:rFonts w:ascii="Times New Roman" w:cs="Times New Roman" w:eastAsia="Times New Roman" w:hAnsi="Times New Roman"/>
                <w:b w:val="false"/>
                <w:bCs w:val="false"/>
                <w:sz w:val="20"/>
                <w:szCs w:val="20"/>
              </w:rPr>
              <w:t xml:space="preserve">34</w:t>
            </w:r>
          </w:p>
        </w:tc>
        <w:tc>
          <w:tcPr>
            <w:tcW w:type="dxa" w:w="2000"/>
          </w:tcPr>
          <w:p>
            <w:pPr>
              <w:spacing w:line="240"/>
            </w:pPr>
            <w:r>
              <w:rPr>
                <w:rFonts w:ascii="Times New Roman" w:cs="Times New Roman" w:eastAsia="Times New Roman" w:hAnsi="Times New Roman"/>
                <w:b w:val="false"/>
                <w:bCs w:val="false"/>
                <w:sz w:val="20"/>
                <w:szCs w:val="20"/>
              </w:rPr>
              <w:t xml:space="preserve">16.94</w:t>
            </w:r>
          </w:p>
        </w:tc>
      </w:tr>
      <w:tr>
        <w:tc>
          <w:tcPr>
            <w:tcW w:type="dxa" w:w="2200"/>
          </w:tcPr>
          <w:p>
            <w:pPr>
              <w:spacing w:line="240"/>
            </w:pPr>
            <w:r>
              <w:rPr>
                <w:rFonts w:ascii="Times New Roman" w:cs="Times New Roman" w:eastAsia="Times New Roman" w:hAnsi="Times New Roman"/>
                <w:b w:val="false"/>
                <w:bCs w:val="false"/>
                <w:sz w:val="20"/>
                <w:szCs w:val="20"/>
              </w:rPr>
              <w:t xml:space="preserve">AHTH130</w:t>
            </w:r>
          </w:p>
        </w:tc>
        <w:tc>
          <w:tcPr>
            <w:tcW w:type="dxa" w:w="1200"/>
          </w:tcPr>
          <w:p>
            <w:pPr>
              <w:spacing w:line="240"/>
            </w:pPr>
            <w:r>
              <w:rPr>
                <w:rFonts w:ascii="Times New Roman" w:cs="Times New Roman" w:eastAsia="Times New Roman" w:hAnsi="Times New Roman"/>
                <w:b w:val="false"/>
                <w:bCs w:val="false"/>
                <w:sz w:val="20"/>
                <w:szCs w:val="20"/>
              </w:rPr>
              <w:t xml:space="preserve">36</w:t>
            </w:r>
          </w:p>
        </w:tc>
        <w:tc>
          <w:tcPr>
            <w:tcW w:type="dxa" w:w="2000"/>
          </w:tcPr>
          <w:p>
            <w:pPr>
              <w:spacing w:line="240"/>
            </w:pPr>
            <w:r>
              <w:rPr>
                <w:rFonts w:ascii="Times New Roman" w:cs="Times New Roman" w:eastAsia="Times New Roman" w:hAnsi="Times New Roman"/>
                <w:b w:val="false"/>
                <w:bCs w:val="false"/>
                <w:sz w:val="20"/>
                <w:szCs w:val="20"/>
              </w:rPr>
              <w:t xml:space="preserve">20.24</w:t>
            </w:r>
          </w:p>
        </w:tc>
      </w:tr>
      <w:tr>
        <w:tc>
          <w:tcPr>
            <w:tcW w:type="dxa" w:w="2200"/>
          </w:tcPr>
          <w:p>
            <w:pPr>
              <w:spacing w:line="240"/>
            </w:pPr>
            <w:r>
              <w:rPr>
                <w:rFonts w:ascii="Times New Roman" w:cs="Times New Roman" w:eastAsia="Times New Roman" w:hAnsi="Times New Roman"/>
                <w:b w:val="false"/>
                <w:bCs w:val="false"/>
                <w:sz w:val="20"/>
                <w:szCs w:val="20"/>
              </w:rPr>
              <w:t xml:space="preserve">LEI004†</w:t>
            </w:r>
          </w:p>
        </w:tc>
        <w:tc>
          <w:tcPr>
            <w:tcW w:type="dxa" w:w="1200"/>
          </w:tcPr>
          <w:p>
            <w:pPr>
              <w:spacing w:line="240"/>
            </w:pPr>
            <w:r>
              <w:rPr>
                <w:rFonts w:ascii="Times New Roman" w:cs="Times New Roman" w:eastAsia="Times New Roman" w:hAnsi="Times New Roman"/>
                <w:b w:val="false"/>
                <w:bCs w:val="false"/>
                <w:sz w:val="20"/>
                <w:szCs w:val="20"/>
              </w:rPr>
              <w:t xml:space="preserve">37</w:t>
            </w:r>
          </w:p>
        </w:tc>
        <w:tc>
          <w:tcPr>
            <w:tcW w:type="dxa" w:w="2000"/>
          </w:tcPr>
          <w:p>
            <w:pPr>
              <w:spacing w:line="240"/>
            </w:pPr>
            <w:r>
              <w:rPr>
                <w:rFonts w:ascii="Times New Roman" w:cs="Times New Roman" w:eastAsia="Times New Roman" w:hAnsi="Times New Roman"/>
                <w:b w:val="false"/>
                <w:bCs w:val="false"/>
                <w:sz w:val="20"/>
                <w:szCs w:val="20"/>
              </w:rPr>
              <w:t xml:space="preserve">28.22</w:t>
            </w:r>
          </w:p>
        </w:tc>
      </w:tr>
    </w:tbl>
    <w:p>
      <w:pPr>
        <w:spacing w:after="240" w:line="360"/>
      </w:pPr>
      <w:r>
        <w:rPr>
          <w:rFonts w:ascii="Times New Roman" w:cs="Times New Roman" w:eastAsia="Times New Roman" w:hAnsi="Times New Roman"/>
          <w:i/>
          <w:iCs/>
          <w:sz w:val="24"/>
          <w:szCs w:val="24"/>
        </w:rPr>
        <w:t xml:space="preserve">† The published LEI004 reverse primer mismatches the canFam4 reference at one base, 4 bp from the 3′ end; the position was obtained with the corrected primer. The forward primer matches at all 20 bases.</w:t>
      </w:r>
    </w:p>
    <w:p>
      <w:pPr>
        <w:spacing w:after="240" w:line="360"/>
      </w:pPr>
      <w:r>
        <w:rPr>
          <w:rFonts w:ascii="Times New Roman" w:cs="Times New Roman" w:eastAsia="Times New Roman" w:hAnsi="Times New Roman"/>
          <w:i/>
          <w:iCs/>
          <w:sz w:val="24"/>
          <w:szCs w:val="24"/>
        </w:rPr>
        <w:t xml:space="preserve">(b) Inter-locus distances</w:t>
      </w:r>
    </w:p>
    <w:tbl>
      <w:tblPr>
        <w:tblW w:type="auto" w:w="0"/>
        <w:tblBorders>
          <w:top w:val="single" w:sz="4" w:space="0" w:color="auto"/>
          <w:bottom w:val="single" w:sz="4" w:space="0" w:color="auto"/>
          <w:insideH w:val="single" w:sz="4" w:space="0" w:color="auto"/>
        </w:tblBorders>
        <w:tblLayout w:type="fixed"/>
      </w:tblPr>
      <w:tblGrid>
        <w:gridCol w:w="1200"/>
        <w:gridCol w:w="3400"/>
        <w:gridCol w:w="2000"/>
      </w:tblGrid>
      <w:tr>
        <w:tc>
          <w:tcPr>
            <w:tcW w:type="dxa" w:w="1200"/>
          </w:tcPr>
          <w:p>
            <w:pPr>
              <w:spacing w:line="240"/>
            </w:pPr>
            <w:r>
              <w:rPr>
                <w:rFonts w:ascii="Times New Roman" w:cs="Times New Roman" w:eastAsia="Times New Roman" w:hAnsi="Times New Roman"/>
                <w:b/>
                <w:bCs/>
                <w:sz w:val="20"/>
                <w:szCs w:val="20"/>
              </w:rPr>
              <w:t xml:space="preserve">CFA</w:t>
            </w:r>
          </w:p>
        </w:tc>
        <w:tc>
          <w:tcPr>
            <w:tcW w:type="dxa" w:w="3400"/>
          </w:tcPr>
          <w:p>
            <w:pPr>
              <w:spacing w:line="240"/>
            </w:pPr>
            <w:r>
              <w:rPr>
                <w:rFonts w:ascii="Times New Roman" w:cs="Times New Roman" w:eastAsia="Times New Roman" w:hAnsi="Times New Roman"/>
                <w:b/>
                <w:bCs/>
                <w:sz w:val="20"/>
                <w:szCs w:val="20"/>
              </w:rPr>
              <w:t xml:space="preserve">Locus pair</w:t>
            </w:r>
          </w:p>
        </w:tc>
        <w:tc>
          <w:tcPr>
            <w:tcW w:type="dxa" w:w="2000"/>
          </w:tcPr>
          <w:p>
            <w:pPr>
              <w:spacing w:line="240"/>
            </w:pPr>
            <w:r>
              <w:rPr>
                <w:rFonts w:ascii="Times New Roman" w:cs="Times New Roman" w:eastAsia="Times New Roman" w:hAnsi="Times New Roman"/>
                <w:b/>
                <w:bCs/>
                <w:sz w:val="20"/>
                <w:szCs w:val="20"/>
              </w:rPr>
              <w:t xml:space="preserve">Distance (Mb)</w:t>
            </w:r>
          </w:p>
        </w:tc>
      </w:tr>
      <w:tr>
        <w:tc>
          <w:tcPr>
            <w:tcW w:type="dxa" w:w="1200"/>
          </w:tcPr>
          <w:p>
            <w:pPr>
              <w:spacing w:line="240"/>
            </w:pPr>
            <w:r>
              <w:rPr>
                <w:rFonts w:ascii="Times New Roman" w:cs="Times New Roman" w:eastAsia="Times New Roman" w:hAnsi="Times New Roman"/>
                <w:b w:val="false"/>
                <w:bCs w:val="false"/>
                <w:sz w:val="20"/>
                <w:szCs w:val="20"/>
              </w:rPr>
              <w:t xml:space="preserve">10</w:t>
            </w:r>
          </w:p>
        </w:tc>
        <w:tc>
          <w:tcPr>
            <w:tcW w:type="dxa" w:w="3400"/>
          </w:tcPr>
          <w:p>
            <w:pPr>
              <w:spacing w:line="240"/>
            </w:pPr>
            <w:r>
              <w:rPr>
                <w:rFonts w:ascii="Times New Roman" w:cs="Times New Roman" w:eastAsia="Times New Roman" w:hAnsi="Times New Roman"/>
                <w:b w:val="false"/>
                <w:bCs w:val="false"/>
                <w:sz w:val="20"/>
                <w:szCs w:val="20"/>
              </w:rPr>
              <w:t xml:space="preserve">VGL1063 – INU055</w:t>
            </w:r>
          </w:p>
        </w:tc>
        <w:tc>
          <w:tcPr>
            <w:tcW w:type="dxa" w:w="2000"/>
          </w:tcPr>
          <w:p>
            <w:pPr>
              <w:spacing w:line="240"/>
            </w:pPr>
            <w:r>
              <w:rPr>
                <w:rFonts w:ascii="Times New Roman" w:cs="Times New Roman" w:eastAsia="Times New Roman" w:hAnsi="Times New Roman"/>
                <w:b w:val="false"/>
                <w:bCs w:val="false"/>
                <w:sz w:val="20"/>
                <w:szCs w:val="20"/>
              </w:rPr>
              <w:t xml:space="preserve">6.75</w:t>
            </w:r>
          </w:p>
        </w:tc>
      </w:tr>
      <w:tr>
        <w:tc>
          <w:tcPr>
            <w:tcW w:type="dxa" w:w="1200"/>
          </w:tcPr>
          <w:p>
            <w:pPr>
              <w:spacing w:line="240"/>
            </w:pPr>
            <w:r>
              <w:rPr>
                <w:rFonts w:ascii="Times New Roman" w:cs="Times New Roman" w:eastAsia="Times New Roman" w:hAnsi="Times New Roman"/>
                <w:b w:val="false"/>
                <w:bCs w:val="false"/>
                <w:sz w:val="20"/>
                <w:szCs w:val="20"/>
              </w:rPr>
              <w:t xml:space="preserve">18</w:t>
            </w:r>
          </w:p>
        </w:tc>
        <w:tc>
          <w:tcPr>
            <w:tcW w:type="dxa" w:w="3400"/>
          </w:tcPr>
          <w:p>
            <w:pPr>
              <w:spacing w:line="240"/>
            </w:pPr>
            <w:r>
              <w:rPr>
                <w:rFonts w:ascii="Times New Roman" w:cs="Times New Roman" w:eastAsia="Times New Roman" w:hAnsi="Times New Roman"/>
                <w:b w:val="false"/>
                <w:bCs w:val="false"/>
                <w:sz w:val="20"/>
                <w:szCs w:val="20"/>
              </w:rPr>
              <w:t xml:space="preserve">REN54P11 – VGL1828</w:t>
            </w:r>
          </w:p>
        </w:tc>
        <w:tc>
          <w:tcPr>
            <w:tcW w:type="dxa" w:w="2000"/>
          </w:tcPr>
          <w:p>
            <w:pPr>
              <w:spacing w:line="240"/>
            </w:pPr>
            <w:r>
              <w:rPr>
                <w:rFonts w:ascii="Times New Roman" w:cs="Times New Roman" w:eastAsia="Times New Roman" w:hAnsi="Times New Roman"/>
                <w:b w:val="false"/>
                <w:bCs w:val="false"/>
                <w:sz w:val="20"/>
                <w:szCs w:val="20"/>
              </w:rPr>
              <w:t xml:space="preserve">7.42</w:t>
            </w:r>
          </w:p>
        </w:tc>
      </w:tr>
      <w:tr>
        <w:tc>
          <w:tcPr>
            <w:tcW w:type="dxa" w:w="1200"/>
          </w:tcPr>
          <w:p>
            <w:pPr>
              <w:spacing w:line="240"/>
            </w:pPr>
            <w:r>
              <w:rPr>
                <w:rFonts w:ascii="Times New Roman" w:cs="Times New Roman" w:eastAsia="Times New Roman" w:hAnsi="Times New Roman"/>
                <w:b w:val="false"/>
                <w:bCs w:val="false"/>
                <w:sz w:val="20"/>
                <w:szCs w:val="20"/>
              </w:rPr>
              <w:t xml:space="preserve">29</w:t>
            </w:r>
          </w:p>
        </w:tc>
        <w:tc>
          <w:tcPr>
            <w:tcW w:type="dxa" w:w="3400"/>
          </w:tcPr>
          <w:p>
            <w:pPr>
              <w:spacing w:line="240"/>
            </w:pPr>
            <w:r>
              <w:rPr>
                <w:rFonts w:ascii="Times New Roman" w:cs="Times New Roman" w:eastAsia="Times New Roman" w:hAnsi="Times New Roman"/>
                <w:b w:val="false"/>
                <w:bCs w:val="false"/>
                <w:sz w:val="20"/>
                <w:szCs w:val="20"/>
              </w:rPr>
              <w:t xml:space="preserve">VGL2918 – REN169O18</w:t>
            </w:r>
          </w:p>
        </w:tc>
        <w:tc>
          <w:tcPr>
            <w:tcW w:type="dxa" w:w="2000"/>
          </w:tcPr>
          <w:p>
            <w:pPr>
              <w:spacing w:line="240"/>
            </w:pPr>
            <w:r>
              <w:rPr>
                <w:rFonts w:ascii="Times New Roman" w:cs="Times New Roman" w:eastAsia="Times New Roman" w:hAnsi="Times New Roman"/>
                <w:b w:val="false"/>
                <w:bCs w:val="false"/>
                <w:sz w:val="20"/>
                <w:szCs w:val="20"/>
              </w:rPr>
              <w:t xml:space="preserve">16.68</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REN105L03 – VGL1165</w:t>
            </w:r>
          </w:p>
        </w:tc>
        <w:tc>
          <w:tcPr>
            <w:tcW w:type="dxa" w:w="2000"/>
          </w:tcPr>
          <w:p>
            <w:pPr>
              <w:spacing w:line="240"/>
            </w:pPr>
            <w:r>
              <w:rPr>
                <w:rFonts w:ascii="Times New Roman" w:cs="Times New Roman" w:eastAsia="Times New Roman" w:hAnsi="Times New Roman"/>
                <w:b w:val="false"/>
                <w:bCs w:val="false"/>
                <w:sz w:val="20"/>
                <w:szCs w:val="20"/>
              </w:rPr>
              <w:t xml:space="preserve">24.13</w:t>
            </w:r>
          </w:p>
        </w:tc>
      </w:tr>
      <w:tr>
        <w:tc>
          <w:tcPr>
            <w:tcW w:type="dxa" w:w="1200"/>
          </w:tcPr>
          <w:p>
            <w:pPr>
              <w:spacing w:line="240"/>
            </w:pPr>
            <w:r>
              <w:rPr>
                <w:rFonts w:ascii="Times New Roman" w:cs="Times New Roman" w:eastAsia="Times New Roman" w:hAnsi="Times New Roman"/>
                <w:b w:val="false"/>
                <w:bCs w:val="false"/>
                <w:sz w:val="20"/>
                <w:szCs w:val="20"/>
              </w:rPr>
              <w:t xml:space="preserve">7</w:t>
            </w:r>
          </w:p>
        </w:tc>
        <w:tc>
          <w:tcPr>
            <w:tcW w:type="dxa" w:w="3400"/>
          </w:tcPr>
          <w:p>
            <w:pPr>
              <w:spacing w:line="240"/>
            </w:pPr>
            <w:r>
              <w:rPr>
                <w:rFonts w:ascii="Times New Roman" w:cs="Times New Roman" w:eastAsia="Times New Roman" w:hAnsi="Times New Roman"/>
                <w:b w:val="false"/>
                <w:bCs w:val="false"/>
                <w:sz w:val="20"/>
                <w:szCs w:val="20"/>
              </w:rPr>
              <w:t xml:space="preserve">REN162C04 – VGL0760</w:t>
            </w:r>
          </w:p>
        </w:tc>
        <w:tc>
          <w:tcPr>
            <w:tcW w:type="dxa" w:w="2000"/>
          </w:tcPr>
          <w:p>
            <w:pPr>
              <w:spacing w:line="240"/>
            </w:pPr>
            <w:r>
              <w:rPr>
                <w:rFonts w:ascii="Times New Roman" w:cs="Times New Roman" w:eastAsia="Times New Roman" w:hAnsi="Times New Roman"/>
                <w:b w:val="false"/>
                <w:bCs w:val="false"/>
                <w:sz w:val="20"/>
                <w:szCs w:val="20"/>
              </w:rPr>
              <w:t xml:space="preserve">30.55</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REN105L03</w:t>
            </w:r>
          </w:p>
        </w:tc>
        <w:tc>
          <w:tcPr>
            <w:tcW w:type="dxa" w:w="2000"/>
          </w:tcPr>
          <w:p>
            <w:pPr>
              <w:spacing w:line="240"/>
            </w:pPr>
            <w:r>
              <w:rPr>
                <w:rFonts w:ascii="Times New Roman" w:cs="Times New Roman" w:eastAsia="Times New Roman" w:hAnsi="Times New Roman"/>
                <w:b w:val="false"/>
                <w:bCs w:val="false"/>
                <w:sz w:val="20"/>
                <w:szCs w:val="20"/>
              </w:rPr>
              <w:t xml:space="preserve">35.48</w:t>
            </w:r>
          </w:p>
        </w:tc>
      </w:tr>
      <w:tr>
        <w:tc>
          <w:tcPr>
            <w:tcW w:type="dxa" w:w="1200"/>
          </w:tcPr>
          <w:p>
            <w:pPr>
              <w:spacing w:line="240"/>
            </w:pPr>
            <w:r>
              <w:rPr>
                <w:rFonts w:ascii="Times New Roman" w:cs="Times New Roman" w:eastAsia="Times New Roman" w:hAnsi="Times New Roman"/>
                <w:b w:val="false"/>
                <w:bCs w:val="false"/>
                <w:sz w:val="20"/>
                <w:szCs w:val="20"/>
              </w:rPr>
              <w:t xml:space="preserve">12</w:t>
            </w:r>
          </w:p>
        </w:tc>
        <w:tc>
          <w:tcPr>
            <w:tcW w:type="dxa" w:w="3400"/>
          </w:tcPr>
          <w:p>
            <w:pPr>
              <w:spacing w:line="240"/>
            </w:pPr>
            <w:r>
              <w:rPr>
                <w:rFonts w:ascii="Times New Roman" w:cs="Times New Roman" w:eastAsia="Times New Roman" w:hAnsi="Times New Roman"/>
                <w:b w:val="false"/>
                <w:bCs w:val="false"/>
                <w:sz w:val="20"/>
                <w:szCs w:val="20"/>
              </w:rPr>
              <w:t xml:space="preserve">FH2054 – INU030</w:t>
            </w:r>
          </w:p>
        </w:tc>
        <w:tc>
          <w:tcPr>
            <w:tcW w:type="dxa" w:w="2000"/>
          </w:tcPr>
          <w:p>
            <w:pPr>
              <w:spacing w:line="240"/>
            </w:pPr>
            <w:r>
              <w:rPr>
                <w:rFonts w:ascii="Times New Roman" w:cs="Times New Roman" w:eastAsia="Times New Roman" w:hAnsi="Times New Roman"/>
                <w:b w:val="false"/>
                <w:bCs w:val="false"/>
                <w:sz w:val="20"/>
                <w:szCs w:val="20"/>
              </w:rPr>
              <w:t xml:space="preserve">38.42</w:t>
            </w:r>
          </w:p>
        </w:tc>
      </w:tr>
      <w:tr>
        <w:tc>
          <w:tcPr>
            <w:tcW w:type="dxa" w:w="1200"/>
          </w:tcPr>
          <w:p>
            <w:pPr>
              <w:spacing w:line="240"/>
            </w:pPr>
            <w:r>
              <w:rPr>
                <w:rFonts w:ascii="Times New Roman" w:cs="Times New Roman" w:eastAsia="Times New Roman" w:hAnsi="Times New Roman"/>
                <w:b w:val="false"/>
                <w:bCs w:val="false"/>
                <w:sz w:val="20"/>
                <w:szCs w:val="20"/>
              </w:rPr>
              <w:t xml:space="preserve">23</w:t>
            </w:r>
          </w:p>
        </w:tc>
        <w:tc>
          <w:tcPr>
            <w:tcW w:type="dxa" w:w="3400"/>
          </w:tcPr>
          <w:p>
            <w:pPr>
              <w:spacing w:line="240"/>
            </w:pPr>
            <w:r>
              <w:rPr>
                <w:rFonts w:ascii="Times New Roman" w:cs="Times New Roman" w:eastAsia="Times New Roman" w:hAnsi="Times New Roman"/>
                <w:b w:val="false"/>
                <w:bCs w:val="false"/>
                <w:sz w:val="20"/>
                <w:szCs w:val="20"/>
              </w:rPr>
              <w:t xml:space="preserve">AHTk253 – FH2001</w:t>
            </w:r>
          </w:p>
        </w:tc>
        <w:tc>
          <w:tcPr>
            <w:tcW w:type="dxa" w:w="2000"/>
          </w:tcPr>
          <w:p>
            <w:pPr>
              <w:spacing w:line="240"/>
            </w:pPr>
            <w:r>
              <w:rPr>
                <w:rFonts w:ascii="Times New Roman" w:cs="Times New Roman" w:eastAsia="Times New Roman" w:hAnsi="Times New Roman"/>
                <w:b w:val="false"/>
                <w:bCs w:val="false"/>
                <w:sz w:val="20"/>
                <w:szCs w:val="20"/>
              </w:rPr>
              <w:t xml:space="preserve">39.96</w:t>
            </w:r>
          </w:p>
        </w:tc>
      </w:tr>
      <w:tr>
        <w:tc>
          <w:tcPr>
            <w:tcW w:type="dxa" w:w="1200"/>
          </w:tcPr>
          <w:p>
            <w:pPr>
              <w:spacing w:line="240"/>
            </w:pPr>
            <w:r>
              <w:rPr>
                <w:rFonts w:ascii="Times New Roman" w:cs="Times New Roman" w:eastAsia="Times New Roman" w:hAnsi="Times New Roman"/>
                <w:b w:val="false"/>
                <w:bCs w:val="false"/>
                <w:sz w:val="20"/>
                <w:szCs w:val="20"/>
              </w:rPr>
              <w:t xml:space="preserve">11</w:t>
            </w:r>
          </w:p>
        </w:tc>
        <w:tc>
          <w:tcPr>
            <w:tcW w:type="dxa" w:w="3400"/>
          </w:tcPr>
          <w:p>
            <w:pPr>
              <w:spacing w:line="240"/>
            </w:pPr>
            <w:r>
              <w:rPr>
                <w:rFonts w:ascii="Times New Roman" w:cs="Times New Roman" w:eastAsia="Times New Roman" w:hAnsi="Times New Roman"/>
                <w:b w:val="false"/>
                <w:bCs w:val="false"/>
                <w:sz w:val="20"/>
                <w:szCs w:val="20"/>
              </w:rPr>
              <w:t xml:space="preserve">AHT137 – VGL1165</w:t>
            </w:r>
          </w:p>
        </w:tc>
        <w:tc>
          <w:tcPr>
            <w:tcW w:type="dxa" w:w="2000"/>
          </w:tcPr>
          <w:p>
            <w:pPr>
              <w:spacing w:line="240"/>
            </w:pPr>
            <w:r>
              <w:rPr>
                <w:rFonts w:ascii="Times New Roman" w:cs="Times New Roman" w:eastAsia="Times New Roman" w:hAnsi="Times New Roman"/>
                <w:b w:val="false"/>
                <w:bCs w:val="false"/>
                <w:sz w:val="20"/>
                <w:szCs w:val="20"/>
              </w:rPr>
              <w:t xml:space="preserve">59.61</w:t>
            </w:r>
          </w:p>
        </w:tc>
      </w:tr>
    </w:tbl>
    <w:p>
      <w:pPr>
        <w:pStyle w:val="Heading2"/>
        <w:spacing w:after="120" w:before="240" w:line="480"/>
      </w:pPr>
      <w:r>
        <w:rPr>
          <w:rFonts w:ascii="Times New Roman" w:cs="Times New Roman" w:eastAsia="Times New Roman" w:hAnsi="Times New Roman"/>
          <w:b/>
          <w:bCs/>
          <w:sz w:val="24"/>
          <w:szCs w:val="24"/>
        </w:rPr>
        <w:t xml:space="preserve">Supplementary Table S8. Breed-wide genetic diversity statistics for the three breeds, UC Davis Veterinary Genetics Laboratory, accessed August 20, 2026. Na = mean alleles per locus; Ne = mean effective alleles per locus; Ho = observed heterozygosity; He = expected heterozygosity.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360"/>
        <w:gridCol w:w="1400"/>
        <w:gridCol w:w="1400"/>
        <w:gridCol w:w="1400"/>
        <w:gridCol w:w="1400"/>
        <w:gridCol w:w="1400"/>
      </w:tblGrid>
      <w:tr>
        <w:tc>
          <w:tcPr>
            <w:tcW w:type="dxa" w:w="2360"/>
          </w:tcPr>
          <w:p>
            <w:pPr>
              <w:spacing w:line="240"/>
            </w:pPr>
            <w:r>
              <w:rPr>
                <w:rFonts w:ascii="Times New Roman" w:cs="Times New Roman" w:eastAsia="Times New Roman" w:hAnsi="Times New Roman"/>
                <w:b/>
                <w:bCs/>
                <w:sz w:val="20"/>
                <w:szCs w:val="20"/>
              </w:rPr>
              <w:t xml:space="preserve">Breed</w:t>
            </w:r>
          </w:p>
        </w:tc>
        <w:tc>
          <w:tcPr>
            <w:tcW w:type="dxa" w:w="1400"/>
          </w:tcPr>
          <w:p>
            <w:pPr>
              <w:spacing w:line="240"/>
            </w:pPr>
            <w:r>
              <w:rPr>
                <w:rFonts w:ascii="Times New Roman" w:cs="Times New Roman" w:eastAsia="Times New Roman" w:hAnsi="Times New Roman"/>
                <w:b/>
                <w:bCs/>
                <w:sz w:val="20"/>
                <w:szCs w:val="20"/>
              </w:rPr>
              <w:t xml:space="preserve">n tested</w:t>
            </w:r>
          </w:p>
        </w:tc>
        <w:tc>
          <w:tcPr>
            <w:tcW w:type="dxa" w:w="1400"/>
          </w:tcPr>
          <w:p>
            <w:pPr>
              <w:spacing w:line="240"/>
            </w:pPr>
            <w:r>
              <w:rPr>
                <w:rFonts w:ascii="Times New Roman" w:cs="Times New Roman" w:eastAsia="Times New Roman" w:hAnsi="Times New Roman"/>
                <w:b/>
                <w:bCs/>
                <w:sz w:val="20"/>
                <w:szCs w:val="20"/>
              </w:rPr>
              <w:t xml:space="preserve">Na</w:t>
            </w:r>
          </w:p>
        </w:tc>
        <w:tc>
          <w:tcPr>
            <w:tcW w:type="dxa" w:w="1400"/>
          </w:tcPr>
          <w:p>
            <w:pPr>
              <w:spacing w:line="240"/>
            </w:pPr>
            <w:r>
              <w:rPr>
                <w:rFonts w:ascii="Times New Roman" w:cs="Times New Roman" w:eastAsia="Times New Roman" w:hAnsi="Times New Roman"/>
                <w:b/>
                <w:bCs/>
                <w:sz w:val="20"/>
                <w:szCs w:val="20"/>
              </w:rPr>
              <w:t xml:space="preserve">Ne</w:t>
            </w:r>
          </w:p>
        </w:tc>
        <w:tc>
          <w:tcPr>
            <w:tcW w:type="dxa" w:w="1400"/>
          </w:tcPr>
          <w:p>
            <w:pPr>
              <w:spacing w:line="240"/>
            </w:pPr>
            <w:r>
              <w:rPr>
                <w:rFonts w:ascii="Times New Roman" w:cs="Times New Roman" w:eastAsia="Times New Roman" w:hAnsi="Times New Roman"/>
                <w:b/>
                <w:bCs/>
                <w:sz w:val="20"/>
                <w:szCs w:val="20"/>
              </w:rPr>
              <w:t xml:space="preserve">Ho</w:t>
            </w:r>
          </w:p>
        </w:tc>
        <w:tc>
          <w:tcPr>
            <w:tcW w:type="dxa" w:w="1400"/>
          </w:tcPr>
          <w:p>
            <w:pPr>
              <w:spacing w:line="240"/>
            </w:pPr>
            <w:r>
              <w:rPr>
                <w:rFonts w:ascii="Times New Roman" w:cs="Times New Roman" w:eastAsia="Times New Roman" w:hAnsi="Times New Roman"/>
                <w:b/>
                <w:bCs/>
                <w:sz w:val="20"/>
                <w:szCs w:val="20"/>
              </w:rPr>
              <w:t xml:space="preserve">He</w:t>
            </w:r>
          </w:p>
        </w:tc>
      </w:tr>
      <w:tr>
        <w:tc>
          <w:tcPr>
            <w:tcW w:type="dxa" w:w="2360"/>
          </w:tcPr>
          <w:p>
            <w:pPr>
              <w:spacing w:line="240"/>
            </w:pPr>
            <w:r>
              <w:rPr>
                <w:rFonts w:ascii="Times New Roman" w:cs="Times New Roman" w:eastAsia="Times New Roman" w:hAnsi="Times New Roman"/>
                <w:b w:val="false"/>
                <w:bCs w:val="false"/>
                <w:sz w:val="20"/>
                <w:szCs w:val="20"/>
              </w:rPr>
              <w:t xml:space="preserve">Standard Poodle</w:t>
            </w:r>
          </w:p>
        </w:tc>
        <w:tc>
          <w:tcPr>
            <w:tcW w:type="dxa" w:w="1400"/>
          </w:tcPr>
          <w:p>
            <w:pPr>
              <w:spacing w:line="240"/>
            </w:pPr>
            <w:r>
              <w:rPr>
                <w:rFonts w:ascii="Times New Roman" w:cs="Times New Roman" w:eastAsia="Times New Roman" w:hAnsi="Times New Roman"/>
                <w:b w:val="false"/>
                <w:bCs w:val="false"/>
                <w:sz w:val="20"/>
                <w:szCs w:val="20"/>
              </w:rPr>
              <w:t xml:space="preserve">6,108</w:t>
            </w:r>
          </w:p>
        </w:tc>
        <w:tc>
          <w:tcPr>
            <w:tcW w:type="dxa" w:w="1400"/>
          </w:tcPr>
          <w:p>
            <w:pPr>
              <w:spacing w:line="240"/>
            </w:pPr>
            <w:r>
              <w:rPr>
                <w:rFonts w:ascii="Times New Roman" w:cs="Times New Roman" w:eastAsia="Times New Roman" w:hAnsi="Times New Roman"/>
                <w:b w:val="false"/>
                <w:bCs w:val="false"/>
                <w:sz w:val="20"/>
                <w:szCs w:val="20"/>
              </w:rPr>
              <w:t xml:space="preserve">10.212</w:t>
            </w:r>
          </w:p>
        </w:tc>
        <w:tc>
          <w:tcPr>
            <w:tcW w:type="dxa" w:w="1400"/>
          </w:tcPr>
          <w:p>
            <w:pPr>
              <w:spacing w:line="240"/>
            </w:pPr>
            <w:r>
              <w:rPr>
                <w:rFonts w:ascii="Times New Roman" w:cs="Times New Roman" w:eastAsia="Times New Roman" w:hAnsi="Times New Roman"/>
                <w:b w:val="false"/>
                <w:bCs w:val="false"/>
                <w:sz w:val="20"/>
                <w:szCs w:val="20"/>
              </w:rPr>
              <w:t xml:space="preserve">3.745</w:t>
            </w:r>
          </w:p>
        </w:tc>
        <w:tc>
          <w:tcPr>
            <w:tcW w:type="dxa" w:w="1400"/>
          </w:tcPr>
          <w:p>
            <w:pPr>
              <w:spacing w:line="240"/>
            </w:pPr>
            <w:r>
              <w:rPr>
                <w:rFonts w:ascii="Times New Roman" w:cs="Times New Roman" w:eastAsia="Times New Roman" w:hAnsi="Times New Roman"/>
                <w:b w:val="false"/>
                <w:bCs w:val="false"/>
                <w:sz w:val="20"/>
                <w:szCs w:val="20"/>
              </w:rPr>
              <w:t xml:space="preserve">0.681</w:t>
            </w:r>
          </w:p>
        </w:tc>
        <w:tc>
          <w:tcPr>
            <w:tcW w:type="dxa" w:w="1400"/>
          </w:tcPr>
          <w:p>
            <w:pPr>
              <w:spacing w:line="240"/>
            </w:pPr>
            <w:r>
              <w:rPr>
                <w:rFonts w:ascii="Times New Roman" w:cs="Times New Roman" w:eastAsia="Times New Roman" w:hAnsi="Times New Roman"/>
                <w:b w:val="false"/>
                <w:bCs w:val="false"/>
                <w:sz w:val="20"/>
                <w:szCs w:val="20"/>
              </w:rPr>
              <w:t xml:space="preserve">0.701</w:t>
            </w:r>
          </w:p>
        </w:tc>
      </w:tr>
      <w:tr>
        <w:tc>
          <w:tcPr>
            <w:tcW w:type="dxa" w:w="2360"/>
          </w:tcPr>
          <w:p>
            <w:pPr>
              <w:spacing w:line="240"/>
            </w:pPr>
            <w:r>
              <w:rPr>
                <w:rFonts w:ascii="Times New Roman" w:cs="Times New Roman" w:eastAsia="Times New Roman" w:hAnsi="Times New Roman"/>
                <w:b w:val="false"/>
                <w:bCs w:val="false"/>
                <w:sz w:val="20"/>
                <w:szCs w:val="20"/>
              </w:rPr>
              <w:t xml:space="preserve">Doberman Pinscher</w:t>
            </w:r>
          </w:p>
        </w:tc>
        <w:tc>
          <w:tcPr>
            <w:tcW w:type="dxa" w:w="1400"/>
          </w:tcPr>
          <w:p>
            <w:pPr>
              <w:spacing w:line="240"/>
            </w:pPr>
            <w:r>
              <w:rPr>
                <w:rFonts w:ascii="Times New Roman" w:cs="Times New Roman" w:eastAsia="Times New Roman" w:hAnsi="Times New Roman"/>
                <w:b w:val="false"/>
                <w:bCs w:val="false"/>
                <w:sz w:val="20"/>
                <w:szCs w:val="20"/>
              </w:rPr>
              <w:t xml:space="preserve">1,544</w:t>
            </w:r>
          </w:p>
        </w:tc>
        <w:tc>
          <w:tcPr>
            <w:tcW w:type="dxa" w:w="1400"/>
          </w:tcPr>
          <w:p>
            <w:pPr>
              <w:spacing w:line="240"/>
            </w:pPr>
            <w:r>
              <w:rPr>
                <w:rFonts w:ascii="Times New Roman" w:cs="Times New Roman" w:eastAsia="Times New Roman" w:hAnsi="Times New Roman"/>
                <w:b w:val="false"/>
                <w:bCs w:val="false"/>
                <w:sz w:val="20"/>
                <w:szCs w:val="20"/>
              </w:rPr>
              <w:t xml:space="preserve">8.000</w:t>
            </w:r>
          </w:p>
        </w:tc>
        <w:tc>
          <w:tcPr>
            <w:tcW w:type="dxa" w:w="1400"/>
          </w:tcPr>
          <w:p>
            <w:pPr>
              <w:spacing w:line="240"/>
            </w:pPr>
            <w:r>
              <w:rPr>
                <w:rFonts w:ascii="Times New Roman" w:cs="Times New Roman" w:eastAsia="Times New Roman" w:hAnsi="Times New Roman"/>
                <w:b w:val="false"/>
                <w:bCs w:val="false"/>
                <w:sz w:val="20"/>
                <w:szCs w:val="20"/>
              </w:rPr>
              <w:t xml:space="preserve">2.320</w:t>
            </w:r>
          </w:p>
        </w:tc>
        <w:tc>
          <w:tcPr>
            <w:tcW w:type="dxa" w:w="1400"/>
          </w:tcPr>
          <w:p>
            <w:pPr>
              <w:spacing w:line="240"/>
            </w:pPr>
            <w:r>
              <w:rPr>
                <w:rFonts w:ascii="Times New Roman" w:cs="Times New Roman" w:eastAsia="Times New Roman" w:hAnsi="Times New Roman"/>
                <w:b w:val="false"/>
                <w:bCs w:val="false"/>
                <w:sz w:val="20"/>
                <w:szCs w:val="20"/>
              </w:rPr>
              <w:t xml:space="preserve">0.473</w:t>
            </w:r>
          </w:p>
        </w:tc>
        <w:tc>
          <w:tcPr>
            <w:tcW w:type="dxa" w:w="1400"/>
          </w:tcPr>
          <w:p>
            <w:pPr>
              <w:spacing w:line="240"/>
            </w:pPr>
            <w:r>
              <w:rPr>
                <w:rFonts w:ascii="Times New Roman" w:cs="Times New Roman" w:eastAsia="Times New Roman" w:hAnsi="Times New Roman"/>
                <w:b w:val="false"/>
                <w:bCs w:val="false"/>
                <w:sz w:val="20"/>
                <w:szCs w:val="20"/>
              </w:rPr>
              <w:t xml:space="preserve">0.504</w:t>
            </w:r>
          </w:p>
        </w:tc>
      </w:tr>
      <w:tr>
        <w:tc>
          <w:tcPr>
            <w:tcW w:type="dxa" w:w="2360"/>
          </w:tcPr>
          <w:p>
            <w:pPr>
              <w:spacing w:line="240"/>
            </w:pPr>
            <w:r>
              <w:rPr>
                <w:rFonts w:ascii="Times New Roman" w:cs="Times New Roman" w:eastAsia="Times New Roman" w:hAnsi="Times New Roman"/>
                <w:b w:val="false"/>
                <w:bCs w:val="false"/>
                <w:sz w:val="20"/>
                <w:szCs w:val="20"/>
              </w:rPr>
              <w:t xml:space="preserve">Flat-Coated Retriever</w:t>
            </w:r>
          </w:p>
        </w:tc>
        <w:tc>
          <w:tcPr>
            <w:tcW w:type="dxa" w:w="1400"/>
          </w:tcPr>
          <w:p>
            <w:pPr>
              <w:spacing w:line="240"/>
            </w:pPr>
            <w:r>
              <w:rPr>
                <w:rFonts w:ascii="Times New Roman" w:cs="Times New Roman" w:eastAsia="Times New Roman" w:hAnsi="Times New Roman"/>
                <w:b w:val="false"/>
                <w:bCs w:val="false"/>
                <w:sz w:val="20"/>
                <w:szCs w:val="20"/>
              </w:rPr>
              <w:t xml:space="preserve">964</w:t>
            </w:r>
          </w:p>
        </w:tc>
        <w:tc>
          <w:tcPr>
            <w:tcW w:type="dxa" w:w="1400"/>
          </w:tcPr>
          <w:p>
            <w:pPr>
              <w:spacing w:line="240"/>
            </w:pPr>
            <w:r>
              <w:rPr>
                <w:rFonts w:ascii="Times New Roman" w:cs="Times New Roman" w:eastAsia="Times New Roman" w:hAnsi="Times New Roman"/>
                <w:b w:val="false"/>
                <w:bCs w:val="false"/>
                <w:sz w:val="20"/>
                <w:szCs w:val="20"/>
              </w:rPr>
              <w:t xml:space="preserve">6.212</w:t>
            </w:r>
          </w:p>
        </w:tc>
        <w:tc>
          <w:tcPr>
            <w:tcW w:type="dxa" w:w="1400"/>
          </w:tcPr>
          <w:p>
            <w:pPr>
              <w:spacing w:line="240"/>
            </w:pPr>
            <w:r>
              <w:rPr>
                <w:rFonts w:ascii="Times New Roman" w:cs="Times New Roman" w:eastAsia="Times New Roman" w:hAnsi="Times New Roman"/>
                <w:b w:val="false"/>
                <w:bCs w:val="false"/>
                <w:sz w:val="20"/>
                <w:szCs w:val="20"/>
              </w:rPr>
              <w:t xml:space="preserve">2.590</w:t>
            </w:r>
          </w:p>
        </w:tc>
        <w:tc>
          <w:tcPr>
            <w:tcW w:type="dxa" w:w="1400"/>
          </w:tcPr>
          <w:p>
            <w:pPr>
              <w:spacing w:line="240"/>
            </w:pPr>
            <w:r>
              <w:rPr>
                <w:rFonts w:ascii="Times New Roman" w:cs="Times New Roman" w:eastAsia="Times New Roman" w:hAnsi="Times New Roman"/>
                <w:b w:val="false"/>
                <w:bCs w:val="false"/>
                <w:sz w:val="20"/>
                <w:szCs w:val="20"/>
              </w:rPr>
              <w:t xml:space="preserve">0.551</w:t>
            </w:r>
          </w:p>
        </w:tc>
        <w:tc>
          <w:tcPr>
            <w:tcW w:type="dxa" w:w="1400"/>
          </w:tcPr>
          <w:p>
            <w:pPr>
              <w:spacing w:line="240"/>
            </w:pPr>
            <w:r>
              <w:rPr>
                <w:rFonts w:ascii="Times New Roman" w:cs="Times New Roman" w:eastAsia="Times New Roman" w:hAnsi="Times New Roman"/>
                <w:b w:val="false"/>
                <w:bCs w:val="false"/>
                <w:sz w:val="20"/>
                <w:szCs w:val="20"/>
              </w:rPr>
              <w:t xml:space="preserve">0.559</w:t>
            </w:r>
          </w:p>
        </w:tc>
      </w:tr>
    </w:tbl>
    <w:p>
      <w:pPr>
        <w:spacing w:after="120"/>
      </w:pPr>
    </w:p>
    <w:p>
      <w:pPr>
        <w:spacing w:after="120" w:before="240"/>
        <w:jc w:val="center"/>
      </w:pPr>
      <w:r>
        <w:drawing>
          <wp:inline distT="0" distB="0" distL="0" distR="0">
            <wp:extent cx="59436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97167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S1. Mean population internal relatedness over 20 generations by selection strategy. Lines are means of 50 replicates; shaded bands are ±1 SD; the 0 reference line marks founder-population baseline relatedness. Internal relatedness tracks the inbreeding coefficient (Fis; main-text Figure 4) almost exactly (r ≈ 1.00). Average genetic relatedness raises internal relatedness in all three breeds; the internal-relatedness strategy minimizes it as designed; outlier index holds near zero.</w:t>
      </w:r>
    </w:p>
    <w:p>
      <w:pPr>
        <w:spacing w:after="240" w:line="360"/>
      </w:pPr>
      <w:r>
        <w:rPr>
          <w:rFonts w:ascii="Times New Roman" w:cs="Times New Roman" w:eastAsia="Times New Roman" w:hAnsi="Times New Roman"/>
          <w:sz w:val="24"/>
          <w:szCs w:val="24"/>
        </w:rPr>
        <w:t xml:space="preserve">Alt text: Three line charts of mean population internal relatedness over 20 generations, mirroring the inbreeding (Fis) pattern: near zero with selection by outlier index and random selection, elevated with selection by average genetic relatedness, and negative with selection by internal relatedness.</w:t>
      </w:r>
    </w:p>
    <w:p>
      <w:pPr>
        <w:spacing w:after="120" w:before="240"/>
        <w:jc w:val="center"/>
      </w:pPr>
      <w:r>
        <w:drawing>
          <wp:inline distT="0" distB="0" distL="0" distR="0">
            <wp:extent cx="59436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524125"/>
                    </a:xfrm>
                    <a:prstGeom prst="rect">
                      <a:avLst/>
                    </a:prstGeom>
                  </pic:spPr>
                </pic:pic>
              </a:graphicData>
            </a:graphic>
          </wp:inline>
        </w:drawing>
      </w:r>
    </w:p>
    <w:p>
      <w:pPr>
        <w:spacing w:after="240" w:line="360"/>
      </w:pPr>
      <w:r>
        <w:rPr>
          <w:rFonts w:ascii="Times New Roman" w:cs="Times New Roman" w:eastAsia="Times New Roman" w:hAnsi="Times New Roman"/>
          <w:i/>
          <w:iCs/>
          <w:sz w:val="24"/>
          <w:szCs w:val="24"/>
        </w:rPr>
        <w:t xml:space="preserve">Supplementary Figure S2. Outlier index (a) and average genetic relatedness (b) versus pedigree ancestry from the Mid-Century Bottleneck (%MCB) in 632 Standard Poodles with known 15-generation pedigrees validated in Pedersen et al. (2015). Each point is one dog; both metrics are computed from the cohort’s marker allele frequencies with no pedigree input. Average genetic relatedness is each dog’s mean pairwise Wang (2002) relatedness within the cohort. (a) Pearson r = −0.63 (95% CI −0.68 to −0.59). (b) Pearson r = +0.63 (95% CI +0.58 to +0.67). Confidence intervals were computed with the Fisher z transformation. The choice of frequency reference was not material: recomputing both metrics against the current breed-wide reference of more than 6,000 Standard Poodles shifted the correlations with bottleneck ancestry by no more than 0.031.</w:t>
      </w:r>
    </w:p>
    <w:p>
      <w:pPr>
        <w:spacing w:after="240" w:line="360"/>
      </w:pPr>
      <w:r>
        <w:rPr>
          <w:rFonts w:ascii="Times New Roman" w:cs="Times New Roman" w:eastAsia="Times New Roman" w:hAnsi="Times New Roman"/>
          <w:sz w:val="24"/>
          <w:szCs w:val="24"/>
        </w:rPr>
        <w:t xml:space="preserve">Alt text: Two scatter plots of 632 Standard Poodles with fitted regression lines. Panel a shows outlier index values falling as pedigree ancestry from the Mid-Century Bottleneck rises, r = −0.63. Panel b shows average genetic relatedness values rising with bottleneck ancestry, r = +0.63.</w:t>
      </w:r>
    </w:p>
    <w:sectPr>
      <w:footerReference w:type="default" r:id="rId7"/>
      <w:pgSz w:w="12240" w:h="15840"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40" w:line="480"/>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61e84a4f49f72ecc86d931a89123b2bae4f42ec.png"/><Relationship Id="rId9" Type="http://schemas.openxmlformats.org/officeDocument/2006/relationships/image" Target="media/5debce5e8b4c6d85790bbd795db80f9dbbd86897.png"/><Relationship Id="rId10" Type="http://schemas.openxmlformats.org/officeDocument/2006/relationships/image" Target="media/113999c79943e8c381469c748a329a481d9ce5ae.png"/><Relationship Id="rId11" Type="http://schemas.openxmlformats.org/officeDocument/2006/relationships/image" Target="media/f8904361e7b51aa4484e5085234a997c87d7cd79.png"/><Relationship Id="rId12" Type="http://schemas.openxmlformats.org/officeDocument/2006/relationships/image" Target="media/f59142a5bb98794494267b0a04d5f1f766a12872.png"/><Relationship Id="rId13" Type="http://schemas.openxmlformats.org/officeDocument/2006/relationships/image" Target="media/d1a0f45e1eea1b70623151106ac075b562310e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Natalie Green Tessier</dc:creator>
  <cp:lastModifiedBy>Natalie Green Tessier</cp:lastModifiedBy>
  <cp:revision>1</cp:revision>
  <dcterms:created xsi:type="dcterms:W3CDTF">2026-08-14T02:59:57.810Z</dcterms:created>
  <dcterms:modified xsi:type="dcterms:W3CDTF">2026-08-14T02:59:57.810Z</dcterms:modified>
</cp:coreProperties>
</file>

<file path=docProps/custom.xml><?xml version="1.0" encoding="utf-8"?>
<Properties xmlns="http://schemas.openxmlformats.org/officeDocument/2006/custom-properties" xmlns:vt="http://schemas.openxmlformats.org/officeDocument/2006/docPropsVTypes"/>
</file>