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20" w:lineRule="exact" w:before="0" w:after="420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40"/>
        </w:rPr>
        <w:t>Sổ tay nhân viên</w:t>
      </w:r>
    </w:p>
    <w:p>
      <w:pPr>
        <w:widowControl/>
        <w:autoSpaceDE w:val="0"/>
        <w:autoSpaceDN w:val="0"/>
        <w:spacing w:line="233" w:lineRule="auto" w:before="24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222222"/>
          <w:sz w:val="22"/>
        </w:rPr>
        <w:t>Công ty TNHH Hoa Sen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 — bản cập nhật năm 2026</w:t>
      </w:r>
    </w:p>
    <w:p>
      <w:pPr>
        <w:widowControl/>
        <w:autoSpaceDE w:val="0"/>
        <w:autoSpaceDN w:val="0"/>
        <w:spacing w:line="240" w:lineRule="auto" w:before="192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667000" cy="1515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15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autoSpaceDE w:val="0"/>
        <w:autoSpaceDN w:val="0"/>
        <w:spacing w:line="233" w:lineRule="auto" w:before="3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1. Giới thiệu</w:t>
      </w:r>
    </w:p>
    <w:p>
      <w:pPr>
        <w:widowControl/>
        <w:autoSpaceDE w:val="0"/>
        <w:autoSpaceDN w:val="0"/>
        <w:spacing w:line="274" w:lineRule="auto" w:before="180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Sổ tay này giúp nhân viên mới nắm được các quy định chung, quyền lợi và cách làm việc tại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công ty. Mọi thắc mắc xin gửi về phòng Nhân sự.</w:t>
      </w:r>
    </w:p>
    <w:p>
      <w:pPr>
        <w:widowControl/>
        <w:autoSpaceDE w:val="0"/>
        <w:autoSpaceDN w:val="0"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Công ty Hoa Sen được thành lập năm 2010, hoạt động trong lĩnh vực thiết kế và in ấn bao bì.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Hiện công ty có hơn 120 nhân viên làm việc tại hai văn phòng ở Hà Nội và Đà Nẵng.</w:t>
      </w:r>
    </w:p>
    <w:p>
      <w:pPr>
        <w:widowControl/>
        <w:autoSpaceDE w:val="0"/>
        <w:autoSpaceDN w:val="0"/>
        <w:spacing w:line="233" w:lineRule="auto" w:before="3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2. Giờ làm việc</w:t>
      </w:r>
    </w:p>
    <w:p>
      <w:pPr>
        <w:widowControl/>
        <w:autoSpaceDE w:val="0"/>
        <w:autoSpaceDN w:val="0"/>
        <w:spacing w:line="274" w:lineRule="auto" w:before="180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Thời gian làm việc từ thứ Hai đến thứ Sáu, sáng 8:00–12:00, chiều 13:30–17:30. Nhân viên có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thể đăng ký làm việc từ xa tối đa hai ngày mỗi tuần sau khi được quản lý trực tiếp đồng ý.</w:t>
      </w:r>
    </w:p>
    <w:p>
      <w:pPr>
        <w:widowControl/>
        <w:autoSpaceDE w:val="0"/>
        <w:autoSpaceDN w:val="0"/>
        <w:spacing w:line="276" w:lineRule="exact" w:before="750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1</w:t>
      </w:r>
    </w:p>
    <w:p>
      <w:pPr>
        <w:sectPr>
          <w:pgSz w:w="11900" w:h="16840"/>
          <w:pgMar w:top="638" w:right="1204" w:bottom="320" w:left="122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540"/>
        <w:ind w:left="0" w:right="0"/>
      </w:pPr>
    </w:p>
    <w:p>
      <w:pPr>
        <w:widowControl/>
        <w:autoSpaceDE w:val="0"/>
        <w:autoSpaceDN w:val="0"/>
        <w:spacing w:line="235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3. Nghỉ phép</w:t>
      </w:r>
    </w:p>
    <w:p>
      <w:pPr>
        <w:widowControl/>
        <w:autoSpaceDE w:val="0"/>
        <w:autoSpaceDN w:val="0"/>
        <w:spacing w:line="274" w:lineRule="auto" w:before="178" w:after="192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Mỗi nhân viên có 12 ngày phép hưởng lương mỗi năm. Số ngày phép tăng thêm một ngày sau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mỗi năm năm làm việc. Đơn xin nghỉ cần gửi trước ít nhất ba ngày làm việc.</w:t>
      </w:r>
    </w:p>
    <w:tbl>
      <w:tblPr>
        <w:tblW w:type="auto" w:w="0"/>
        <w:tblInd w:w="7.999999999999972" w:type="dxa"/>
        <w:tblLayout w:type="fixed"/>
        <w:tblLook w:firstColumn="1" w:firstRow="1" w:lastColumn="0" w:lastRow="0" w:noHBand="0" w:noVBand="1" w:val="04A0"/>
      </w:tblPr>
      <w:tblGrid>
        <w:gridCol w:w="3160"/>
        <w:gridCol w:w="3160"/>
        <w:gridCol w:w="3160"/>
      </w:tblGrid>
      <w:tr>
        <w:trPr>
          <w:trHeight w:hRule="exact" w:val="476"/>
        </w:trPr>
        <w:tc>
          <w:tcPr>
            <w:tcW w:type="dxa" w:w="1868"/>
            <w:tcBorders>
              <w:top w:sz="5.599999999999909" w:val="single" w:color="999999"/>
              <w:start w:sz="5.600000000000023" w:val="single" w:color="999999"/>
              <w:bottom w:sz="5.600000000000136" w:val="single" w:color="999999"/>
              <w:end w:sz="5.599999999999909" w:val="single" w:color="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Loại nghỉ</w:t>
            </w:r>
          </w:p>
        </w:tc>
        <w:tc>
          <w:tcPr>
            <w:tcW w:type="dxa" w:w="3224"/>
            <w:tcBorders>
              <w:top w:sz="5.599999999999909" w:val="single" w:color="999999"/>
              <w:start w:sz="5.599999999999909" w:val="single" w:color="999999"/>
              <w:bottom w:sz="5.600000000000136" w:val="single" w:color="999999"/>
              <w:end w:sz="5.599999999999909" w:val="single" w:color="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Số ngày</w:t>
            </w:r>
          </w:p>
        </w:tc>
        <w:tc>
          <w:tcPr>
            <w:tcW w:type="dxa" w:w="4352"/>
            <w:tcBorders>
              <w:top w:sz="5.599999999999909" w:val="single" w:color="999999"/>
              <w:start w:sz="5.599999999999909" w:val="single" w:color="999999"/>
              <w:bottom w:sz="5.600000000000136" w:val="single" w:color="999999"/>
              <w:end w:sz="5.600000000000364" w:val="single" w:color="999999"/>
            </w:tcBorders>
            <w:shd w:fill="e8eefb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22222"/>
                <w:sz w:val="20"/>
              </w:rPr>
              <w:t>Ghi chú</w:t>
            </w:r>
          </w:p>
        </w:tc>
      </w:tr>
      <w:tr>
        <w:trPr>
          <w:trHeight w:hRule="exact" w:val="474"/>
        </w:trPr>
        <w:tc>
          <w:tcPr>
            <w:tcW w:type="dxa" w:w="1868"/>
            <w:tcBorders>
              <w:top w:sz="5.600000000000136" w:val="single" w:color="999999"/>
              <w:start w:sz="5.600000000000023" w:val="single" w:color="999999"/>
              <w:bottom w:sz="5.599999999999909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Phép năm</w:t>
            </w:r>
          </w:p>
        </w:tc>
        <w:tc>
          <w:tcPr>
            <w:tcW w:type="dxa" w:w="3224"/>
            <w:tcBorders>
              <w:top w:sz="5.600000000000136" w:val="single" w:color="999999"/>
              <w:start w:sz="5.599999999999909" w:val="single" w:color="999999"/>
              <w:bottom w:sz="5.599999999999909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12</w:t>
            </w:r>
          </w:p>
        </w:tc>
        <w:tc>
          <w:tcPr>
            <w:tcW w:type="dxa" w:w="4352"/>
            <w:tcBorders>
              <w:top w:sz="5.600000000000136" w:val="single" w:color="999999"/>
              <w:start w:sz="5.599999999999909" w:val="single" w:color="999999"/>
              <w:bottom w:sz="5.599999999999909" w:val="single" w:color="999999"/>
              <w:end w:sz="5.600000000000364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Hưởng nguyên lương</w:t>
            </w:r>
          </w:p>
        </w:tc>
      </w:tr>
      <w:tr>
        <w:trPr>
          <w:trHeight w:hRule="exact" w:val="472"/>
        </w:trPr>
        <w:tc>
          <w:tcPr>
            <w:tcW w:type="dxa" w:w="1868"/>
            <w:tcBorders>
              <w:top w:sz="5.599999999999909" w:val="single" w:color="999999"/>
              <w:start w:sz="5.600000000000023" w:val="single" w:color="999999"/>
              <w:bottom w:sz="5.600000000000136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Nghỉ ốm</w:t>
            </w:r>
          </w:p>
        </w:tc>
        <w:tc>
          <w:tcPr>
            <w:tcW w:type="dxa" w:w="3224"/>
            <w:tcBorders>
              <w:top w:sz="5.599999999999909" w:val="single" w:color="999999"/>
              <w:start w:sz="5.599999999999909" w:val="single" w:color="999999"/>
              <w:bottom w:sz="5.600000000000136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30</w:t>
            </w:r>
          </w:p>
        </w:tc>
        <w:tc>
          <w:tcPr>
            <w:tcW w:type="dxa" w:w="4352"/>
            <w:tcBorders>
              <w:top w:sz="5.599999999999909" w:val="single" w:color="999999"/>
              <w:start w:sz="5.599999999999909" w:val="single" w:color="999999"/>
              <w:bottom w:sz="5.600000000000136" w:val="single" w:color="999999"/>
              <w:end w:sz="5.600000000000364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Theo chế độ bảo hiểm</w:t>
            </w:r>
          </w:p>
        </w:tc>
      </w:tr>
      <w:tr>
        <w:trPr>
          <w:trHeight w:hRule="exact" w:val="476"/>
        </w:trPr>
        <w:tc>
          <w:tcPr>
            <w:tcW w:type="dxa" w:w="1868"/>
            <w:tcBorders>
              <w:top w:sz="5.600000000000136" w:val="single" w:color="999999"/>
              <w:start w:sz="5.600000000000023" w:val="single" w:color="999999"/>
              <w:bottom w:sz="5.599999999999909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Kết hôn</w:t>
            </w:r>
          </w:p>
        </w:tc>
        <w:tc>
          <w:tcPr>
            <w:tcW w:type="dxa" w:w="3224"/>
            <w:tcBorders>
              <w:top w:sz="5.600000000000136" w:val="single" w:color="999999"/>
              <w:start w:sz="5.599999999999909" w:val="single" w:color="999999"/>
              <w:bottom w:sz="5.599999999999909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3</w:t>
            </w:r>
          </w:p>
        </w:tc>
        <w:tc>
          <w:tcPr>
            <w:tcW w:type="dxa" w:w="4352"/>
            <w:tcBorders>
              <w:top w:sz="5.600000000000136" w:val="single" w:color="999999"/>
              <w:start w:sz="5.599999999999909" w:val="single" w:color="999999"/>
              <w:bottom w:sz="5.599999999999909" w:val="single" w:color="999999"/>
              <w:end w:sz="5.600000000000364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Hưởng nguyên lương</w:t>
            </w:r>
          </w:p>
        </w:tc>
      </w:tr>
      <w:tr>
        <w:trPr>
          <w:trHeight w:hRule="exact" w:val="474"/>
        </w:trPr>
        <w:tc>
          <w:tcPr>
            <w:tcW w:type="dxa" w:w="1868"/>
            <w:tcBorders>
              <w:top w:sz="5.599999999999909" w:val="single" w:color="999999"/>
              <w:start w:sz="5.600000000000023" w:val="single" w:color="999999"/>
              <w:bottom w:sz="5.599999999999909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Việc riêng</w:t>
            </w:r>
          </w:p>
        </w:tc>
        <w:tc>
          <w:tcPr>
            <w:tcW w:type="dxa" w:w="3224"/>
            <w:tcBorders>
              <w:top w:sz="5.599999999999909" w:val="single" w:color="999999"/>
              <w:start w:sz="5.599999999999909" w:val="single" w:color="999999"/>
              <w:bottom w:sz="5.599999999999909" w:val="single" w:color="999999"/>
              <w:end w:sz="5.599999999999909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Theo thỏa thuận</w:t>
            </w:r>
          </w:p>
        </w:tc>
        <w:tc>
          <w:tcPr>
            <w:tcW w:type="dxa" w:w="4352"/>
            <w:tcBorders>
              <w:top w:sz="5.599999999999909" w:val="single" w:color="999999"/>
              <w:start w:sz="5.599999999999909" w:val="single" w:color="999999"/>
              <w:bottom w:sz="5.599999999999909" w:val="single" w:color="999999"/>
              <w:end w:sz="5.600000000000364" w:val="single" w:color="99999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8" w:after="0"/>
              <w:ind w:left="1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22222"/>
                <w:sz w:val="20"/>
              </w:rPr>
              <w:t>Không hưởng lương</w:t>
            </w:r>
          </w:p>
        </w:tc>
      </w:tr>
    </w:tbl>
    <w:p>
      <w:pPr>
        <w:widowControl/>
        <w:autoSpaceDE w:val="0"/>
        <w:autoSpaceDN w:val="0"/>
        <w:spacing w:line="233" w:lineRule="auto" w:before="31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4. Lương và phúc lợi</w:t>
      </w:r>
    </w:p>
    <w:p>
      <w:pPr>
        <w:widowControl/>
        <w:autoSpaceDE w:val="0"/>
        <w:autoSpaceDN w:val="0"/>
        <w:spacing w:line="274" w:lineRule="auto" w:before="178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Lương được trả vào ngày 5 hằng tháng qua tài khoản ngân hàng. Công ty đóng đầy đủ bảo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hiểm xã hội, bảo hiểm y tế và bảo hiểm thất nghiệp theo quy định.</w:t>
      </w:r>
    </w:p>
    <w:p>
      <w:pPr>
        <w:widowControl/>
        <w:autoSpaceDE w:val="0"/>
        <w:autoSpaceDN w:val="0"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Ngoài ra nhân viên được khám sức khỏe định kỳ mỗi năm một lần, hỗ trợ ăn trưa và tham gia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các khóa đào tạo nội bộ miễn phí.</w:t>
      </w:r>
    </w:p>
    <w:p>
      <w:pPr>
        <w:widowControl/>
        <w:autoSpaceDE w:val="0"/>
        <w:autoSpaceDN w:val="0"/>
        <w:spacing w:line="276" w:lineRule="exact" w:before="858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2</w:t>
      </w:r>
    </w:p>
    <w:p>
      <w:pPr>
        <w:sectPr>
          <w:pgSz w:w="11900" w:h="16840"/>
          <w:pgMar w:top="760" w:right="1200" w:bottom="320" w:left="122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540"/>
        <w:ind w:left="0" w:right="0"/>
      </w:pPr>
    </w:p>
    <w:p>
      <w:pPr>
        <w:widowControl/>
        <w:autoSpaceDE w:val="0"/>
        <w:autoSpaceDN w:val="0"/>
        <w:spacing w:line="235" w:lineRule="auto" w:before="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5. Bảo mật thông tin</w:t>
      </w:r>
    </w:p>
    <w:p>
      <w:pPr>
        <w:widowControl/>
        <w:autoSpaceDE w:val="0"/>
        <w:autoSpaceDN w:val="0"/>
        <w:spacing w:line="274" w:lineRule="auto" w:before="178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Nhân viên có trách nhiệm giữ kín thông tin của khách hàng và của công ty. Không sao chép tài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liệu nội bộ ra thiết bị cá nhân khi chưa được phép.</w:t>
      </w:r>
    </w:p>
    <w:p>
      <w:pPr>
        <w:widowControl/>
        <w:autoSpaceDE w:val="0"/>
        <w:autoSpaceDN w:val="0"/>
        <w:spacing w:line="274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Máy tính làm việc phải đặt mật khẩu và khóa màn hình khi rời chỗ. Mọi sự cố về an toàn thông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tin cần báo ngay cho bộ phận Kỹ thuật.</w:t>
      </w:r>
    </w:p>
    <w:p>
      <w:pPr>
        <w:widowControl/>
        <w:autoSpaceDE w:val="0"/>
        <w:autoSpaceDN w:val="0"/>
        <w:spacing w:line="235" w:lineRule="auto" w:before="3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8"/>
        </w:rPr>
        <w:t>6. Liên hệ</w:t>
      </w:r>
    </w:p>
    <w:p>
      <w:pPr>
        <w:widowControl/>
        <w:autoSpaceDE w:val="0"/>
        <w:autoSpaceDN w:val="0"/>
        <w:spacing w:line="274" w:lineRule="auto" w:before="178" w:after="0"/>
        <w:ind w:left="0" w:right="360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 xml:space="preserve">Phòng Nhân sự: nhansu@hoasen.example — máy lẻ 102 </w:t>
      </w: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Bộ phận Kỹ thuật: kythuat@hoasen.example — máy lẻ 115</w:t>
      </w:r>
    </w:p>
    <w:p>
      <w:pPr>
        <w:widowControl/>
        <w:autoSpaceDE w:val="0"/>
        <w:autoSpaceDN w:val="0"/>
        <w:spacing w:line="233" w:lineRule="auto" w:before="224" w:after="0"/>
        <w:ind w:left="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22222"/>
          <w:sz w:val="22"/>
        </w:rPr>
        <w:t>Chúc bạn có những ngày làm việc hiệu quả và vui vẻ tại Hoa Sen.</w:t>
      </w:r>
    </w:p>
    <w:p>
      <w:pPr>
        <w:widowControl/>
        <w:autoSpaceDE w:val="0"/>
        <w:autoSpaceDN w:val="0"/>
        <w:spacing w:line="276" w:lineRule="exact" w:before="1062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666666"/>
          <w:sz w:val="20"/>
        </w:rPr>
        <w:t>3</w:t>
      </w:r>
    </w:p>
    <w:sectPr w:rsidR="00FC693F" w:rsidRPr="0006063C" w:rsidSect="00034616">
      <w:pgSz w:w="11900" w:h="16840"/>
      <w:pgMar w:top="760" w:right="1206" w:bottom="320" w:left="122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