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40"/>
        </w:rPr>
        <w:t>Sổ tay nhân viên</w:t>
      </w:r>
    </w:p>
    <w:p>
      <w:pPr>
        <w:autoSpaceDN w:val="0"/>
        <w:autoSpaceDE w:val="0"/>
        <w:widowControl/>
        <w:spacing w:line="233" w:lineRule="auto" w:before="24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222222"/>
          <w:sz w:val="22"/>
        </w:rPr>
        <w:t>Công ty TNHH Hoa Sen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 — bản cập nhật năm 2026</w:t>
      </w:r>
    </w:p>
    <w:p>
      <w:pPr>
        <w:autoSpaceDN w:val="0"/>
        <w:autoSpaceDE w:val="0"/>
        <w:widowControl/>
        <w:spacing w:line="240" w:lineRule="auto" w:before="192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667000" cy="1515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15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3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1. Giới thiệu</w:t>
      </w:r>
    </w:p>
    <w:p>
      <w:pPr>
        <w:autoSpaceDN w:val="0"/>
        <w:autoSpaceDE w:val="0"/>
        <w:widowControl/>
        <w:spacing w:line="274" w:lineRule="auto" w:before="180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Sổ tay này giúp nhân viên mới nắm được các quy định chung, quyền lợi và cách làm việc tại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công ty. Mọi thắc mắc xin gửi về phòng Nhân sự.</w:t>
      </w:r>
    </w:p>
    <w:p>
      <w:pPr>
        <w:autoSpaceDN w:val="0"/>
        <w:autoSpaceDE w:val="0"/>
        <w:widowControl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Công ty Hoa Sen được thành lập năm 2010, hoạt động trong lĩnh vực thiết kế và in ấn bao bì.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Hiện công ty có hơn 120 nhân viên làm việc tại hai văn phòng ở Hà Nội và Đà Nẵng.</w:t>
      </w:r>
    </w:p>
    <w:p>
      <w:pPr>
        <w:autoSpaceDN w:val="0"/>
        <w:autoSpaceDE w:val="0"/>
        <w:widowControl/>
        <w:spacing w:line="233" w:lineRule="auto" w:before="3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2. Giờ làm việc</w:t>
      </w:r>
    </w:p>
    <w:p>
      <w:pPr>
        <w:autoSpaceDN w:val="0"/>
        <w:autoSpaceDE w:val="0"/>
        <w:widowControl/>
        <w:spacing w:line="274" w:lineRule="auto" w:before="180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Thời gian làm việc từ thứ Hai đến thứ Sáu, sáng 8:00–12:00, chiều 13:30–17:30. Nhân viên có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thể đăng ký làm việc từ xa tối đa hai ngày mỗi tuần sau khi được quản lý trực tiếp đồng ý.</w:t>
      </w:r>
    </w:p>
    <w:p>
      <w:pPr>
        <w:autoSpaceDN w:val="0"/>
        <w:autoSpaceDE w:val="0"/>
        <w:widowControl/>
        <w:spacing w:line="276" w:lineRule="exact" w:before="750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1</w:t>
      </w:r>
    </w:p>
    <w:p>
      <w:pPr>
        <w:sectPr>
          <w:pgSz w:w="11900" w:h="16840"/>
          <w:pgMar w:top="638" w:right="1204" w:bottom="320" w:left="12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0"/>
        <w:ind w:left="0" w:right="0"/>
      </w:pPr>
    </w:p>
    <w:p>
      <w:pPr>
        <w:autoSpaceDN w:val="0"/>
        <w:autoSpaceDE w:val="0"/>
        <w:widowControl/>
        <w:spacing w:line="235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3. Nghỉ phép</w:t>
      </w:r>
    </w:p>
    <w:p>
      <w:pPr>
        <w:autoSpaceDN w:val="0"/>
        <w:autoSpaceDE w:val="0"/>
        <w:widowControl/>
        <w:spacing w:line="274" w:lineRule="auto" w:before="178" w:after="192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Mỗi nhân viên có 12 ngày phép hưởng lương mỗi năm. Số ngày phép tăng thêm một ngày sau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mỗi năm năm làm việc. Đơn xin nghỉ cần gửi trước ít nhất ba ngày làm việc.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3160"/>
        <w:gridCol w:w="3160"/>
        <w:gridCol w:w="3160"/>
      </w:tblGrid>
      <w:tr>
        <w:trPr>
          <w:trHeight w:hRule="exact" w:val="476"/>
        </w:trPr>
        <w:tc>
          <w:tcPr>
            <w:tcW w:type="dxa" w:w="1868"/>
            <w:tcBorders>
              <w:start w:sz="5.600000000000023" w:val="single" w:color="#999999"/>
              <w:top w:sz="5.599999999999909" w:val="single" w:color="#999999"/>
              <w:end w:sz="5.599999999999909" w:val="single" w:color="#999999"/>
              <w:bottom w:sz="5.600000000000136" w:val="single" w:color="#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Loại nghỉ</w:t>
            </w:r>
          </w:p>
        </w:tc>
        <w:tc>
          <w:tcPr>
            <w:tcW w:type="dxa" w:w="3224"/>
            <w:tcBorders>
              <w:start w:sz="5.599999999999909" w:val="single" w:color="#999999"/>
              <w:top w:sz="5.599999999999909" w:val="single" w:color="#999999"/>
              <w:end w:sz="5.599999999999909" w:val="single" w:color="#999999"/>
              <w:bottom w:sz="5.600000000000136" w:val="single" w:color="#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Số ngày</w:t>
            </w:r>
          </w:p>
        </w:tc>
        <w:tc>
          <w:tcPr>
            <w:tcW w:type="dxa" w:w="4352"/>
            <w:tcBorders>
              <w:start w:sz="5.599999999999909" w:val="single" w:color="#999999"/>
              <w:top w:sz="5.599999999999909" w:val="single" w:color="#999999"/>
              <w:end w:sz="5.600000000000364" w:val="single" w:color="#999999"/>
              <w:bottom w:sz="5.600000000000136" w:val="single" w:color="#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Ghi chú</w:t>
            </w:r>
          </w:p>
        </w:tc>
      </w:tr>
      <w:tr>
        <w:trPr>
          <w:trHeight w:hRule="exact" w:val="474"/>
        </w:trPr>
        <w:tc>
          <w:tcPr>
            <w:tcW w:type="dxa" w:w="1868"/>
            <w:tcBorders>
              <w:start w:sz="5.600000000000023" w:val="single" w:color="#999999"/>
              <w:top w:sz="5.600000000000136" w:val="single" w:color="#999999"/>
              <w:end w:sz="5.599999999999909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Phép năm</w:t>
            </w:r>
          </w:p>
        </w:tc>
        <w:tc>
          <w:tcPr>
            <w:tcW w:type="dxa" w:w="3224"/>
            <w:tcBorders>
              <w:start w:sz="5.599999999999909" w:val="single" w:color="#999999"/>
              <w:top w:sz="5.600000000000136" w:val="single" w:color="#999999"/>
              <w:end w:sz="5.599999999999909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12</w:t>
            </w:r>
          </w:p>
        </w:tc>
        <w:tc>
          <w:tcPr>
            <w:tcW w:type="dxa" w:w="4352"/>
            <w:tcBorders>
              <w:start w:sz="5.599999999999909" w:val="single" w:color="#999999"/>
              <w:top w:sz="5.600000000000136" w:val="single" w:color="#999999"/>
              <w:end w:sz="5.600000000000364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Hưởng nguyên lương</w:t>
            </w:r>
          </w:p>
        </w:tc>
      </w:tr>
      <w:tr>
        <w:trPr>
          <w:trHeight w:hRule="exact" w:val="472"/>
        </w:trPr>
        <w:tc>
          <w:tcPr>
            <w:tcW w:type="dxa" w:w="1868"/>
            <w:tcBorders>
              <w:start w:sz="5.600000000000023" w:val="single" w:color="#999999"/>
              <w:top w:sz="5.599999999999909" w:val="single" w:color="#999999"/>
              <w:end w:sz="5.599999999999909" w:val="single" w:color="#999999"/>
              <w:bottom w:sz="5.600000000000136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Nghỉ ốm</w:t>
            </w:r>
          </w:p>
        </w:tc>
        <w:tc>
          <w:tcPr>
            <w:tcW w:type="dxa" w:w="3224"/>
            <w:tcBorders>
              <w:start w:sz="5.599999999999909" w:val="single" w:color="#999999"/>
              <w:top w:sz="5.599999999999909" w:val="single" w:color="#999999"/>
              <w:end w:sz="5.599999999999909" w:val="single" w:color="#999999"/>
              <w:bottom w:sz="5.600000000000136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30</w:t>
            </w:r>
          </w:p>
        </w:tc>
        <w:tc>
          <w:tcPr>
            <w:tcW w:type="dxa" w:w="4352"/>
            <w:tcBorders>
              <w:start w:sz="5.599999999999909" w:val="single" w:color="#999999"/>
              <w:top w:sz="5.599999999999909" w:val="single" w:color="#999999"/>
              <w:end w:sz="5.600000000000364" w:val="single" w:color="#999999"/>
              <w:bottom w:sz="5.600000000000136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Theo chế độ bảo hiểm</w:t>
            </w:r>
          </w:p>
        </w:tc>
      </w:tr>
      <w:tr>
        <w:trPr>
          <w:trHeight w:hRule="exact" w:val="476"/>
        </w:trPr>
        <w:tc>
          <w:tcPr>
            <w:tcW w:type="dxa" w:w="1868"/>
            <w:tcBorders>
              <w:start w:sz="5.600000000000023" w:val="single" w:color="#999999"/>
              <w:top w:sz="5.600000000000136" w:val="single" w:color="#999999"/>
              <w:end w:sz="5.599999999999909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Kết hôn</w:t>
            </w:r>
          </w:p>
        </w:tc>
        <w:tc>
          <w:tcPr>
            <w:tcW w:type="dxa" w:w="3224"/>
            <w:tcBorders>
              <w:start w:sz="5.599999999999909" w:val="single" w:color="#999999"/>
              <w:top w:sz="5.600000000000136" w:val="single" w:color="#999999"/>
              <w:end w:sz="5.599999999999909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3</w:t>
            </w:r>
          </w:p>
        </w:tc>
        <w:tc>
          <w:tcPr>
            <w:tcW w:type="dxa" w:w="4352"/>
            <w:tcBorders>
              <w:start w:sz="5.599999999999909" w:val="single" w:color="#999999"/>
              <w:top w:sz="5.600000000000136" w:val="single" w:color="#999999"/>
              <w:end w:sz="5.600000000000364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Hưởng nguyên lương</w:t>
            </w:r>
          </w:p>
        </w:tc>
      </w:tr>
      <w:tr>
        <w:trPr>
          <w:trHeight w:hRule="exact" w:val="474"/>
        </w:trPr>
        <w:tc>
          <w:tcPr>
            <w:tcW w:type="dxa" w:w="1868"/>
            <w:tcBorders>
              <w:start w:sz="5.600000000000023" w:val="single" w:color="#999999"/>
              <w:top w:sz="5.599999999999909" w:val="single" w:color="#999999"/>
              <w:end w:sz="5.599999999999909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Việc riêng</w:t>
            </w:r>
          </w:p>
        </w:tc>
        <w:tc>
          <w:tcPr>
            <w:tcW w:type="dxa" w:w="3224"/>
            <w:tcBorders>
              <w:start w:sz="5.599999999999909" w:val="single" w:color="#999999"/>
              <w:top w:sz="5.599999999999909" w:val="single" w:color="#999999"/>
              <w:end w:sz="5.599999999999909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Theo thỏa thuận</w:t>
            </w:r>
          </w:p>
        </w:tc>
        <w:tc>
          <w:tcPr>
            <w:tcW w:type="dxa" w:w="4352"/>
            <w:tcBorders>
              <w:start w:sz="5.599999999999909" w:val="single" w:color="#999999"/>
              <w:top w:sz="5.599999999999909" w:val="single" w:color="#999999"/>
              <w:end w:sz="5.600000000000364" w:val="single" w:color="#999999"/>
              <w:bottom w:sz="5.599999999999909" w:val="single" w:color="#99999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Không hưởng lương</w:t>
            </w:r>
          </w:p>
        </w:tc>
      </w:tr>
    </w:tbl>
    <w:p>
      <w:pPr>
        <w:autoSpaceDN w:val="0"/>
        <w:autoSpaceDE w:val="0"/>
        <w:widowControl/>
        <w:spacing w:line="233" w:lineRule="auto" w:before="31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4. Lương và phúc lợi</w:t>
      </w:r>
    </w:p>
    <w:p>
      <w:pPr>
        <w:autoSpaceDN w:val="0"/>
        <w:autoSpaceDE w:val="0"/>
        <w:widowControl/>
        <w:spacing w:line="274" w:lineRule="auto" w:before="178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Lương được trả vào ngày 5 hằng tháng qua tài khoản ngân hàng. Công ty đóng đầy đủ bảo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hiểm xã hội, bảo hiểm y tế và bảo hiểm thất nghiệp theo quy định.</w:t>
      </w:r>
    </w:p>
    <w:p>
      <w:pPr>
        <w:autoSpaceDN w:val="0"/>
        <w:autoSpaceDE w:val="0"/>
        <w:widowControl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Ngoài ra nhân viên được khám sức khỏe định kỳ mỗi năm một lần, hỗ trợ ăn trưa và tham gia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các khóa đào tạo nội bộ miễn phí.</w:t>
      </w:r>
    </w:p>
    <w:p>
      <w:pPr>
        <w:autoSpaceDN w:val="0"/>
        <w:autoSpaceDE w:val="0"/>
        <w:widowControl/>
        <w:spacing w:line="276" w:lineRule="exact" w:before="858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2</w:t>
      </w:r>
    </w:p>
    <w:p>
      <w:pPr>
        <w:sectPr>
          <w:pgSz w:w="11900" w:h="16840"/>
          <w:pgMar w:top="760" w:right="1200" w:bottom="320" w:left="12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0"/>
        <w:ind w:left="0" w:right="0"/>
      </w:pPr>
    </w:p>
    <w:p>
      <w:pPr>
        <w:autoSpaceDN w:val="0"/>
        <w:autoSpaceDE w:val="0"/>
        <w:widowControl/>
        <w:spacing w:line="235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5. Bảo mật thông tin</w:t>
      </w:r>
    </w:p>
    <w:p>
      <w:pPr>
        <w:autoSpaceDN w:val="0"/>
        <w:autoSpaceDE w:val="0"/>
        <w:widowControl/>
        <w:spacing w:line="274" w:lineRule="auto" w:before="178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Nhân viên có trách nhiệm giữ kín thông tin của khách hàng và của công ty. Không sao chép tài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liệu nội bộ ra thiết bị cá nhân khi chưa được phép.</w:t>
      </w:r>
    </w:p>
    <w:p>
      <w:pPr>
        <w:autoSpaceDN w:val="0"/>
        <w:autoSpaceDE w:val="0"/>
        <w:widowControl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Máy tính làm việc phải đặt mật khẩu và khóa màn hình khi rời chỗ. Mọi sự cố về an toàn thông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tin cần báo ngay cho bộ phận Kỹ thuật.</w:t>
      </w:r>
    </w:p>
    <w:p>
      <w:pPr>
        <w:autoSpaceDN w:val="0"/>
        <w:autoSpaceDE w:val="0"/>
        <w:widowControl/>
        <w:spacing w:line="235" w:lineRule="auto" w:before="3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6. Liên hệ</w:t>
      </w:r>
    </w:p>
    <w:p>
      <w:pPr>
        <w:autoSpaceDN w:val="0"/>
        <w:autoSpaceDE w:val="0"/>
        <w:widowControl/>
        <w:spacing w:line="274" w:lineRule="auto" w:before="178" w:after="0"/>
        <w:ind w:left="0" w:right="360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Phòng Nhân sự: nhansu@hoasen.example — máy lẻ 102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Bộ phận Kỹ thuật: kythuat@hoasen.example — máy lẻ 115</w:t>
      </w:r>
    </w:p>
    <w:p>
      <w:pPr>
        <w:autoSpaceDN w:val="0"/>
        <w:autoSpaceDE w:val="0"/>
        <w:widowControl/>
        <w:spacing w:line="233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Chúc bạn có những ngày làm việc hiệu quả và vui vẻ tại Hoa Sen.</w:t>
      </w:r>
    </w:p>
    <w:p>
      <w:pPr>
        <w:autoSpaceDN w:val="0"/>
        <w:autoSpaceDE w:val="0"/>
        <w:widowControl/>
        <w:spacing w:line="276" w:lineRule="exact" w:before="1062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3</w:t>
      </w:r>
    </w:p>
    <w:sectPr w:rsidR="00FC693F" w:rsidRPr="0006063C" w:rsidSect="00034616">
      <w:pgSz w:w="11900" w:h="16840"/>
      <w:pgMar w:top="760" w:right="1206" w:bottom="320" w:left="122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