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A82" w:rsidRDefault="00BC4A82">
      <w:pPr>
        <w:pStyle w:val="Heading1"/>
      </w:pPr>
      <w:r>
        <w:t xml:space="preserve">Business Rules for </w:t>
      </w:r>
      <w:proofErr w:type="spellStart"/>
      <w:r w:rsidR="00E03053">
        <w:t>Ứng</w:t>
      </w:r>
      <w:proofErr w:type="spellEnd"/>
      <w:r w:rsidR="00E03053">
        <w:rPr>
          <w:lang w:val="vi-VN"/>
        </w:rPr>
        <w:t xml:space="preserve"> dụng thời khóa biểu cá nhân</w:t>
      </w:r>
      <w:r>
        <w:t xml:space="preserve"> </w:t>
      </w:r>
    </w:p>
    <w:p w:rsidR="00BC4A82" w:rsidRDefault="00BC4A82"/>
    <w:tbl>
      <w:tblPr>
        <w:tblW w:w="9729" w:type="dxa"/>
        <w:tblInd w:w="-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4320"/>
        <w:gridCol w:w="1530"/>
        <w:gridCol w:w="1258"/>
        <w:gridCol w:w="1630"/>
      </w:tblGrid>
      <w:tr w:rsidR="005E639A" w:rsidRPr="004717BC" w:rsidTr="005E639A">
        <w:tc>
          <w:tcPr>
            <w:tcW w:w="991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</w:pPr>
            <w:r>
              <w:t>ID</w:t>
            </w:r>
          </w:p>
        </w:tc>
        <w:tc>
          <w:tcPr>
            <w:tcW w:w="432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</w:pPr>
            <w:r>
              <w:t>Rule Definition</w:t>
            </w:r>
          </w:p>
        </w:tc>
        <w:tc>
          <w:tcPr>
            <w:tcW w:w="153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</w:pPr>
            <w:r>
              <w:t>Type of Rule</w:t>
            </w:r>
          </w:p>
        </w:tc>
        <w:tc>
          <w:tcPr>
            <w:tcW w:w="1258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</w:pPr>
            <w:r>
              <w:t>Static or Dynamic</w:t>
            </w:r>
          </w:p>
        </w:tc>
        <w:tc>
          <w:tcPr>
            <w:tcW w:w="163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</w:pPr>
            <w:r>
              <w:t>Source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 w:hanging="1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 w:rsidR="00E91BEA">
              <w:rPr>
                <w:sz w:val="22"/>
                <w:szCs w:val="22"/>
              </w:rPr>
              <w:t>0</w:t>
            </w:r>
            <w:r w:rsidRPr="005E639A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5E639A" w:rsidRPr="005E639A" w:rsidRDefault="00801B62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5E639A" w:rsidRPr="005E639A" w:rsidRDefault="00DA5529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7457DE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DA5529" w:rsidRDefault="00DA5529" w:rsidP="00DA5529">
            <w:pPr>
              <w:pStyle w:val="NormalWeb"/>
            </w:pPr>
            <w:r>
              <w:t>Application Design</w:t>
            </w:r>
          </w:p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 w:rsidR="00E91BEA">
              <w:rPr>
                <w:sz w:val="22"/>
                <w:szCs w:val="22"/>
              </w:rPr>
              <w:t>0</w:t>
            </w:r>
            <w:r w:rsidRPr="005E639A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5E639A" w:rsidRPr="00801B62" w:rsidRDefault="00801B62" w:rsidP="00801B62">
            <w:pPr>
              <w:spacing w:after="12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,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,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31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2).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DA5529" w:rsidRDefault="00DA5529" w:rsidP="00DA5529">
            <w:pPr>
              <w:pStyle w:val="NormalWeb"/>
            </w:pPr>
            <w:r>
              <w:t>Application Design</w:t>
            </w:r>
          </w:p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 w:rsidR="00E91BEA">
              <w:rPr>
                <w:sz w:val="22"/>
                <w:szCs w:val="22"/>
              </w:rPr>
              <w:t>0</w:t>
            </w:r>
            <w:r w:rsidRPr="005E639A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5E639A" w:rsidRPr="00801B62" w:rsidRDefault="00801B62" w:rsidP="00801B62">
            <w:pPr>
              <w:spacing w:after="120"/>
            </w:pP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(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xoá</w:t>
            </w:r>
            <w:proofErr w:type="spellEnd"/>
            <w:r>
              <w:t xml:space="preserve">)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(log)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khôi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DA5529" w:rsidRDefault="00DA5529" w:rsidP="00DA5529">
            <w:pPr>
              <w:pStyle w:val="NormalWeb"/>
            </w:pPr>
            <w:r>
              <w:t>Application Security Policy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 w:rsidR="00E91BEA">
              <w:rPr>
                <w:sz w:val="22"/>
                <w:szCs w:val="22"/>
              </w:rPr>
              <w:t>0</w:t>
            </w:r>
            <w:r w:rsidRPr="005E639A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5E639A" w:rsidRPr="005E639A" w:rsidRDefault="00801B62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DA5529" w:rsidRDefault="00DA5529" w:rsidP="00DA5529">
            <w:pPr>
              <w:pStyle w:val="NormalWeb"/>
            </w:pPr>
            <w:r>
              <w:t>Application Design</w:t>
            </w:r>
          </w:p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 w:rsidR="00E91BEA">
              <w:rPr>
                <w:sz w:val="22"/>
                <w:szCs w:val="22"/>
              </w:rPr>
              <w:t>05</w:t>
            </w:r>
          </w:p>
        </w:tc>
        <w:tc>
          <w:tcPr>
            <w:tcW w:w="4320" w:type="dxa"/>
          </w:tcPr>
          <w:p w:rsidR="005E639A" w:rsidRPr="005E639A" w:rsidRDefault="00E91BE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nhầm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DA5529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DA5529" w:rsidRDefault="00DA5529" w:rsidP="00DA5529">
            <w:pPr>
              <w:pStyle w:val="NormalWeb"/>
            </w:pPr>
            <w:r>
              <w:t>Application Design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 w:rsidR="00E91BEA">
              <w:rPr>
                <w:sz w:val="22"/>
                <w:szCs w:val="22"/>
              </w:rPr>
              <w:t>06</w:t>
            </w:r>
          </w:p>
        </w:tc>
        <w:tc>
          <w:tcPr>
            <w:tcW w:w="4320" w:type="dxa"/>
          </w:tcPr>
          <w:p w:rsidR="005E639A" w:rsidRPr="005E639A" w:rsidRDefault="00E91BE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5E639A" w:rsidRPr="005E639A" w:rsidRDefault="00DA5529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DA5529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DA5529" w:rsidRDefault="00DA5529" w:rsidP="00DA5529">
            <w:pPr>
              <w:pStyle w:val="NormalWeb"/>
            </w:pPr>
            <w:r>
              <w:t>Application Security Policy</w:t>
            </w:r>
          </w:p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 w:rsidR="00E91BEA">
              <w:rPr>
                <w:sz w:val="22"/>
                <w:szCs w:val="22"/>
              </w:rPr>
              <w:t>07</w:t>
            </w:r>
          </w:p>
        </w:tc>
        <w:tc>
          <w:tcPr>
            <w:tcW w:w="4320" w:type="dxa"/>
          </w:tcPr>
          <w:p w:rsidR="005E639A" w:rsidRPr="005E639A" w:rsidRDefault="00E91BE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DA5529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DA5529" w:rsidRDefault="00DA5529" w:rsidP="00DA5529">
            <w:pPr>
              <w:pStyle w:val="NormalWeb"/>
            </w:pPr>
            <w:r>
              <w:t>Application Functionality</w:t>
            </w:r>
          </w:p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</w:p>
        </w:tc>
      </w:tr>
      <w:tr w:rsidR="00DA5529" w:rsidRPr="004717BC" w:rsidTr="005E639A">
        <w:tc>
          <w:tcPr>
            <w:tcW w:w="991" w:type="dxa"/>
          </w:tcPr>
          <w:p w:rsidR="00DA5529" w:rsidRPr="005E639A" w:rsidRDefault="00DA5529" w:rsidP="00DA5529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08</w:t>
            </w:r>
          </w:p>
        </w:tc>
        <w:tc>
          <w:tcPr>
            <w:tcW w:w="4320" w:type="dxa"/>
          </w:tcPr>
          <w:p w:rsidR="00DA5529" w:rsidRPr="005E639A" w:rsidRDefault="00DA5529" w:rsidP="00DA5529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).</w:t>
            </w:r>
          </w:p>
        </w:tc>
        <w:tc>
          <w:tcPr>
            <w:tcW w:w="1530" w:type="dxa"/>
          </w:tcPr>
          <w:p w:rsidR="00DA5529" w:rsidRPr="005E639A" w:rsidRDefault="00DA5529" w:rsidP="00DA5529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DA5529" w:rsidRPr="005E639A" w:rsidRDefault="00DA5529" w:rsidP="00DA5529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DA5529" w:rsidRPr="00DA5529" w:rsidRDefault="00DA5529" w:rsidP="00DA5529">
            <w:pPr>
              <w:pStyle w:val="NormalWeb"/>
            </w:pPr>
            <w:r>
              <w:t>Application Design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 w:rsidR="00E91BEA">
              <w:rPr>
                <w:sz w:val="22"/>
                <w:szCs w:val="22"/>
              </w:rPr>
              <w:t>09</w:t>
            </w:r>
          </w:p>
        </w:tc>
        <w:tc>
          <w:tcPr>
            <w:tcW w:w="4320" w:type="dxa"/>
          </w:tcPr>
          <w:p w:rsidR="005E639A" w:rsidRPr="005E639A" w:rsidRDefault="00E91BE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(real-time)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DA5529" w:rsidRDefault="00DA5529" w:rsidP="00DA5529">
            <w:pPr>
              <w:pStyle w:val="NormalWeb"/>
            </w:pPr>
            <w:r>
              <w:t>Application Functionality</w:t>
            </w:r>
          </w:p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lastRenderedPageBreak/>
              <w:t>BR-</w:t>
            </w:r>
            <w:r w:rsidR="00E91BEA"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5E639A" w:rsidRPr="005E639A" w:rsidRDefault="00E91BE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DA5529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DA5529" w:rsidRDefault="00DA5529" w:rsidP="00DA5529">
            <w:pPr>
              <w:pStyle w:val="NormalWeb"/>
            </w:pPr>
            <w:r>
              <w:t>Corporate Security Policy</w:t>
            </w:r>
          </w:p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BC4A82" w:rsidRDefault="00BC4A82"/>
    <w:sectPr w:rsidR="00BC4A82" w:rsidSect="004013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7CF" w:rsidRDefault="008927CF" w:rsidP="008D5B82">
      <w:pPr>
        <w:spacing w:line="240" w:lineRule="auto"/>
      </w:pPr>
      <w:r>
        <w:separator/>
      </w:r>
    </w:p>
  </w:endnote>
  <w:endnote w:type="continuationSeparator" w:id="0">
    <w:p w:rsidR="008927CF" w:rsidRDefault="008927CF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EFF" w:rsidRDefault="00BB6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A82" w:rsidRPr="00BB6EFF" w:rsidRDefault="005E639A" w:rsidP="005E639A">
    <w:pPr>
      <w:pStyle w:val="Footer"/>
      <w:jc w:val="center"/>
      <w:rPr>
        <w:b w:val="0"/>
        <w:i/>
        <w:sz w:val="20"/>
      </w:rPr>
    </w:pPr>
    <w:r w:rsidRPr="00BB6EFF">
      <w:rPr>
        <w:b w:val="0"/>
        <w:i/>
        <w:sz w:val="20"/>
      </w:rPr>
      <w:t xml:space="preserve">Copyright © 2013 by Karl </w:t>
    </w:r>
    <w:proofErr w:type="spellStart"/>
    <w:r w:rsidRPr="00BB6EFF">
      <w:rPr>
        <w:b w:val="0"/>
        <w:i/>
        <w:sz w:val="20"/>
      </w:rPr>
      <w:t>Wiegers</w:t>
    </w:r>
    <w:proofErr w:type="spellEnd"/>
    <w:r w:rsidRPr="00BB6EFF">
      <w:rPr>
        <w:b w:val="0"/>
        <w:i/>
        <w:sz w:val="20"/>
      </w:rPr>
      <w:t xml:space="preserve"> and </w:t>
    </w:r>
    <w:proofErr w:type="spellStart"/>
    <w:r w:rsidR="00BB6EFF" w:rsidRPr="00BB6EFF">
      <w:rPr>
        <w:b w:val="0"/>
        <w:i/>
        <w:sz w:val="20"/>
      </w:rPr>
      <w:t>Seilevel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EFF" w:rsidRDefault="00BB6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7CF" w:rsidRDefault="008927CF" w:rsidP="008D5B82">
      <w:pPr>
        <w:spacing w:line="240" w:lineRule="auto"/>
      </w:pPr>
      <w:r>
        <w:separator/>
      </w:r>
    </w:p>
  </w:footnote>
  <w:footnote w:type="continuationSeparator" w:id="0">
    <w:p w:rsidR="008927CF" w:rsidRDefault="008927CF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EFF" w:rsidRDefault="00BB6E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EFF" w:rsidRDefault="00BB6E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2C11"/>
    <w:rsid w:val="00326D83"/>
    <w:rsid w:val="003B1870"/>
    <w:rsid w:val="0040137D"/>
    <w:rsid w:val="005263E7"/>
    <w:rsid w:val="005E639A"/>
    <w:rsid w:val="007457DE"/>
    <w:rsid w:val="00801B62"/>
    <w:rsid w:val="008927CF"/>
    <w:rsid w:val="009F5D96"/>
    <w:rsid w:val="00AC4FE9"/>
    <w:rsid w:val="00BB6EFF"/>
    <w:rsid w:val="00BC4A82"/>
    <w:rsid w:val="00C932E4"/>
    <w:rsid w:val="00DA5529"/>
    <w:rsid w:val="00E03053"/>
    <w:rsid w:val="00E91BEA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4DAD1"/>
  <w15:docId w15:val="{4CFD0D56-F43F-4D95-A05A-182CB946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paragraph" w:styleId="NormalWeb">
    <w:name w:val="Normal (Web)"/>
    <w:basedOn w:val="Normal"/>
    <w:uiPriority w:val="99"/>
    <w:unhideWhenUsed/>
    <w:rsid w:val="00DA5529"/>
    <w:pPr>
      <w:spacing w:before="100" w:beforeAutospacing="1" w:after="100" w:afterAutospacing="1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Dell</cp:lastModifiedBy>
  <cp:revision>8</cp:revision>
  <dcterms:created xsi:type="dcterms:W3CDTF">2013-04-02T00:02:00Z</dcterms:created>
  <dcterms:modified xsi:type="dcterms:W3CDTF">2025-06-11T02:23:00Z</dcterms:modified>
</cp:coreProperties>
</file>