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PHƯƠNG PHÁP XÂY DỰNG DATASET E_i</w:t>
      </w:r>
    </w:p>
    <w:p>
      <w:pPr>
        <w:jc w:val="center"/>
      </w:pPr>
      <w:r>
        <w:rPr>
          <w:i/>
        </w:rPr>
        <w:t>Source-aligned deterministic protocol-state dataset v5.0.0</w:t>
      </w:r>
    </w:p>
    <w:p>
      <w:r>
        <w:rPr>
          <w:b/>
        </w:rPr>
        <w:t xml:space="preserve">Mục tiêu. </w:t>
      </w:r>
      <w:r>
        <w:t>Xây dựng một bảng dữ liệu tham chiếu có thể tái lập để huấn luyện Logistic Regression nhẹ trên thiết bị, tạo urgency evidence E_i. Bộ dữ liệu không được trình bày như dữ liệu bệnh nhân thực hay dữ liệu chuyên gia gán nhãn.</w:t>
      </w:r>
    </w:p>
    <w:p>
      <w:pPr>
        <w:pStyle w:val="Heading1"/>
      </w:pPr>
      <w:r>
        <w:t>1. Quyết định thiết kế sau kiểm tra nguồn</w:t>
      </w:r>
    </w:p>
    <w:p>
      <w:r>
        <w:t>Sau khi đối chiếu lại nguồn, dataset train được thu hẹp về năm dấu hiệu high-acuity có ánh xạ trực tiếp với WHO IITT người từ 12 tuổi trở lên. Hai tên feature cũng được sửa để bám sát thuật ngữ nguồn: `seizure` -&gt; `active_convulsions` và `major_trauma` -&gt; `high_risk_trauma`. `cannot_move` không còn là feature của Logistic Regression v5; nó vẫn được giữ trong ứng dụng như structured context, vì mobility là triage-relevant trong MC-IITT/START/SALT nhưng không phải một trong năm selected RED signs tạo binary target này.</w:t>
      </w:r>
    </w:p>
    <w:p>
      <w:pPr>
        <w:pStyle w:val="Heading1"/>
      </w:pPr>
      <w:r>
        <w:t>2. Feature train chính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Canonical feature</w:t>
            </w:r>
          </w:p>
        </w:tc>
        <w:tc>
          <w:tcPr>
            <w:tcW w:type="dxa" w:w="1680"/>
          </w:tcPr>
          <w:p>
            <w:r>
              <w:t>App alias</w:t>
            </w:r>
          </w:p>
        </w:tc>
        <w:tc>
          <w:tcPr>
            <w:tcW w:type="dxa" w:w="1680"/>
          </w:tcPr>
          <w:p>
            <w:r>
              <w:t>Source term</w:t>
            </w:r>
          </w:p>
        </w:tc>
        <w:tc>
          <w:tcPr>
            <w:tcW w:type="dxa" w:w="1680"/>
          </w:tcPr>
          <w:p>
            <w:r>
              <w:t>Source</w:t>
            </w:r>
          </w:p>
        </w:tc>
        <w:tc>
          <w:tcPr>
            <w:tcW w:type="dxa" w:w="1680"/>
          </w:tcPr>
          <w:p>
            <w:r>
              <w:t>Status</w:t>
            </w:r>
          </w:p>
        </w:tc>
        <w:tc>
          <w:tcPr>
            <w:tcW w:type="dxa" w:w="1680"/>
          </w:tcPr>
          <w:p>
            <w:r>
              <w:t>Giới hạn</w:t>
            </w:r>
          </w:p>
        </w:tc>
      </w:tr>
      <w:tr>
        <w:tc>
          <w:tcPr>
            <w:tcW w:type="dxa" w:w="1680"/>
            <w:vAlign w:val="center"/>
          </w:tcPr>
          <w:p>
            <w:r>
              <w:t>unresponsive</w:t>
            </w:r>
          </w:p>
        </w:tc>
        <w:tc>
          <w:tcPr>
            <w:tcW w:type="dxa" w:w="1680"/>
            <w:vAlign w:val="center"/>
          </w:tcPr>
          <w:p>
            <w:r>
              <w:t>unresponsive</w:t>
            </w:r>
          </w:p>
        </w:tc>
        <w:tc>
          <w:tcPr>
            <w:tcW w:type="dxa" w:w="1680"/>
            <w:vAlign w:val="center"/>
          </w:tcPr>
          <w:p>
            <w:r>
              <w:t>Unresponsive</w:t>
            </w:r>
          </w:p>
        </w:tc>
        <w:tc>
          <w:tcPr>
            <w:tcW w:type="dxa" w:w="1680"/>
            <w:vAlign w:val="center"/>
          </w:tcPr>
          <w:p>
            <w:r>
              <w:t>S2</w:t>
            </w:r>
          </w:p>
        </w:tc>
        <w:tc>
          <w:tcPr>
            <w:tcW w:type="dxa" w:w="1680"/>
            <w:vAlign w:val="center"/>
          </w:tcPr>
          <w:p>
            <w:r>
              <w:t>INCLUDED</w:t>
            </w:r>
          </w:p>
        </w:tc>
        <w:tc>
          <w:tcPr>
            <w:tcW w:type="dxa" w:w="1680"/>
            <w:vAlign w:val="center"/>
          </w:tcPr>
          <w:p>
            <w:r>
              <w:t>Source criterion is patient-level; app report flag aggregates at group level.</w:t>
            </w:r>
          </w:p>
        </w:tc>
      </w:tr>
      <w:tr>
        <w:tc>
          <w:tcPr>
            <w:tcW w:type="dxa" w:w="1680"/>
            <w:vAlign w:val="center"/>
          </w:tcPr>
          <w:p>
            <w:r>
              <w:t>respiratory_distress_or_cyanosis</w:t>
            </w:r>
          </w:p>
        </w:tc>
        <w:tc>
          <w:tcPr>
            <w:tcW w:type="dxa" w:w="1680"/>
            <w:vAlign w:val="center"/>
          </w:tcPr>
          <w:p>
            <w:r>
              <w:t>respiratoryDistress</w:t>
            </w:r>
          </w:p>
        </w:tc>
        <w:tc>
          <w:tcPr>
            <w:tcW w:type="dxa" w:w="1680"/>
            <w:vAlign w:val="center"/>
          </w:tcPr>
          <w:p>
            <w:r>
              <w:t>Respiratory distress or central cyanosis</w:t>
            </w:r>
          </w:p>
        </w:tc>
        <w:tc>
          <w:tcPr>
            <w:tcW w:type="dxa" w:w="1680"/>
            <w:vAlign w:val="center"/>
          </w:tcPr>
          <w:p>
            <w:r>
              <w:t>S2;S7</w:t>
            </w:r>
          </w:p>
        </w:tc>
        <w:tc>
          <w:tcPr>
            <w:tcW w:type="dxa" w:w="1680"/>
            <w:vAlign w:val="center"/>
          </w:tcPr>
          <w:p>
            <w:r>
              <w:t>INCLUDED</w:t>
            </w:r>
          </w:p>
        </w:tc>
        <w:tc>
          <w:tcPr>
            <w:tcW w:type="dxa" w:w="1680"/>
            <w:vAlign w:val="center"/>
          </w:tcPr>
          <w:p>
            <w:r>
              <w:t>Citizen-observable report; not a full clinical respiratory/vital-sign assessment.</w:t>
            </w:r>
          </w:p>
        </w:tc>
      </w:tr>
      <w:tr>
        <w:tc>
          <w:tcPr>
            <w:tcW w:type="dxa" w:w="1680"/>
            <w:vAlign w:val="center"/>
          </w:tcPr>
          <w:p>
            <w:r>
              <w:t>heavy_bleeding</w:t>
            </w:r>
          </w:p>
        </w:tc>
        <w:tc>
          <w:tcPr>
            <w:tcW w:type="dxa" w:w="1680"/>
            <w:vAlign w:val="center"/>
          </w:tcPr>
          <w:p>
            <w:r>
              <w:t>heavyBleeding</w:t>
            </w:r>
          </w:p>
        </w:tc>
        <w:tc>
          <w:tcPr>
            <w:tcW w:type="dxa" w:w="1680"/>
            <w:vAlign w:val="center"/>
          </w:tcPr>
          <w:p>
            <w:r>
              <w:t>Heavy bleeding</w:t>
            </w:r>
          </w:p>
        </w:tc>
        <w:tc>
          <w:tcPr>
            <w:tcW w:type="dxa" w:w="1680"/>
            <w:vAlign w:val="center"/>
          </w:tcPr>
          <w:p>
            <w:r>
              <w:t>S2</w:t>
            </w:r>
          </w:p>
        </w:tc>
        <w:tc>
          <w:tcPr>
            <w:tcW w:type="dxa" w:w="1680"/>
            <w:vAlign w:val="center"/>
          </w:tcPr>
          <w:p>
            <w:r>
              <w:t>INCLUDED</w:t>
            </w:r>
          </w:p>
        </w:tc>
        <w:tc>
          <w:tcPr>
            <w:tcW w:type="dxa" w:w="1680"/>
            <w:vAlign w:val="center"/>
          </w:tcPr>
          <w:p>
            <w:r>
              <w:t>Citizen-reported visible sign, not professional hemorrhage quantification.</w:t>
            </w:r>
          </w:p>
        </w:tc>
      </w:tr>
      <w:tr>
        <w:tc>
          <w:tcPr>
            <w:tcW w:type="dxa" w:w="1680"/>
            <w:vAlign w:val="center"/>
          </w:tcPr>
          <w:p>
            <w:r>
              <w:t>active_convulsions</w:t>
            </w:r>
          </w:p>
        </w:tc>
        <w:tc>
          <w:tcPr>
            <w:tcW w:type="dxa" w:w="1680"/>
            <w:vAlign w:val="center"/>
          </w:tcPr>
          <w:p>
            <w:r>
              <w:t>seizure</w:t>
            </w:r>
          </w:p>
        </w:tc>
        <w:tc>
          <w:tcPr>
            <w:tcW w:type="dxa" w:w="1680"/>
            <w:vAlign w:val="center"/>
          </w:tcPr>
          <w:p>
            <w:r>
              <w:t>Active convulsions</w:t>
            </w:r>
          </w:p>
        </w:tc>
        <w:tc>
          <w:tcPr>
            <w:tcW w:type="dxa" w:w="1680"/>
            <w:vAlign w:val="center"/>
          </w:tcPr>
          <w:p>
            <w:r>
              <w:t>S2</w:t>
            </w:r>
          </w:p>
        </w:tc>
        <w:tc>
          <w:tcPr>
            <w:tcW w:type="dxa" w:w="1680"/>
            <w:vAlign w:val="center"/>
          </w:tcPr>
          <w:p>
            <w:r>
              <w:t>INCLUDED</w:t>
            </w:r>
          </w:p>
        </w:tc>
        <w:tc>
          <w:tcPr>
            <w:tcW w:type="dxa" w:w="1680"/>
            <w:vAlign w:val="center"/>
          </w:tcPr>
          <w:p>
            <w:r>
              <w:t>A history of seizure without active convulsions should not set this flag.</w:t>
            </w:r>
          </w:p>
        </w:tc>
      </w:tr>
      <w:tr>
        <w:tc>
          <w:tcPr>
            <w:tcW w:type="dxa" w:w="1680"/>
            <w:vAlign w:val="center"/>
          </w:tcPr>
          <w:p>
            <w:r>
              <w:t>high_risk_trauma</w:t>
            </w:r>
          </w:p>
        </w:tc>
        <w:tc>
          <w:tcPr>
            <w:tcW w:type="dxa" w:w="1680"/>
            <w:vAlign w:val="center"/>
          </w:tcPr>
          <w:p>
            <w:r>
              <w:t>majorTrauma</w:t>
            </w:r>
          </w:p>
        </w:tc>
        <w:tc>
          <w:tcPr>
            <w:tcW w:type="dxa" w:w="1680"/>
            <w:vAlign w:val="center"/>
          </w:tcPr>
          <w:p>
            <w:r>
              <w:t>High-risk trauma</w:t>
            </w:r>
          </w:p>
        </w:tc>
        <w:tc>
          <w:tcPr>
            <w:tcW w:type="dxa" w:w="1680"/>
            <w:vAlign w:val="center"/>
          </w:tcPr>
          <w:p>
            <w:r>
              <w:t>S2;S7</w:t>
            </w:r>
          </w:p>
        </w:tc>
        <w:tc>
          <w:tcPr>
            <w:tcW w:type="dxa" w:w="1680"/>
            <w:vAlign w:val="center"/>
          </w:tcPr>
          <w:p>
            <w:r>
              <w:t>INCLUDED</w:t>
            </w:r>
          </w:p>
        </w:tc>
        <w:tc>
          <w:tcPr>
            <w:tcW w:type="dxa" w:w="1680"/>
            <w:vAlign w:val="center"/>
          </w:tcPr>
          <w:p>
            <w:r>
              <w:t>App wording is a simplification; do not leave the term undefined.</w:t>
            </w:r>
          </w:p>
        </w:tc>
      </w:tr>
      <w:tr>
        <w:tc>
          <w:tcPr>
            <w:tcW w:type="dxa" w:w="1680"/>
            <w:vAlign w:val="center"/>
          </w:tcPr>
          <w:p>
            <w:r>
              <w:t>cannot_move</w:t>
            </w:r>
          </w:p>
        </w:tc>
        <w:tc>
          <w:tcPr>
            <w:tcW w:type="dxa" w:w="1680"/>
            <w:vAlign w:val="center"/>
          </w:tcPr>
          <w:p>
            <w:r>
              <w:t>cannotMove</w:t>
            </w:r>
          </w:p>
        </w:tc>
        <w:tc>
          <w:tcPr>
            <w:tcW w:type="dxa" w:w="1680"/>
            <w:vAlign w:val="center"/>
          </w:tcPr>
          <w:p>
            <w:r>
              <w:t>Walking / non-walking / mobility</w:t>
            </w:r>
          </w:p>
        </w:tc>
        <w:tc>
          <w:tcPr>
            <w:tcW w:type="dxa" w:w="1680"/>
            <w:vAlign w:val="center"/>
          </w:tcPr>
          <w:p>
            <w:r>
              <w:t>S3;S4;S5</w:t>
            </w:r>
          </w:p>
        </w:tc>
        <w:tc>
          <w:tcPr>
            <w:tcW w:type="dxa" w:w="1680"/>
            <w:vAlign w:val="center"/>
          </w:tcPr>
          <w:p>
            <w:r>
              <w:t>EXCLUDED_FROM_V5_LR</w:t>
            </w:r>
          </w:p>
        </w:tc>
        <w:tc>
          <w:tcPr>
            <w:tcW w:type="dxa" w:w="1680"/>
            <w:vAlign w:val="center"/>
          </w:tcPr>
          <w:p>
            <w:r>
              <w:t>Mobility is triage-relevant but is not one of the five selected IITT RED criteria defining the v5 binary high-acuity target.</w:t>
            </w:r>
          </w:p>
        </w:tc>
      </w:tr>
    </w:tbl>
    <w:p>
      <w:pPr>
        <w:pStyle w:val="Heading1"/>
      </w:pPr>
      <w:r>
        <w:t>3. Cách tạo dataset - không dùng AI sinh từng dòng</w:t>
      </w:r>
    </w:p>
    <w:p>
      <w:r>
        <w:t>Training table được tạo bằng script tất định. Script liệt kê toàn bộ 2^5 = 32 tổ hợp Boolean của năm feature train. Không có random sampling, không có free-form scenario generation và không dùng LLM để sinh từng row. Do đó nên gọi tài nguyên này là `deterministic protocol-state synthetic reference table`, không gọi là dataset thực địa.</w:t>
      </w:r>
    </w:p>
    <w:p>
      <w:r>
        <w:t>Target `urgency_label` được định nghĩa bằng reduced mapping: bằng 1 nếu ít nhất một trong năm selected source-mapped RED signs xuất hiện; bằng 0 nếu không có selected mapped RED sign. Nhãn 0 không có nghĩa là bệnh nhân an toàn hay low-acuity theo đầy đủ IITT.</w:t>
      </w:r>
    </w:p>
    <w:p>
      <w:pPr>
        <w:pStyle w:val="Heading1"/>
      </w:pPr>
      <w:r>
        <w:t>4. Provenance, label basis và source IDs</w:t>
      </w:r>
    </w:p>
    <w:p>
      <w:r>
        <w:t>Master CSV đi kèm lưu trực tiếp `label_basis`, `source_ids`, `active_source_mapped_signs`, `feature_semantics`, `generation_method`, `builder_sha256`, `llm_generated_row`, `random_sampling`, `clinical_ground_truth` và `dataset_version`. Các trường này nhằm cho phép audit lại cách mỗi row được tạo và giới hạn của nhãn.</w:t>
      </w:r>
    </w:p>
    <w:p>
      <w:pPr>
        <w:pStyle w:val="Heading1"/>
      </w:pPr>
      <w:r>
        <w:t>5. Vì sao không dùng cannot_move trong Logistic Regression v5</w:t>
      </w:r>
    </w:p>
    <w:p>
      <w:r>
        <w:t>WHO MC-IITT phân biệt walking/non-walking trong mass-casualty triage; START và SALT cũng sử dụng mobility. Tuy nhiên target v5 không phải full MC-IITT category mà chỉ là sự hiện diện của năm selected IITT RED signs. Nếu đưa cannot_move vào một model có target không phụ thuộc vào nó, mô hình có thể học một hệ số không có ý nghĩa từ nguồn. Vì vậy v5 loại feature này khỏi LR và giữ nó ở context layer.</w:t>
      </w:r>
    </w:p>
    <w:p>
      <w:pPr>
        <w:pStyle w:val="Heading1"/>
      </w:pPr>
      <w:r>
        <w:t>6. Training và E_i</w:t>
      </w:r>
    </w:p>
    <w:p>
      <w:r>
        <w:t>Logistic Regression sử dụng `class_weight='balanced'` vì state space có 31 positive protocol states và 1 all-zero negative state. Cân bằng được thực hiện ở model training thay vì nhân bản row, nhờ đó file train vẫn giữ 32 profile duy nhất.</w:t>
      </w:r>
    </w:p>
    <w:p>
      <w:r>
        <w:t>E_i là đầu ra sigmoid của Logistic Regression và được diễn giải là `guideline-derived mapped-high-acuity evidence score`. Không được gọi E_i là xác suất tử vong, xác suất phải cứu trước hoặc xác suất lâm sàng đã hiệu chỉnh.</w:t>
      </w:r>
    </w:p>
    <w:p>
      <w:pPr>
        <w:pStyle w:val="Heading1"/>
      </w:pPr>
      <w:r>
        <w:t>7. Kết quả kiểm tra dataset</w:t>
      </w:r>
    </w:p>
    <w:p>
      <w:r>
        <w:t>Bộ dataset final vượt qua 10/10 kiểm tra integrity: schema, binary domain, đủ 32 state, không duplicate feature profile, bao phủ toàn bộ state space, label-rule consistency, không chứa feature gây leakage/không phù hợp, provenance/source IDs đầy đủ, rebuild tất định và class imbalance được công khai.</w:t>
      </w:r>
    </w:p>
    <w:p>
      <w:pPr>
        <w:pStyle w:val="Heading1"/>
      </w:pPr>
      <w:r>
        <w:t>8. Hạn chế khoa học bắt buộc công bố</w:t>
      </w:r>
    </w:p>
    <w:p>
      <w:pPr>
        <w:pStyle w:val="ListBullet"/>
      </w:pPr>
      <w:r>
        <w:t>WHO IITT/MC-IITT là công cụ triage ở mức bệnh nhân và trong bối cảnh chăm sóc y tế; app là rescue report ở mức nhóm.</w:t>
      </w:r>
    </w:p>
    <w:p>
      <w:pPr>
        <w:pStyle w:val="ListBullet"/>
      </w:pPr>
      <w:r>
        <w:t>Group-level OR aggregation (flag=1 nếu ít nhất một người có dấu hiệu) là project adaptation, chưa được nguồn trên trực tiếp xác thực.</w:t>
      </w:r>
    </w:p>
    <w:p>
      <w:pPr>
        <w:pStyle w:val="ListBullet"/>
      </w:pPr>
      <w:r>
        <w:t>Dataset chỉ bao phủ năm selected RED signs; nhiều RED criteria khác và high-risk vital signs của IITT không được app thu.</w:t>
      </w:r>
    </w:p>
    <w:p>
      <w:pPr>
        <w:pStyle w:val="ListBullet"/>
      </w:pPr>
      <w:r>
        <w:t>Kết quả training/evaluation chỉ phản ánh fidelity với reduced reference mapping và khả năng triển khai kỹ thuật, không phải clinical validity.</w:t>
      </w:r>
    </w:p>
    <w:p>
      <w:pPr>
        <w:pStyle w:val="Heading1"/>
      </w:pPr>
      <w:r>
        <w:t>9. Đoạn Methods đề xuất cho báo cáo chính thức</w:t>
      </w:r>
    </w:p>
    <w:p>
      <w:r>
        <w:t>Because expert-annotated flood-rescue urgency data were unavailable, the study constructed a deterministic protocol-state reference table instead of generating free-form synthetic cases. Five observable high-acuity features were mapped from selected WHO IITT red criteria: unresponsiveness, respiratory distress or central cyanosis, heavy bleeding, active convulsions, and high-risk trauma. All 32 Boolean combinations of these five structured fields were enumerated by a reproducible script without language-model generation of individual rows. The binary target therefore represents the presence of at least one selected mapped high-acuity sign and is treated as a guideline-derived surrogate label rather than clinical ground truth. A lightweight Logistic Regression with balanced class weighting is trained to produce E_i, interpreted as mapped-high-acuity evidence for the rescue pipeline.</w:t>
      </w:r>
    </w:p>
    <w:p>
      <w:pPr>
        <w:pStyle w:val="Heading1"/>
      </w:pPr>
      <w:r>
        <w:t>10. Tài liệu cơ sở</w:t>
      </w:r>
    </w:p>
    <w:p>
      <w:r>
        <w:rPr>
          <w:b/>
        </w:rPr>
        <w:t xml:space="preserve">[1] Interagency Integrated Triage Tool (IITT) overview. </w:t>
      </w:r>
      <w:r>
        <w:t>World Health Organization. https://www.who.int/tools/triage</w:t>
      </w:r>
    </w:p>
    <w:p>
      <w:r>
        <w:rPr>
          <w:b/>
        </w:rPr>
        <w:t xml:space="preserve">[2] Interagency Integrated Triage Tool: Age &gt;= 12. </w:t>
      </w:r>
      <w:r>
        <w:t>WHO / ICRC / MSF. https://apps.who.int/gb/MSPI/pdf_files/2022/10/Item1_27-10.pdf</w:t>
      </w:r>
    </w:p>
    <w:p>
      <w:r>
        <w:rPr>
          <w:b/>
        </w:rPr>
        <w:t xml:space="preserve">[3] Facility-Based Mass Casualty Triage - Guidance Note (MC-IITT). </w:t>
      </w:r>
      <w:r>
        <w:t>World Health Organization. https://cdn.who.int/media/docs/default-source/integrated-health-services-(ihs)/csy/mcm-triage_guidance-note.pdf?sfvrsn=d20449f5_2</w:t>
      </w:r>
    </w:p>
    <w:p>
      <w:r>
        <w:rPr>
          <w:b/>
        </w:rPr>
        <w:t xml:space="preserve">[4] START Adult Triage Algorithm. </w:t>
      </w:r>
      <w:r>
        <w:t>U.S. HHS CHEMM. https://chemm.hhs.gov/incident-primer/triage/start-triage</w:t>
      </w:r>
    </w:p>
    <w:p>
      <w:r>
        <w:rPr>
          <w:b/>
        </w:rPr>
        <w:t xml:space="preserve">[5] SALT Mass Casualty Triage Algorithm. </w:t>
      </w:r>
      <w:r>
        <w:t>U.S. HHS CHEMM. https://www.chemm.hhs.gov/incident-primer/triage/salt-triage</w:t>
      </w:r>
    </w:p>
    <w:p>
      <w:r>
        <w:rPr>
          <w:b/>
        </w:rPr>
        <w:t xml:space="preserve">[6] Validation of the Interagency Integrated Triage Tool in Papua New Guinea. </w:t>
      </w:r>
      <w:r>
        <w:t>The Lancet Regional Health - Western Pacific / PubMed. https://pubmed.ncbi.nlm.nih.gov/34527985/</w:t>
      </w:r>
    </w:p>
    <w:p>
      <w:r>
        <w:rPr>
          <w:b/>
        </w:rPr>
        <w:t xml:space="preserve">[7] Interagency Integrated Triage: Reference card. </w:t>
      </w:r>
      <w:r>
        <w:t>WHO / ICRC / MSF. https://cdn.who.int/media/docs/default-source/integrated-health-services-(ihs)/csy/iitt/iitt_reference-card09165e1c-0df5-472d-ab53-45506191a7bd.pdf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