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KIỂM ĐỊNH CUỐI DATASET E_i</w:t>
      </w:r>
    </w:p>
    <w:p>
      <w:pPr>
        <w:jc w:val="center"/>
      </w:pPr>
      <w:r>
        <w:rPr>
          <w:i/>
        </w:rPr>
        <w:t>30 core audit rounds + 10 model-sanity rounds - SOURCE FINAL v5.0.0</w:t>
      </w:r>
    </w:p>
    <w:p>
      <w:r>
        <w:rPr>
          <w:b/>
        </w:rPr>
        <w:t xml:space="preserve">Phạm vi. </w:t>
      </w:r>
      <w:r>
        <w:t>Ba lớp kiểm định cốt lõi gồm: 10 vòng đối chiếu nguồn, 10 vòng integrity của file dataset train, và 10 vòng final quality gate. Ngoài ra có thêm 10 vòng model-sanity trên các positive feature profiles chưa thấy, không có train/test profile overlap.</w:t>
      </w:r>
    </w:p>
    <w:p>
      <w:pPr>
        <w:pStyle w:val="Heading1"/>
      </w:pPr>
      <w:r>
        <w:t>A. 10 vòng đối chiếu cơ sở tạo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Round</w:t>
            </w:r>
          </w:p>
        </w:tc>
        <w:tc>
          <w:tcPr>
            <w:tcW w:type="dxa" w:w="2074"/>
          </w:tcPr>
          <w:p>
            <w:r>
              <w:t>Check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Sources</w:t>
            </w:r>
          </w:p>
        </w:tc>
        <w:tc>
          <w:tcPr>
            <w:tcW w:type="dxa" w:w="2074"/>
          </w:tcPr>
          <w:p>
            <w:r>
              <w:t>Action/Boundary</w:t>
            </w:r>
          </w:p>
        </w:tc>
      </w:tr>
      <w:tr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Authority and intended scope</w:t>
            </w:r>
          </w:p>
        </w:tc>
        <w:tc>
          <w:tcPr>
            <w:tcW w:type="dxa" w:w="2074"/>
          </w:tcPr>
          <w:p>
            <w:r>
              <w:t>PASS_WITH_BOUNDARY</w:t>
            </w:r>
          </w:p>
        </w:tc>
        <w:tc>
          <w:tcPr>
            <w:tcW w:type="dxa" w:w="2074"/>
          </w:tcPr>
          <w:p>
            <w:r>
              <w:t>S1</w:t>
            </w:r>
          </w:p>
        </w:tc>
        <w:tc>
          <w:tcPr>
            <w:tcW w:type="dxa" w:w="2074"/>
          </w:tcPr>
          <w:p>
            <w:r>
              <w:t>Do not claim the app implements WHO triage; use WHO-informed/guideline-derived wording.</w:t>
            </w:r>
          </w:p>
        </w:tc>
      </w:tr>
      <w:tr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Binary target semantics</w:t>
            </w:r>
          </w:p>
        </w:tc>
        <w:tc>
          <w:tcPr>
            <w:tcW w:type="dxa" w:w="2074"/>
          </w:tcPr>
          <w:p>
            <w:r>
              <w:t>PASS_WITH_BOUNDARY</w:t>
            </w:r>
          </w:p>
        </w:tc>
        <w:tc>
          <w:tcPr>
            <w:tcW w:type="dxa" w:w="2074"/>
          </w:tcPr>
          <w:p>
            <w:r>
              <w:t>S1;S2</w:t>
            </w:r>
          </w:p>
        </w:tc>
        <w:tc>
          <w:tcPr>
            <w:tcW w:type="dxa" w:w="2074"/>
          </w:tcPr>
          <w:p>
            <w:r>
              <w:t>Target renamed/interpreted narrowly: presence of at least one of five selected mapped RED signs, not the full IITT RED category.</w:t>
            </w:r>
          </w:p>
        </w:tc>
      </w:tr>
      <w:tr>
        <w:tc>
          <w:tcPr>
            <w:tcW w:type="dxa" w:w="2074"/>
          </w:tcPr>
          <w:p>
            <w:r>
              <w:t>3</w:t>
            </w:r>
          </w:p>
        </w:tc>
        <w:tc>
          <w:tcPr>
            <w:tcW w:type="dxa" w:w="2074"/>
          </w:tcPr>
          <w:p>
            <w:r>
              <w:t>unresponsive mapping</w:t>
            </w:r>
          </w:p>
        </w:tc>
        <w:tc>
          <w:tcPr>
            <w:tcW w:type="dxa" w:w="2074"/>
          </w:tcPr>
          <w:p>
            <w:r>
              <w:t>PASS</w:t>
            </w:r>
          </w:p>
        </w:tc>
        <w:tc>
          <w:tcPr>
            <w:tcW w:type="dxa" w:w="2074"/>
          </w:tcPr>
          <w:p>
            <w:r>
              <w:t>S2</w:t>
            </w:r>
          </w:p>
        </w:tc>
        <w:tc>
          <w:tcPr>
            <w:tcW w:type="dxa" w:w="2074"/>
          </w:tcPr>
          <w:p>
            <w:r>
              <w:t>Keep canonical feature name unresponsive.</w:t>
            </w:r>
          </w:p>
        </w:tc>
      </w:tr>
      <w:tr>
        <w:tc>
          <w:tcPr>
            <w:tcW w:type="dxa" w:w="2074"/>
          </w:tcPr>
          <w:p>
            <w:r>
              <w:t>4</w:t>
            </w:r>
          </w:p>
        </w:tc>
        <w:tc>
          <w:tcPr>
            <w:tcW w:type="dxa" w:w="2074"/>
          </w:tcPr>
          <w:p>
            <w:r>
              <w:t>respiratory distress / cyanosis mapping</w:t>
            </w:r>
          </w:p>
        </w:tc>
        <w:tc>
          <w:tcPr>
            <w:tcW w:type="dxa" w:w="2074"/>
          </w:tcPr>
          <w:p>
            <w:r>
              <w:t>PASS_WITH_BOUNDARY</w:t>
            </w:r>
          </w:p>
        </w:tc>
        <w:tc>
          <w:tcPr>
            <w:tcW w:type="dxa" w:w="2074"/>
          </w:tcPr>
          <w:p>
            <w:r>
              <w:t>S2;S7</w:t>
            </w:r>
          </w:p>
        </w:tc>
        <w:tc>
          <w:tcPr>
            <w:tcW w:type="dxa" w:w="2074"/>
          </w:tcPr>
          <w:p>
            <w:r>
              <w:t>Rename feature to respiratory_distress_or_cyanosis; UI may simplify wording but report preserves canonical source term.</w:t>
            </w:r>
          </w:p>
        </w:tc>
      </w:tr>
      <w:tr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heavy bleeding mapping</w:t>
            </w:r>
          </w:p>
        </w:tc>
        <w:tc>
          <w:tcPr>
            <w:tcW w:type="dxa" w:w="2074"/>
          </w:tcPr>
          <w:p>
            <w:r>
              <w:t>PASS_WITH_BOUNDARY</w:t>
            </w:r>
          </w:p>
        </w:tc>
        <w:tc>
          <w:tcPr>
            <w:tcW w:type="dxa" w:w="2074"/>
          </w:tcPr>
          <w:p>
            <w:r>
              <w:t>S2</w:t>
            </w:r>
          </w:p>
        </w:tc>
        <w:tc>
          <w:tcPr>
            <w:tcW w:type="dxa" w:w="2074"/>
          </w:tcPr>
          <w:p>
            <w:r>
              <w:t>Keep heavy_bleeding; disclose citizen-observed/group-level aggregation.</w:t>
            </w:r>
          </w:p>
        </w:tc>
      </w:tr>
      <w:tr>
        <w:tc>
          <w:tcPr>
            <w:tcW w:type="dxa" w:w="2074"/>
          </w:tcPr>
          <w:p>
            <w:r>
              <w:t>6</w:t>
            </w:r>
          </w:p>
        </w:tc>
        <w:tc>
          <w:tcPr>
            <w:tcW w:type="dxa" w:w="2074"/>
          </w:tcPr>
          <w:p>
            <w:r>
              <w:t>active convulsions mapping</w:t>
            </w:r>
          </w:p>
        </w:tc>
        <w:tc>
          <w:tcPr>
            <w:tcW w:type="dxa" w:w="2074"/>
          </w:tcPr>
          <w:p>
            <w:r>
              <w:t>PASS_AFTER_CHANGE</w:t>
            </w:r>
          </w:p>
        </w:tc>
        <w:tc>
          <w:tcPr>
            <w:tcW w:type="dxa" w:w="2074"/>
          </w:tcPr>
          <w:p>
            <w:r>
              <w:t>S2</w:t>
            </w:r>
          </w:p>
        </w:tc>
        <w:tc>
          <w:tcPr>
            <w:tcW w:type="dxa" w:w="2074"/>
          </w:tcPr>
          <w:p>
            <w:r>
              <w:t>Replace training feature seizure with active_convulsions; app alias seizure is allowed only when it means active current convulsions.</w:t>
            </w:r>
          </w:p>
        </w:tc>
      </w:tr>
      <w:tr>
        <w:tc>
          <w:tcPr>
            <w:tcW w:type="dxa" w:w="2074"/>
          </w:tcPr>
          <w:p>
            <w:r>
              <w:t>7</w:t>
            </w:r>
          </w:p>
        </w:tc>
        <w:tc>
          <w:tcPr>
            <w:tcW w:type="dxa" w:w="2074"/>
          </w:tcPr>
          <w:p>
            <w:r>
              <w:t>high-risk trauma mapping</w:t>
            </w:r>
          </w:p>
        </w:tc>
        <w:tc>
          <w:tcPr>
            <w:tcW w:type="dxa" w:w="2074"/>
          </w:tcPr>
          <w:p>
            <w:r>
              <w:t>PASS_AFTER_CHANGE</w:t>
            </w:r>
          </w:p>
        </w:tc>
        <w:tc>
          <w:tcPr>
            <w:tcW w:type="dxa" w:w="2074"/>
          </w:tcPr>
          <w:p>
            <w:r>
              <w:t>S2;S7</w:t>
            </w:r>
          </w:p>
        </w:tc>
        <w:tc>
          <w:tcPr>
            <w:tcW w:type="dxa" w:w="2074"/>
          </w:tcPr>
          <w:p>
            <w:r>
              <w:t>Replace training feature major_trauma with high_risk_trauma and require UI helper examples.</w:t>
            </w:r>
          </w:p>
        </w:tc>
      </w:tr>
      <w:tr>
        <w:tc>
          <w:tcPr>
            <w:tcW w:type="dxa" w:w="2074"/>
          </w:tcPr>
          <w:p>
            <w:r>
              <w:t>8</w:t>
            </w:r>
          </w:p>
        </w:tc>
        <w:tc>
          <w:tcPr>
            <w:tcW w:type="dxa" w:w="2074"/>
          </w:tcPr>
          <w:p>
            <w:r>
              <w:t>mobility / cannot_move</w:t>
            </w:r>
          </w:p>
        </w:tc>
        <w:tc>
          <w:tcPr>
            <w:tcW w:type="dxa" w:w="2074"/>
          </w:tcPr>
          <w:p>
            <w:r>
              <w:t>EXCLUDED_FROM_LR</w:t>
            </w:r>
          </w:p>
        </w:tc>
        <w:tc>
          <w:tcPr>
            <w:tcW w:type="dxa" w:w="2074"/>
          </w:tcPr>
          <w:p>
            <w:r>
              <w:t>S3;S4;S5</w:t>
            </w:r>
          </w:p>
        </w:tc>
        <w:tc>
          <w:tcPr>
            <w:tcW w:type="dxa" w:w="2074"/>
          </w:tcPr>
          <w:p>
            <w:r>
              <w:t>Remove cannot_move from LR training features; retain only as structured context in the app/source registry.</w:t>
            </w:r>
          </w:p>
        </w:tc>
      </w:tr>
      <w:tr>
        <w:tc>
          <w:tcPr>
            <w:tcW w:type="dxa" w:w="2074"/>
          </w:tcPr>
          <w:p>
            <w:r>
              <w:t>9</w:t>
            </w:r>
          </w:p>
        </w:tc>
        <w:tc>
          <w:tcPr>
            <w:tcW w:type="dxa" w:w="2074"/>
          </w:tcPr>
          <w:p>
            <w:r>
              <w:t>Patient-level source vs group-report aggregation</w:t>
            </w:r>
          </w:p>
        </w:tc>
        <w:tc>
          <w:tcPr>
            <w:tcW w:type="dxa" w:w="2074"/>
          </w:tcPr>
          <w:p>
            <w:r>
              <w:t>ADAPTATION_DISCLOSED</w:t>
            </w:r>
          </w:p>
        </w:tc>
        <w:tc>
          <w:tcPr>
            <w:tcW w:type="dxa" w:w="2074"/>
          </w:tcPr>
          <w:p>
            <w:r>
              <w:t>S1;S2;S3</w:t>
            </w:r>
          </w:p>
        </w:tc>
        <w:tc>
          <w:tcPr>
            <w:tcW w:type="dxa" w:w="2074"/>
          </w:tcPr>
          <w:p>
            <w:r>
              <w:t>Master CSV explicitly states group-level OR semantics: a flag is 1 if at least one person in the report has the sign. This is project adaptation, not source-validated.</w:t>
            </w:r>
          </w:p>
        </w:tc>
      </w:tr>
      <w:tr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Anti-AI-generation provenance</w:t>
            </w:r>
          </w:p>
        </w:tc>
        <w:tc>
          <w:tcPr>
            <w:tcW w:type="dxa" w:w="2074"/>
          </w:tcPr>
          <w:p>
            <w:r>
              <w:t>PASS</w:t>
            </w:r>
          </w:p>
        </w:tc>
        <w:tc>
          <w:tcPr>
            <w:tcW w:type="dxa" w:w="2074"/>
          </w:tcPr>
          <w:p>
            <w:r>
              <w:t>S2</w:t>
            </w:r>
          </w:p>
        </w:tc>
        <w:tc>
          <w:tcPr>
            <w:tcW w:type="dxa" w:w="2074"/>
          </w:tcPr>
          <w:p>
            <w:r>
              <w:t>Final training rows are generated by deterministic exhaustive 2^5 enumeration; no LLM, random sampling or free-form scenario generation.</w:t>
            </w:r>
          </w:p>
        </w:tc>
      </w:tr>
    </w:tbl>
    <w:p>
      <w:r>
        <w:t>Kết quả nguồn không bị ép thành PASS tuyệt đối. Các mục PASS_WITH_BOUNDARY, EXCLUDED_FROM_LR và ADAPTATION_DISCLOSED được giữ lại vì chính các giới hạn này giúp tránh claim vượt quá nguồn.</w:t>
      </w:r>
    </w:p>
    <w:p>
      <w:pPr>
        <w:pStyle w:val="Heading1"/>
      </w:pPr>
      <w:r>
        <w:t>B. 10 vòng integrity audit của dataset train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Round</w:t>
            </w:r>
          </w:p>
        </w:tc>
        <w:tc>
          <w:tcPr>
            <w:tcW w:type="dxa" w:w="2592"/>
          </w:tcPr>
          <w:p>
            <w:r>
              <w:t>Check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Detail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Schema and required columns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Columns=['profile_id', 'unresponsive', 'respiratory_distress_or_cyanosis', 'heavy_bleeding', 'active_convulsions', 'high_risk_trauma', 'urgency_label']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Missing values and binary domains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missing_rows=0; binary_domains=True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Row count equals complete 2^5 state space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rows=32 expected=32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Unique feature profiles / duplicate audit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unique_profiles=32/32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Exhaustive feature-profile coverage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All 32 Boolean combinations present exactly once.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Label-rule consistency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urgency_label = OR of five selected source-mapped RED signs for every row.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Target leakage / irrelevant-feature exclusion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Excluded from train CSV: ['cannot_move', 'description', 'injured_count', 'reference_triage_class', 'scenario_text_vi', 'severe_condition']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Master provenance + label basis + source IDs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master_complete=True; source_trace=True</w:t>
            </w:r>
          </w:p>
        </w:tc>
      </w:tr>
      <w:tr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Deterministic rebuild equivalence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Builder logic reproduces the same ordered 32 protocol states and labels.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Class imbalance is explicit, not hidden duplicate balancing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class_counts={0: 1, 1: 31}; training script uses class_weight='balanced' instead of duplicating negative rows.</w:t>
            </w:r>
          </w:p>
        </w:tc>
      </w:tr>
    </w:tbl>
    <w:p>
      <w:pPr>
        <w:pStyle w:val="Heading1"/>
      </w:pPr>
      <w:r>
        <w:t>C. 10 vòng final quality gate toàn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Round</w:t>
            </w:r>
          </w:p>
        </w:tc>
        <w:tc>
          <w:tcPr>
            <w:tcW w:type="dxa" w:w="2592"/>
          </w:tcPr>
          <w:p>
            <w:r>
              <w:t>Check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Detail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Source registry resolution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7 verified reference records with explicit authority, role and URL.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Canonical feature/source alignment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Model feature order=['unresponsive', 'respiratory_distress_or_cyanosis', 'heavy_bleeding', 'active_convulsions', 'high_risk_trauma'].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Old/ambiguous train features removed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seizure, major_trauma, cannot_move, injured_count and severe_condition are absent from final train CSV.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Master provenance/label basis/source IDs completeness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Every master row contains label_basis, source_ids, generation_method, builder hash and explicit non-LLM/non-clinical flags.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Deterministic rebuild equivalence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Independent reconstruction matches all 32 ordered profiles and labels.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Training script executable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Return code=0; model artifact regenerated successfully=True.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Coefficient sign and symmetry sanity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All 5 coefficients positive; max-min=0.000e+00.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E_i monotonicity and threshold separation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80 one-bit 0-&gt;1 transitions checked; min delta=0.021878; negative=0.257683; min positive=0.512681.</w:t>
            </w:r>
          </w:p>
        </w:tc>
      </w:tr>
      <w:tr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DOCX render and visual QA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Both final DOCX reports rendered to PDF/PNG and were visually inspected for clipping/overlap.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Archive integrity preflight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Temporary full-package ZIP passed CRC/integrity test before final packaging.</w:t>
            </w:r>
          </w:p>
        </w:tc>
      </w:tr>
    </w:tbl>
    <w:p>
      <w:pPr>
        <w:pStyle w:val="Heading1"/>
      </w:pPr>
      <w:r>
        <w:t>D. Phụ lục - 10 vòng model sanity trên unseen positive profiles</w:t>
      </w:r>
    </w:p>
    <w:p>
      <w:r>
        <w:t>State space final có đúng một all-zero negative profile. Vì không thể đặt cùng negative profile ở cả train và test mà vẫn bảo đảm profile overlap = 0, sanity test giữ negative profile trong train và chỉ hold-out các positive profiles. Metric chính là recall trên các tổ hợp positive chưa thấy; đây không phải clinical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Round</w:t>
            </w:r>
          </w:p>
        </w:tc>
        <w:tc>
          <w:tcPr>
            <w:tcW w:type="dxa" w:w="1728"/>
          </w:tcPr>
          <w:p>
            <w:r>
              <w:t>Train unique</w:t>
            </w:r>
          </w:p>
        </w:tc>
        <w:tc>
          <w:tcPr>
            <w:tcW w:type="dxa" w:w="1728"/>
          </w:tcPr>
          <w:p>
            <w:r>
              <w:t>Held-out +</w:t>
            </w:r>
          </w:p>
        </w:tc>
        <w:tc>
          <w:tcPr>
            <w:tcW w:type="dxa" w:w="1728"/>
          </w:tcPr>
          <w:p>
            <w:r>
              <w:t>Overlap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Mean E_i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0.750</w:t>
            </w:r>
          </w:p>
        </w:tc>
        <w:tc>
          <w:tcPr>
            <w:tcW w:type="dxa" w:w="1728"/>
          </w:tcPr>
          <w:p>
            <w:r>
              <w:t>0.809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0.816</w:t>
            </w:r>
          </w:p>
        </w:tc>
      </w:tr>
    </w:tbl>
    <w:p>
      <w:r>
        <w:t>Mean unseen-positive recall = 0.8417. Đây là technical sanity metric בלבד, không phải clinical accuracy.</w:t>
      </w:r>
    </w:p>
    <w:p>
      <w:pPr>
        <w:pStyle w:val="Heading1"/>
      </w:pPr>
      <w:r>
        <w:t>E. Thay đổi dataset sau source audit</w:t>
      </w:r>
    </w:p>
    <w:p>
      <w:pPr>
        <w:pStyle w:val="ListBullet"/>
      </w:pPr>
      <w:r>
        <w:t>Loại cannot_move khỏi Logistic Regression; vẫn giữ như app context vì mobility có cơ sở nhưng không phải selected RED-sign target.</w:t>
      </w:r>
    </w:p>
    <w:p>
      <w:pPr>
        <w:pStyle w:val="ListBullet"/>
      </w:pPr>
      <w:r>
        <w:t>Đổi seizure -&gt; active_convulsions để khớp thuật ngữ WHO IITT và tránh hiểu nhầm tiền sử co giật.</w:t>
      </w:r>
    </w:p>
    <w:p>
      <w:pPr>
        <w:pStyle w:val="ListBullet"/>
      </w:pPr>
      <w:r>
        <w:t>Đổi major_trauma -&gt; high_risk_trauma để khớp WHO IITT/reference card.</w:t>
      </w:r>
    </w:p>
    <w:p>
      <w:pPr>
        <w:pStyle w:val="ListBullet"/>
      </w:pPr>
      <w:r>
        <w:t>Đổi respiratory_distress -&gt; respiratory_distress_or_cyanosis để giữ đủ canonical source criterion.</w:t>
      </w:r>
    </w:p>
    <w:p>
      <w:pPr>
        <w:pStyle w:val="ListBullet"/>
      </w:pPr>
      <w:r>
        <w:t>Giảm state space từ 2^6=64 xuống 2^5=32 unique profiles; không duplicate.</w:t>
      </w:r>
    </w:p>
    <w:p>
      <w:pPr>
        <w:pStyle w:val="ListBullet"/>
      </w:pPr>
      <w:r>
        <w:t>Bỏ cân bằng bằng duplicate/sample-weight trong dataset; class balancing nằm trong training script qua class_weight='balanced'.</w:t>
      </w:r>
    </w:p>
    <w:p>
      <w:pPr>
        <w:pStyle w:val="Heading1"/>
      </w:pPr>
      <w:r>
        <w:t>F. Model artifact và rule baseline</w:t>
      </w:r>
    </w:p>
    <w:p>
      <w:r>
        <w:t>Final LR fit trên toàn bộ 32 protocol states đạt full-state fidelity = 1.0000; negative E_i = 0.2577; minimum positive E_i = 0.5127. Direct OR rule vẫn là baseline chính xác của chính definition target. Logistic Regression chỉ là learned lightweight surrogate; không được claim superior về mặt y khoa.</w:t>
      </w:r>
    </w:p>
    <w:p>
      <w:pPr>
        <w:pStyle w:val="Heading1"/>
      </w:pPr>
      <w:r>
        <w:t>G. Claim boundary bắt buộc</w:t>
      </w:r>
    </w:p>
    <w:p>
      <w:pPr>
        <w:pStyle w:val="ListBullet"/>
      </w:pPr>
      <w:r>
        <w:t>Không gọi đây là 'WHO dataset' hoặc nói WHO xác nhận 32 dòng.</w:t>
      </w:r>
    </w:p>
    <w:p>
      <w:pPr>
        <w:pStyle w:val="ListBullet"/>
      </w:pPr>
      <w:r>
        <w:t>Không gọi label là expert-confirmed clinical ground truth.</w:t>
      </w:r>
    </w:p>
    <w:p>
      <w:pPr>
        <w:pStyle w:val="ListBullet"/>
      </w:pPr>
      <w:r>
        <w:t>Không nói ứng dụng implements full WHO/IITT triage.</w:t>
      </w:r>
    </w:p>
    <w:p>
      <w:pPr>
        <w:pStyle w:val="ListBullet"/>
      </w:pPr>
      <w:r>
        <w:t>Không gọi urgency_label=0 là 'safe' hay 'non-urgent' theo đầy đủ IITT.</w:t>
      </w:r>
    </w:p>
    <w:p>
      <w:pPr>
        <w:pStyle w:val="ListBullet"/>
      </w:pPr>
      <w:r>
        <w:t>Không gọi E_i là mortality probability, clinical probability hay dispatch probability.</w:t>
      </w:r>
    </w:p>
    <w:p>
      <w:pPr>
        <w:pStyle w:val="ListBullet"/>
      </w:pPr>
      <w:r>
        <w:t>Phải công bố group-level OR aggregation là project adaptation.</w:t>
      </w:r>
    </w:p>
    <w:p>
      <w:pPr>
        <w:pStyle w:val="Heading1"/>
      </w:pPr>
      <w:r>
        <w:t>H. Nguồn cơ sở</w:t>
      </w:r>
    </w:p>
    <w:p>
      <w:r>
        <w:rPr>
          <w:b/>
        </w:rPr>
        <w:t xml:space="preserve">[1] Interagency Integrated Triage Tool (IITT) overview. </w:t>
      </w:r>
      <w:r>
        <w:t>World Health Organization. https://www.who.int/tools/triage</w:t>
      </w:r>
    </w:p>
    <w:p>
      <w:r>
        <w:rPr>
          <w:b/>
        </w:rPr>
        <w:t xml:space="preserve">[2] Interagency Integrated Triage Tool: Age &gt;= 12. </w:t>
      </w:r>
      <w:r>
        <w:t>WHO / ICRC / MSF. https://apps.who.int/gb/MSPI/pdf_files/2022/10/Item1_27-10.pdf</w:t>
      </w:r>
    </w:p>
    <w:p>
      <w:r>
        <w:rPr>
          <w:b/>
        </w:rPr>
        <w:t xml:space="preserve">[3] Facility-Based Mass Casualty Triage - Guidance Note (MC-IITT). </w:t>
      </w:r>
      <w:r>
        <w:t>World Health Organization. https://cdn.who.int/media/docs/default-source/integrated-health-services-(ihs)/csy/mcm-triage_guidance-note.pdf?sfvrsn=d20449f5_2</w:t>
      </w:r>
    </w:p>
    <w:p>
      <w:r>
        <w:rPr>
          <w:b/>
        </w:rPr>
        <w:t xml:space="preserve">[4] START Adult Triage Algorithm. </w:t>
      </w:r>
      <w:r>
        <w:t>U.S. HHS CHEMM. https://chemm.hhs.gov/incident-primer/triage/start-triage</w:t>
      </w:r>
    </w:p>
    <w:p>
      <w:r>
        <w:rPr>
          <w:b/>
        </w:rPr>
        <w:t xml:space="preserve">[5] SALT Mass Casualty Triage Algorithm. </w:t>
      </w:r>
      <w:r>
        <w:t>U.S. HHS CHEMM. https://www.chemm.hhs.gov/incident-primer/triage/salt-triage</w:t>
      </w:r>
    </w:p>
    <w:p>
      <w:r>
        <w:rPr>
          <w:b/>
        </w:rPr>
        <w:t xml:space="preserve">[6] Validation of the Interagency Integrated Triage Tool in Papua New Guinea. </w:t>
      </w:r>
      <w:r>
        <w:t>The Lancet Regional Health - Western Pacific / PubMed. https://pubmed.ncbi.nlm.nih.gov/34527985/</w:t>
      </w:r>
    </w:p>
    <w:p>
      <w:r>
        <w:rPr>
          <w:b/>
        </w:rPr>
        <w:t xml:space="preserve">[7] Interagency Integrated Triage: Reference card. </w:t>
      </w:r>
      <w:r>
        <w:t>WHO / ICRC / MSF. https://cdn.who.int/media/docs/default-source/integrated-health-services-(ihs)/csy/iitt/iitt_reference-card09165e1c-0df5-472d-ab53-45506191a7bd.pdf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