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LUẬT ĐẦU TƯ 2020</w:t>
      </w:r>
    </w:p>
    <w:p>
      <w:pPr>
        <w:jc w:val="center"/>
        <w:pBdr>
          <w:bottom w:val="single" w:sz="12" w:space="1" w:color="1F3864"/>
        </w:pBdr>
      </w:pPr>
      <w:r>
        <w:rPr>
          <w:rFonts w:ascii="Times New Roman" w:hAnsi="Times New Roman" w:eastAsia="Times New Roman" w:cs="Times New Roman"/>
          <w:i/>
          <w:color w:val="404040"/>
          <w:sz w:val="26"/>
        </w:rPr>
        <w:t>Tóm tắt cấu trúc và các quy định quan trọng – Luật số 61/2020/QH14</w:t>
      </w:r>
    </w:p>
    <w:tbl>
      <w:tblPr>
        <w:tblStyle w:val="TableGrid"/>
        <w:tblW w:type="dxa" w:w="9071"/>
        <w:jc w:val="center"/>
        <w:tblLayout w:type="fixed"/>
        <w:tblLook w:firstColumn="1" w:firstRow="1" w:lastColumn="0" w:lastRow="0" w:noHBand="0" w:noVBand="1" w:val="04A0"/>
        <w:tblLayout w:type="fixed"/>
      </w:tblPr>
      <w:tblGrid>
        <w:gridCol w:w="2721"/>
        <w:gridCol w:w="6350"/>
      </w:tblGrid>
      <w:tr>
        <w:trPr>
          <w:cantSplit/>
        </w:trPr>
        <w:tc>
          <w:tcPr>
            <w:tcW w:type="dxa" w:w="2721"/>
            <w:shd w:val="clear" w:color="auto" w:fill="EAF0FA"/>
          </w:tcPr>
          <w:p>
            <w:pPr>
              <w:spacing w:after="40" w:before="40"/>
            </w:pPr>
            <w:r/>
            <w:r>
              <w:rPr>
                <w:rFonts w:ascii="Times New Roman" w:hAnsi="Times New Roman" w:eastAsia="Times New Roman" w:cs="Times New Roman"/>
                <w:b/>
                <w:sz w:val="21"/>
              </w:rPr>
              <w:t>Tên văn bản</w:t>
            </w:r>
          </w:p>
        </w:tc>
        <w:tc>
          <w:tcPr>
            <w:tcW w:type="dxa" w:w="6350"/>
          </w:tcPr>
          <w:p>
            <w:pPr>
              <w:spacing w:after="40" w:before="40"/>
            </w:pPr>
            <w:r/>
            <w:r>
              <w:rPr>
                <w:rFonts w:ascii="Times New Roman" w:hAnsi="Times New Roman" w:eastAsia="Times New Roman" w:cs="Times New Roman"/>
                <w:sz w:val="21"/>
              </w:rPr>
              <w:t>Luật Đầu tư</w:t>
            </w:r>
          </w:p>
        </w:tc>
      </w:tr>
      <w:tr>
        <w:trPr>
          <w:cantSplit/>
        </w:trPr>
        <w:tc>
          <w:tcPr>
            <w:tcW w:type="dxa" w:w="2721"/>
            <w:shd w:val="clear" w:color="auto" w:fill="EAF0FA"/>
          </w:tcPr>
          <w:p>
            <w:pPr>
              <w:spacing w:after="40" w:before="40"/>
            </w:pPr>
            <w:r/>
            <w:r>
              <w:rPr>
                <w:rFonts w:ascii="Times New Roman" w:hAnsi="Times New Roman" w:eastAsia="Times New Roman" w:cs="Times New Roman"/>
                <w:b/>
                <w:sz w:val="21"/>
              </w:rPr>
              <w:t>Số hiệu</w:t>
            </w:r>
          </w:p>
        </w:tc>
        <w:tc>
          <w:tcPr>
            <w:tcW w:type="dxa" w:w="6350"/>
          </w:tcPr>
          <w:p>
            <w:pPr>
              <w:spacing w:after="40" w:before="40"/>
            </w:pPr>
            <w:r/>
            <w:r>
              <w:rPr>
                <w:rFonts w:ascii="Times New Roman" w:hAnsi="Times New Roman" w:eastAsia="Times New Roman" w:cs="Times New Roman"/>
                <w:sz w:val="21"/>
              </w:rPr>
              <w:t>61/2020/QH14</w:t>
            </w:r>
          </w:p>
        </w:tc>
      </w:tr>
      <w:tr>
        <w:trPr>
          <w:cantSplit/>
        </w:trPr>
        <w:tc>
          <w:tcPr>
            <w:tcW w:type="dxa" w:w="2721"/>
            <w:shd w:val="clear" w:color="auto" w:fill="EAF0FA"/>
          </w:tcPr>
          <w:p>
            <w:pPr>
              <w:spacing w:after="40" w:before="40"/>
            </w:pPr>
            <w:r/>
            <w:r>
              <w:rPr>
                <w:rFonts w:ascii="Times New Roman" w:hAnsi="Times New Roman" w:eastAsia="Times New Roman" w:cs="Times New Roman"/>
                <w:b/>
                <w:sz w:val="21"/>
              </w:rPr>
              <w:t>Cơ quan ban hành</w:t>
            </w:r>
          </w:p>
        </w:tc>
        <w:tc>
          <w:tcPr>
            <w:tcW w:type="dxa" w:w="6350"/>
          </w:tcPr>
          <w:p>
            <w:pPr>
              <w:spacing w:after="40" w:before="40"/>
            </w:pPr>
            <w:r/>
            <w:r>
              <w:rPr>
                <w:rFonts w:ascii="Times New Roman" w:hAnsi="Times New Roman" w:eastAsia="Times New Roman" w:cs="Times New Roman"/>
                <w:sz w:val="21"/>
              </w:rPr>
              <w:t>Quốc hội nước Cộng hòa xã hội chủ nghĩa Việt Nam, khóa XIV, kỳ họp thứ 9</w:t>
            </w:r>
          </w:p>
        </w:tc>
      </w:tr>
      <w:tr>
        <w:trPr>
          <w:cantSplit/>
        </w:trPr>
        <w:tc>
          <w:tcPr>
            <w:tcW w:type="dxa" w:w="2721"/>
            <w:shd w:val="clear" w:color="auto" w:fill="EAF0FA"/>
          </w:tcPr>
          <w:p>
            <w:pPr>
              <w:spacing w:after="40" w:before="40"/>
            </w:pPr>
            <w:r/>
            <w:r>
              <w:rPr>
                <w:rFonts w:ascii="Times New Roman" w:hAnsi="Times New Roman" w:eastAsia="Times New Roman" w:cs="Times New Roman"/>
                <w:b/>
                <w:sz w:val="21"/>
              </w:rPr>
              <w:t>Ngày thông qua</w:t>
            </w:r>
          </w:p>
        </w:tc>
        <w:tc>
          <w:tcPr>
            <w:tcW w:type="dxa" w:w="6350"/>
          </w:tcPr>
          <w:p>
            <w:pPr>
              <w:spacing w:after="40" w:before="40"/>
            </w:pPr>
            <w:r/>
            <w:r>
              <w:rPr>
                <w:rFonts w:ascii="Times New Roman" w:hAnsi="Times New Roman" w:eastAsia="Times New Roman" w:cs="Times New Roman"/>
                <w:sz w:val="21"/>
              </w:rPr>
              <w:t>17/06/2020</w:t>
            </w:r>
          </w:p>
        </w:tc>
      </w:tr>
      <w:tr>
        <w:trPr>
          <w:cantSplit/>
        </w:trPr>
        <w:tc>
          <w:tcPr>
            <w:tcW w:type="dxa" w:w="2721"/>
            <w:shd w:val="clear" w:color="auto" w:fill="EAF0FA"/>
          </w:tcPr>
          <w:p>
            <w:pPr>
              <w:spacing w:after="40" w:before="40"/>
            </w:pPr>
            <w:r/>
            <w:r>
              <w:rPr>
                <w:rFonts w:ascii="Times New Roman" w:hAnsi="Times New Roman" w:eastAsia="Times New Roman" w:cs="Times New Roman"/>
                <w:b/>
                <w:sz w:val="21"/>
              </w:rPr>
              <w:t>Ngày có hiệu lực</w:t>
            </w:r>
          </w:p>
        </w:tc>
        <w:tc>
          <w:tcPr>
            <w:tcW w:type="dxa" w:w="6350"/>
          </w:tcPr>
          <w:p>
            <w:pPr>
              <w:spacing w:after="40" w:before="40"/>
            </w:pPr>
            <w:r/>
            <w:r>
              <w:rPr>
                <w:rFonts w:ascii="Times New Roman" w:hAnsi="Times New Roman" w:eastAsia="Times New Roman" w:cs="Times New Roman"/>
                <w:sz w:val="21"/>
              </w:rPr>
              <w:t>01/01/2021</w:t>
            </w:r>
          </w:p>
        </w:tc>
      </w:tr>
      <w:tr>
        <w:trPr>
          <w:cantSplit/>
        </w:trPr>
        <w:tc>
          <w:tcPr>
            <w:tcW w:type="dxa" w:w="2721"/>
            <w:shd w:val="clear" w:color="auto" w:fill="EAF0FA"/>
          </w:tcPr>
          <w:p>
            <w:pPr>
              <w:spacing w:after="40" w:before="40"/>
            </w:pPr>
            <w:r/>
            <w:r>
              <w:rPr>
                <w:rFonts w:ascii="Times New Roman" w:hAnsi="Times New Roman" w:eastAsia="Times New Roman" w:cs="Times New Roman"/>
                <w:b/>
                <w:sz w:val="21"/>
              </w:rPr>
              <w:t>Bố cục</w:t>
            </w:r>
          </w:p>
        </w:tc>
        <w:tc>
          <w:tcPr>
            <w:tcW w:type="dxa" w:w="6350"/>
          </w:tcPr>
          <w:p>
            <w:pPr>
              <w:spacing w:after="40" w:before="40"/>
            </w:pPr>
            <w:r/>
            <w:r>
              <w:rPr>
                <w:rFonts w:ascii="Times New Roman" w:hAnsi="Times New Roman" w:eastAsia="Times New Roman" w:cs="Times New Roman"/>
                <w:sz w:val="21"/>
              </w:rPr>
              <w:t>07 chương, 77 điều</w:t>
            </w:r>
          </w:p>
        </w:tc>
      </w:tr>
      <w:tr>
        <w:trPr>
          <w:cantSplit/>
        </w:trPr>
        <w:tc>
          <w:tcPr>
            <w:tcW w:type="dxa" w:w="2721"/>
            <w:shd w:val="clear" w:color="auto" w:fill="EAF0FA"/>
          </w:tcPr>
          <w:p>
            <w:pPr>
              <w:spacing w:after="40" w:before="40"/>
            </w:pPr>
            <w:r/>
            <w:r>
              <w:rPr>
                <w:rFonts w:ascii="Times New Roman" w:hAnsi="Times New Roman" w:eastAsia="Times New Roman" w:cs="Times New Roman"/>
                <w:b/>
                <w:sz w:val="21"/>
              </w:rPr>
              <w:t>Văn bản sửa đổi, bổ sung chính</w:t>
            </w:r>
          </w:p>
        </w:tc>
        <w:tc>
          <w:tcPr>
            <w:tcW w:type="dxa" w:w="6350"/>
          </w:tcPr>
          <w:p>
            <w:pPr>
              <w:spacing w:after="40" w:before="40"/>
            </w:pPr>
            <w:r/>
            <w:r>
              <w:rPr>
                <w:rFonts w:ascii="Times New Roman" w:hAnsi="Times New Roman" w:eastAsia="Times New Roman" w:cs="Times New Roman"/>
                <w:sz w:val="21"/>
              </w:rPr>
              <w:t>Luật số 03/2022/QH15 (11/01/2022); Luật số 57/2024/QH15 (bổ sung, có hiệu lực từ 15/01/2025)</w:t>
            </w:r>
          </w:p>
        </w:tc>
      </w:tr>
      <w:tr>
        <w:trPr>
          <w:cantSplit/>
        </w:trPr>
        <w:tc>
          <w:tcPr>
            <w:tcW w:type="dxa" w:w="2721"/>
            <w:shd w:val="clear" w:color="auto" w:fill="EAF0FA"/>
          </w:tcPr>
          <w:p>
            <w:pPr>
              <w:spacing w:after="40" w:before="40"/>
            </w:pPr>
            <w:r/>
            <w:r>
              <w:rPr>
                <w:rFonts w:ascii="Times New Roman" w:hAnsi="Times New Roman" w:eastAsia="Times New Roman" w:cs="Times New Roman"/>
                <w:b/>
                <w:sz w:val="21"/>
              </w:rPr>
              <w:t>Văn bản hướng dẫn chính</w:t>
            </w:r>
          </w:p>
        </w:tc>
        <w:tc>
          <w:tcPr>
            <w:tcW w:type="dxa" w:w="6350"/>
          </w:tcPr>
          <w:p>
            <w:pPr>
              <w:spacing w:after="40" w:before="40"/>
            </w:pPr>
            <w:r/>
            <w:r>
              <w:rPr>
                <w:rFonts w:ascii="Times New Roman" w:hAnsi="Times New Roman" w:eastAsia="Times New Roman" w:cs="Times New Roman"/>
                <w:sz w:val="21"/>
              </w:rPr>
              <w:t>Nghị định số 31/2021/NĐ-CP; Nghị định số 19/2025/NĐ-CP</w:t>
            </w:r>
          </w:p>
        </w:tc>
      </w:tr>
      <w:tr>
        <w:trPr>
          <w:cantSplit/>
        </w:trPr>
        <w:tc>
          <w:tcPr>
            <w:tcW w:type="dxa" w:w="2721"/>
            <w:shd w:val="clear" w:color="auto" w:fill="EAF0FA"/>
          </w:tcPr>
          <w:p>
            <w:pPr>
              <w:spacing w:after="40" w:before="40"/>
            </w:pPr>
            <w:r/>
            <w:r>
              <w:rPr>
                <w:rFonts w:ascii="Times New Roman" w:hAnsi="Times New Roman" w:eastAsia="Times New Roman" w:cs="Times New Roman"/>
                <w:b/>
                <w:sz w:val="21"/>
              </w:rPr>
              <w:t>Tình trạng hiệu lực</w:t>
            </w:r>
          </w:p>
        </w:tc>
        <w:tc>
          <w:tcPr>
            <w:tcW w:type="dxa" w:w="6350"/>
          </w:tcPr>
          <w:p>
            <w:pPr>
              <w:spacing w:after="40" w:before="40"/>
            </w:pPr>
            <w:r/>
            <w:r>
              <w:rPr>
                <w:rFonts w:ascii="Times New Roman" w:hAnsi="Times New Roman" w:eastAsia="Times New Roman" w:cs="Times New Roman"/>
                <w:b/>
                <w:sz w:val="21"/>
              </w:rPr>
              <w:t>Hết hiệu lực từ ngày 01/03/2026</w:t>
            </w:r>
            <w:r>
              <w:rPr>
                <w:rFonts w:ascii="Times New Roman" w:hAnsi="Times New Roman" w:eastAsia="Times New Roman" w:cs="Times New Roman"/>
                <w:sz w:val="21"/>
              </w:rPr>
              <w:t>, được thay thế bởi Luật Đầu tư số 143/2025/QH15 (Quốc hội thông qua ngày 11/12/2025). Tài liệu này dùng để tra cứu quy định cũ và xử lý hồ sơ chuyển tiếp.</w:t>
            </w:r>
          </w:p>
        </w:tc>
      </w:tr>
      <w:tr>
        <w:trPr>
          <w:cantSplit/>
        </w:trPr>
        <w:tc>
          <w:tcPr>
            <w:tcW w:type="dxa" w:w="2721"/>
            <w:shd w:val="clear" w:color="auto" w:fill="EAF0FA"/>
          </w:tcPr>
          <w:p>
            <w:pPr>
              <w:spacing w:after="40" w:before="40"/>
            </w:pPr>
            <w:r/>
            <w:r>
              <w:rPr>
                <w:rFonts w:ascii="Times New Roman" w:hAnsi="Times New Roman" w:eastAsia="Times New Roman" w:cs="Times New Roman"/>
                <w:b/>
                <w:sz w:val="21"/>
              </w:rPr>
              <w:t>Ngày rà soát tình trạng hiệu lực</w:t>
            </w:r>
          </w:p>
        </w:tc>
        <w:tc>
          <w:tcPr>
            <w:tcW w:type="dxa" w:w="6350"/>
          </w:tcPr>
          <w:p>
            <w:pPr>
              <w:spacing w:after="40" w:before="40"/>
            </w:pPr>
            <w:r/>
            <w:r>
              <w:rPr>
                <w:rFonts w:ascii="Times New Roman" w:hAnsi="Times New Roman" w:eastAsia="Times New Roman" w:cs="Times New Roman"/>
                <w:sz w:val="21"/>
              </w:rPr>
              <w:t>22/10/2026</w:t>
            </w:r>
          </w:p>
        </w:tc>
      </w:tr>
    </w:tbl>
    <w:p>
      <w:pPr>
        <w:spacing w:after="40"/>
      </w:pPr>
    </w:p>
    <w:tbl>
      <w:tblPr>
        <w:tblStyle w:val="TableGrid"/>
        <w:tblW w:type="dxa" w:w="9071"/>
        <w:jc w:val="center"/>
        <w:tblLayout w:type="fixed"/>
        <w:tblLook w:firstColumn="1" w:firstRow="1" w:lastColumn="0" w:lastRow="0" w:noHBand="0" w:noVBand="1" w:val="04A0"/>
        <w:tblLayout w:type="fixed"/>
      </w:tblPr>
      <w:tblGrid>
        <w:gridCol w:w="9071"/>
      </w:tblGrid>
      <w:tr>
        <w:trPr>
          <w:cantSplit/>
        </w:trPr>
        <w:tc>
          <w:tcPr>
            <w:tcW w:type="dxa" w:w="9071"/>
            <w:shd w:val="clear" w:color="auto" w:fill="FFF2CC"/>
          </w:tcPr>
          <w:p>
            <w:pPr>
              <w:spacing w:after="40" w:before="40"/>
            </w:pPr>
            <w:r/>
            <w:r>
              <w:rPr>
                <w:rFonts w:ascii="Times New Roman" w:hAnsi="Times New Roman" w:eastAsia="Times New Roman" w:cs="Times New Roman"/>
                <w:b/>
                <w:sz w:val="21"/>
              </w:rPr>
              <w:t>Lưu ý cho hệ thống RAG:</w:t>
            </w:r>
            <w:r>
              <w:rPr>
                <w:rFonts w:ascii="Times New Roman" w:hAnsi="Times New Roman" w:eastAsia="Times New Roman" w:cs="Times New Roman"/>
                <w:sz w:val="21"/>
              </w:rPr>
              <w:t xml:space="preserve"> khi người dùng hỏi về quy định đang áp dụng sau ngày 01/03/2026, phải ưu tiên Luật Đầu tư 2025 (Luật số 143/2025/QH15). Tài liệu này chỉ nên được truy xuất cho dự án, hồ sơ phát sinh trước ngày đó hoặc hồ sơ thuộc diện chuyển tiếp. Đây là bản tóm tắt; số điều và ngưỡng cần được đối chiếu với văn bản gốc trước khi dùng cho mục đích pháp lý.</w:t>
            </w:r>
          </w:p>
        </w:tc>
      </w:tr>
    </w:tbl>
    <w:p>
      <w:pPr>
        <w:spacing w:after="40"/>
      </w:pPr>
    </w:p>
    <w:p>
      <w:pPr>
        <w:pStyle w:val="Heading1"/>
      </w:pPr>
      <w:r>
        <w:t>Chương I. Những quy định chung</w:t>
      </w:r>
    </w:p>
    <w:p>
      <w:pPr>
        <w:pStyle w:val="Heading2"/>
      </w:pPr>
      <w:r>
        <w:t>Phạm vi điều chỉnh, đối tượng áp dụng và giải thích từ ngữ (Điều 1 – Điều 3)</w:t>
      </w:r>
    </w:p>
    <w:p>
      <w:pPr>
        <w:jc w:val="both"/>
      </w:pPr>
      <w:r>
        <w:rPr>
          <w:rFonts w:ascii="Times New Roman" w:hAnsi="Times New Roman" w:eastAsia="Times New Roman" w:cs="Times New Roman"/>
        </w:rPr>
        <w:t>Luật Đầu tư 2020 điều chỉnh hoạt động đầu tư kinh doanh tại Việt Nam và hoạt động đầu tư kinh doanh từ Việt Nam ra nước ngoài. Đối tượng áp dụng là nhà đầu tư và các cơ quan, tổ chức, cá nhân có liên quan đến hoạt động đầu tư kinh doanh.</w:t>
      </w:r>
    </w:p>
    <w:p>
      <w:pPr>
        <w:jc w:val="both"/>
      </w:pPr>
      <w:r>
        <w:rPr>
          <w:rFonts w:ascii="Times New Roman" w:hAnsi="Times New Roman" w:eastAsia="Times New Roman" w:cs="Times New Roman"/>
        </w:rPr>
        <w:t xml:space="preserve">Điều 3 giải thích các khái niệm nền tảng. </w:t>
      </w:r>
      <w:r>
        <w:rPr>
          <w:rFonts w:ascii="Times New Roman" w:hAnsi="Times New Roman" w:eastAsia="Times New Roman" w:cs="Times New Roman"/>
          <w:b/>
        </w:rPr>
        <w:t>Nhà đầu tư</w:t>
      </w:r>
      <w:r>
        <w:rPr>
          <w:rFonts w:ascii="Times New Roman" w:hAnsi="Times New Roman" w:eastAsia="Times New Roman" w:cs="Times New Roman"/>
        </w:rPr>
        <w:t xml:space="preserve"> gồm nhà đầu tư trong nước, nhà đầu tư nước ngoài và tổ chức kinh tế có vốn đầu tư nước ngoài. </w:t>
      </w:r>
      <w:r>
        <w:rPr>
          <w:rFonts w:ascii="Times New Roman" w:hAnsi="Times New Roman" w:eastAsia="Times New Roman" w:cs="Times New Roman"/>
          <w:b/>
        </w:rPr>
        <w:t>Chấp thuận chủ trương đầu tư</w:t>
      </w:r>
      <w:r>
        <w:rPr>
          <w:rFonts w:ascii="Times New Roman" w:hAnsi="Times New Roman" w:eastAsia="Times New Roman" w:cs="Times New Roman"/>
        </w:rPr>
        <w:t xml:space="preserve"> là việc cơ quan nhà nước có thẩm quyền chấp thuận về mục tiêu, địa điểm, quy mô, tiến độ, thời hạn thực hiện dự án; nhà đầu tư hoặc hình thức lựa chọn nhà đầu tư; và các cơ chế, chính sách đặc biệt (nếu có) để thực hiện dự án đầu tư.</w:t>
      </w:r>
    </w:p>
    <w:p>
      <w:pPr>
        <w:pStyle w:val="Heading2"/>
      </w:pPr>
      <w:r>
        <w:t>Áp dụng Luật Đầu tư và các luật có liên quan (Điều 4)</w:t>
      </w:r>
    </w:p>
    <w:p>
      <w:pPr>
        <w:jc w:val="both"/>
      </w:pPr>
      <w:r>
        <w:rPr>
          <w:rFonts w:ascii="Times New Roman" w:hAnsi="Times New Roman" w:eastAsia="Times New Roman" w:cs="Times New Roman"/>
        </w:rPr>
        <w:t>Khi có quy định khác nhau giữa Luật Đầu tư và luật khác ban hành trước ngày Luật Đầu tư có hiệu lực về ngành, nghề cấm đầu tư kinh doanh hoặc ngành, nghề đầu tư kinh doanh có điều kiện thì thực hiện theo Luật Đầu tư. Tên ngành, nghề cấm và có điều kiện trong các luật khác phải thống nhất với Điều 6 và các Phụ lục của Luật Đầu tư. Về trình tự, thủ tục đầu tư kinh doanh và bảo đảm đầu tư, áp dụng Luật Đầu tư, trừ một số trường hợp đặc thù như thẩm quyền, trình tự, thủ tục, điều kiện đầu tư kinh doanh theo Luật Các tổ chức tín dụng, Luật Kinh doanh bảo hiểm, Luật Dầu khí.</w:t>
      </w:r>
    </w:p>
    <w:p>
      <w:pPr>
        <w:pStyle w:val="Heading2"/>
      </w:pPr>
      <w:r>
        <w:t>Chính sách về đầu tư kinh doanh (Điều 5)</w:t>
      </w:r>
    </w:p>
    <w:p>
      <w:pPr>
        <w:pStyle w:val="ListBullet"/>
        <w:spacing w:after="60"/>
        <w:jc w:val="both"/>
      </w:pPr>
      <w:r>
        <w:rPr>
          <w:rFonts w:ascii="Times New Roman" w:hAnsi="Times New Roman" w:eastAsia="Times New Roman" w:cs="Times New Roman"/>
        </w:rPr>
        <w:t>Nhà đầu tư được quyền thực hiện hoạt động đầu tư kinh doanh trong các ngành, nghề mà Luật không cấm.</w:t>
      </w:r>
    </w:p>
    <w:p>
      <w:pPr>
        <w:pStyle w:val="ListBullet"/>
        <w:spacing w:after="60"/>
        <w:jc w:val="both"/>
      </w:pPr>
      <w:r>
        <w:rPr>
          <w:rFonts w:ascii="Times New Roman" w:hAnsi="Times New Roman" w:eastAsia="Times New Roman" w:cs="Times New Roman"/>
        </w:rPr>
        <w:t>Nhà nước đối xử bình đẳng giữa các nhà đầu tư; công nhận và bảo hộ quyền sở hữu, quyền, lợi ích hợp pháp của nhà đầu tư.</w:t>
      </w:r>
    </w:p>
    <w:p>
      <w:pPr>
        <w:pStyle w:val="ListBullet"/>
        <w:spacing w:after="60"/>
        <w:jc w:val="both"/>
      </w:pPr>
      <w:r>
        <w:rPr>
          <w:rFonts w:ascii="Times New Roman" w:hAnsi="Times New Roman" w:eastAsia="Times New Roman" w:cs="Times New Roman"/>
        </w:rPr>
        <w:t>Nhà nước khuyến khích, ưu đãi và hỗ trợ đầu tư theo ngành, nghề, địa bàn và quy mô dự án.</w:t>
      </w:r>
    </w:p>
    <w:p>
      <w:pPr>
        <w:pStyle w:val="ListBullet"/>
        <w:spacing w:after="60"/>
        <w:jc w:val="both"/>
      </w:pPr>
      <w:r>
        <w:rPr>
          <w:rFonts w:ascii="Times New Roman" w:hAnsi="Times New Roman" w:eastAsia="Times New Roman" w:cs="Times New Roman"/>
        </w:rPr>
        <w:t>Nhà nước tôn trọng và thực hiện cam kết trong các điều ước quốc tế về đầu tư mà Việt Nam là thành viên.</w:t>
      </w:r>
    </w:p>
    <w:p>
      <w:pPr>
        <w:pStyle w:val="Heading2"/>
      </w:pPr>
      <w:r>
        <w:t>Ngành, nghề cấm đầu tư kinh doanh (Điều 6)</w:t>
      </w:r>
    </w:p>
    <w:p>
      <w:pPr>
        <w:jc w:val="both"/>
      </w:pPr>
      <w:r>
        <w:rPr>
          <w:rFonts w:ascii="Times New Roman" w:hAnsi="Times New Roman" w:eastAsia="Times New Roman" w:cs="Times New Roman"/>
        </w:rPr>
        <w:t>Điều 6 cấm hoạt động đầu tư kinh doanh đối với tám nhóm ngành, nghề sau đây. Danh mục chi tiết của từng nhóm được quy định tại các Phụ lục I, II và III của Luật.</w:t>
      </w:r>
    </w:p>
    <w:p>
      <w:pPr>
        <w:pStyle w:val="ListBullet"/>
        <w:spacing w:after="60"/>
        <w:jc w:val="both"/>
      </w:pPr>
      <w:r>
        <w:rPr>
          <w:rFonts w:ascii="Times New Roman" w:hAnsi="Times New Roman" w:eastAsia="Times New Roman" w:cs="Times New Roman"/>
        </w:rPr>
        <w:t>Kinh doanh các chất ma túy theo Phụ lục I của Luật.</w:t>
      </w:r>
    </w:p>
    <w:p>
      <w:pPr>
        <w:pStyle w:val="ListBullet"/>
        <w:spacing w:after="60"/>
        <w:jc w:val="both"/>
      </w:pPr>
      <w:r>
        <w:rPr>
          <w:rFonts w:ascii="Times New Roman" w:hAnsi="Times New Roman" w:eastAsia="Times New Roman" w:cs="Times New Roman"/>
        </w:rPr>
        <w:t>Kinh doanh các loại hóa chất, khoáng vật theo Phụ lục II của Luật.</w:t>
      </w:r>
    </w:p>
    <w:p>
      <w:pPr>
        <w:pStyle w:val="ListBullet"/>
        <w:spacing w:after="60"/>
        <w:jc w:val="both"/>
      </w:pPr>
      <w:r>
        <w:rPr>
          <w:rFonts w:ascii="Times New Roman" w:hAnsi="Times New Roman" w:eastAsia="Times New Roman" w:cs="Times New Roman"/>
        </w:rPr>
        <w:t>Kinh doanh mẫu vật các loại thực vật, động vật hoang dã theo Phụ lục I của Công ước CITES; mẫu vật thực vật rừng, động vật rừng, thủy sản nguồn gốc tự nhiên nhóm I và các loài thuộc Phụ lục III của Luật.</w:t>
      </w:r>
    </w:p>
    <w:p>
      <w:pPr>
        <w:pStyle w:val="ListBullet"/>
        <w:spacing w:after="60"/>
        <w:jc w:val="both"/>
      </w:pPr>
      <w:r>
        <w:rPr>
          <w:rFonts w:ascii="Times New Roman" w:hAnsi="Times New Roman" w:eastAsia="Times New Roman" w:cs="Times New Roman"/>
        </w:rPr>
        <w:t>Kinh doanh mại dâm.</w:t>
      </w:r>
    </w:p>
    <w:p>
      <w:pPr>
        <w:pStyle w:val="ListBullet"/>
        <w:spacing w:after="60"/>
        <w:jc w:val="both"/>
      </w:pPr>
      <w:r>
        <w:rPr>
          <w:rFonts w:ascii="Times New Roman" w:hAnsi="Times New Roman" w:eastAsia="Times New Roman" w:cs="Times New Roman"/>
        </w:rPr>
        <w:t>Mua, bán người, mô, bộ phận cơ thể người, bào thai người.</w:t>
      </w:r>
    </w:p>
    <w:p>
      <w:pPr>
        <w:pStyle w:val="ListBullet"/>
        <w:spacing w:after="60"/>
        <w:jc w:val="both"/>
      </w:pPr>
      <w:r>
        <w:rPr>
          <w:rFonts w:ascii="Times New Roman" w:hAnsi="Times New Roman" w:eastAsia="Times New Roman" w:cs="Times New Roman"/>
        </w:rPr>
        <w:t>Hoạt động kinh doanh liên quan đến sinh sản vô tính trên người.</w:t>
      </w:r>
    </w:p>
    <w:p>
      <w:pPr>
        <w:pStyle w:val="ListBullet"/>
        <w:spacing w:after="60"/>
        <w:jc w:val="both"/>
      </w:pPr>
      <w:r>
        <w:rPr>
          <w:rFonts w:ascii="Times New Roman" w:hAnsi="Times New Roman" w:eastAsia="Times New Roman" w:cs="Times New Roman"/>
        </w:rPr>
        <w:t>Kinh doanh pháo nổ.</w:t>
      </w:r>
    </w:p>
    <w:p>
      <w:pPr>
        <w:pStyle w:val="ListBullet"/>
        <w:spacing w:after="60"/>
        <w:jc w:val="both"/>
      </w:pPr>
      <w:r>
        <w:rPr>
          <w:rFonts w:ascii="Times New Roman" w:hAnsi="Times New Roman" w:eastAsia="Times New Roman" w:cs="Times New Roman"/>
        </w:rPr>
        <w:t>Kinh doanh dịch vụ đòi nợ.</w:t>
      </w:r>
    </w:p>
    <w:p>
      <w:pPr>
        <w:pStyle w:val="Heading2"/>
      </w:pPr>
      <w:r>
        <w:t>Ngành, nghề đầu tư kinh doanh có điều kiện (Điều 7)</w:t>
      </w:r>
    </w:p>
    <w:p>
      <w:pPr>
        <w:jc w:val="both"/>
      </w:pPr>
      <w:r>
        <w:rPr>
          <w:rFonts w:ascii="Times New Roman" w:hAnsi="Times New Roman" w:eastAsia="Times New Roman" w:cs="Times New Roman"/>
        </w:rPr>
        <w:t>Ngành, nghề đầu tư kinh doanh có điều kiện là ngành, nghề mà việc thực hiện hoạt động đầu tư kinh doanh phải đáp ứng điều kiện vì lý do quốc phòng, an ninh quốc gia, trật tự, an toàn xã hội, đạo đức xã hội, sức khỏe của cộng đồng. Danh mục ngành, nghề này được quy định tại Phụ lục IV của Luật (227 ngành, nghề tại thời điểm Luật được ban hành).</w:t>
      </w:r>
    </w:p>
    <w:p>
      <w:pPr>
        <w:jc w:val="both"/>
      </w:pPr>
      <w:r>
        <w:rPr>
          <w:rFonts w:ascii="Times New Roman" w:hAnsi="Times New Roman" w:eastAsia="Times New Roman" w:cs="Times New Roman"/>
          <w:b/>
        </w:rPr>
        <w:t>Nguyên tắc ban hành và công bố điều kiện đầu tư kinh doanh:</w:t>
      </w:r>
    </w:p>
    <w:p>
      <w:pPr>
        <w:pStyle w:val="ListBullet"/>
        <w:spacing w:after="60"/>
        <w:jc w:val="both"/>
      </w:pPr>
      <w:r>
        <w:rPr>
          <w:rFonts w:ascii="Times New Roman" w:hAnsi="Times New Roman" w:eastAsia="Times New Roman" w:cs="Times New Roman"/>
        </w:rPr>
        <w:t>Điều kiện đầu tư kinh doanh chỉ được quy định trong luật, pháp lệnh, nghị định và điều ước quốc tế; bộ, cơ quan ngang bộ, chính quyền địa phương không được ban hành điều kiện đầu tư kinh doanh.</w:t>
      </w:r>
    </w:p>
    <w:p>
      <w:pPr>
        <w:pStyle w:val="ListBullet"/>
        <w:spacing w:after="60"/>
        <w:jc w:val="both"/>
      </w:pPr>
      <w:r>
        <w:rPr>
          <w:rFonts w:ascii="Times New Roman" w:hAnsi="Times New Roman" w:eastAsia="Times New Roman" w:cs="Times New Roman"/>
        </w:rPr>
        <w:t>Điều kiện phải được quy định khách quan, công khai, minh bạch, bảo đảm khả thi, tiết kiệm thời gian và chi phí tuân thủ của nhà đầu tư; được công bố công khai.</w:t>
      </w:r>
    </w:p>
    <w:p>
      <w:pPr>
        <w:pStyle w:val="ListBullet"/>
        <w:spacing w:after="60"/>
        <w:jc w:val="both"/>
      </w:pPr>
      <w:r>
        <w:rPr>
          <w:rFonts w:ascii="Times New Roman" w:hAnsi="Times New Roman" w:eastAsia="Times New Roman" w:cs="Times New Roman"/>
        </w:rPr>
        <w:t>Nhà đầu tư chỉ được kinh doanh khi đáp ứng đủ điều kiện và phải bảo đảm duy trì điều kiện đó trong suốt quá trình hoạt động.</w:t>
      </w:r>
    </w:p>
    <w:p>
      <w:pPr>
        <w:jc w:val="both"/>
      </w:pPr>
      <w:r>
        <w:rPr>
          <w:rFonts w:ascii="Times New Roman" w:hAnsi="Times New Roman" w:eastAsia="Times New Roman" w:cs="Times New Roman"/>
          <w:b/>
        </w:rPr>
        <w:t>Các hình thức thể hiện điều kiện đầu tư kinh doanh:</w:t>
      </w:r>
    </w:p>
    <w:p>
      <w:pPr>
        <w:pStyle w:val="ListBullet"/>
        <w:spacing w:after="60"/>
        <w:jc w:val="both"/>
      </w:pPr>
      <w:r>
        <w:rPr>
          <w:rFonts w:ascii="Times New Roman" w:hAnsi="Times New Roman" w:eastAsia="Times New Roman" w:cs="Times New Roman"/>
        </w:rPr>
        <w:t>Giấy phép; giấy chứng nhận đủ điều kiện; chứng chỉ hành nghề.</w:t>
      </w:r>
    </w:p>
    <w:p>
      <w:pPr>
        <w:pStyle w:val="ListBullet"/>
        <w:spacing w:after="60"/>
        <w:jc w:val="both"/>
      </w:pPr>
      <w:r>
        <w:rPr>
          <w:rFonts w:ascii="Times New Roman" w:hAnsi="Times New Roman" w:eastAsia="Times New Roman" w:cs="Times New Roman"/>
        </w:rPr>
        <w:t>Chứng nhận bảo hiểm trách nhiệm nghề nghiệp; văn bản xác nhận vốn pháp định.</w:t>
      </w:r>
    </w:p>
    <w:p>
      <w:pPr>
        <w:pStyle w:val="ListBullet"/>
        <w:spacing w:after="60"/>
        <w:jc w:val="both"/>
      </w:pPr>
      <w:r>
        <w:rPr>
          <w:rFonts w:ascii="Times New Roman" w:hAnsi="Times New Roman" w:eastAsia="Times New Roman" w:cs="Times New Roman"/>
        </w:rPr>
        <w:t>Văn bản chấp thuận khác của cơ quan nhà nước có thẩm quyền; hoặc các yêu cầu khác mà nhà đầu tư phải đáp ứng mà không cần xác nhận bằng văn bản.</w:t>
      </w:r>
    </w:p>
    <w:p>
      <w:pPr>
        <w:pStyle w:val="Heading2"/>
      </w:pPr>
      <w:r>
        <w:t>Điều kiện tiếp cận thị trường đối với nhà đầu tư nước ngoài (Điều 9)</w:t>
      </w:r>
    </w:p>
    <w:p>
      <w:pPr>
        <w:jc w:val="both"/>
      </w:pPr>
      <w:r>
        <w:rPr>
          <w:rFonts w:ascii="Times New Roman" w:hAnsi="Times New Roman" w:eastAsia="Times New Roman" w:cs="Times New Roman"/>
        </w:rPr>
        <w:t>Nhà đầu tư nước ngoài được tiếp cận thị trường như nhà đầu tư trong nước, trừ các ngành, nghề thuộc Danh mục ngành, nghề chưa được tiếp cận thị trường hoặc được tiếp cận thị trường có điều kiện do Chính phủ công bố. Điều kiện tiếp cận thị trường có thể gồm: tỷ lệ sở hữu vốn điều lệ; hình thức đầu tư; phạm vi hoạt động đầu tư; năng lực của nhà đầu tư và đối tác tham gia thực hiện hoạt động đầu tư; và các điều kiện khác theo luật, nghị quyết của Quốc hội, pháp lệnh, nghị định và điều ước quốc tế.</w:t>
      </w:r>
    </w:p>
    <w:p>
      <w:pPr>
        <w:pStyle w:val="Heading1"/>
      </w:pPr>
      <w:r>
        <w:t>Chương II. Bảo đảm đầu tư kinh doanh</w:t>
      </w:r>
    </w:p>
    <w:p>
      <w:pPr>
        <w:pStyle w:val="Heading2"/>
      </w:pPr>
      <w:r>
        <w:t>Các nội dung bảo đảm chính</w:t>
      </w:r>
    </w:p>
    <w:p>
      <w:pPr>
        <w:pStyle w:val="ListBullet"/>
        <w:spacing w:after="60"/>
        <w:jc w:val="both"/>
      </w:pPr>
      <w:r>
        <w:rPr>
          <w:rFonts w:ascii="Times New Roman" w:hAnsi="Times New Roman" w:eastAsia="Times New Roman" w:cs="Times New Roman"/>
        </w:rPr>
        <w:t>Bảo đảm quyền sở hữu tài sản: tài sản hợp pháp của nhà đầu tư không bị quốc hữu hóa hoặc tịch thu bằng biện pháp hành chính; trường hợp trưng mua, trưng dụng vì quốc phòng, an ninh, lợi ích quốc gia thì được thanh toán hoặc bồi thường theo quy định của pháp luật.</w:t>
      </w:r>
    </w:p>
    <w:p>
      <w:pPr>
        <w:pStyle w:val="ListBullet"/>
        <w:spacing w:after="60"/>
        <w:jc w:val="both"/>
      </w:pPr>
      <w:r>
        <w:rPr>
          <w:rFonts w:ascii="Times New Roman" w:hAnsi="Times New Roman" w:eastAsia="Times New Roman" w:cs="Times New Roman"/>
        </w:rPr>
        <w:t>Bảo đảm hoạt động đầu tư kinh doanh: Nhà nước không bắt buộc nhà đầu tư thực hiện các yêu cầu như ưu tiên mua, sử dụng hàng hóa trong nước, xuất khẩu hàng hóa ở mức nhất định hoặc đạt tỷ lệ nội địa hóa.</w:t>
      </w:r>
    </w:p>
    <w:p>
      <w:pPr>
        <w:pStyle w:val="ListBullet"/>
        <w:spacing w:after="60"/>
        <w:jc w:val="both"/>
      </w:pPr>
      <w:r>
        <w:rPr>
          <w:rFonts w:ascii="Times New Roman" w:hAnsi="Times New Roman" w:eastAsia="Times New Roman" w:cs="Times New Roman"/>
        </w:rPr>
        <w:t>Bảo đảm chuyển vốn, tài sản và thu nhập hợp pháp ra nước ngoài sau khi hoàn thành nghĩa vụ tài chính.</w:t>
      </w:r>
    </w:p>
    <w:p>
      <w:pPr>
        <w:pStyle w:val="ListBullet"/>
        <w:spacing w:after="60"/>
        <w:jc w:val="both"/>
      </w:pPr>
      <w:r>
        <w:rPr>
          <w:rFonts w:ascii="Times New Roman" w:hAnsi="Times New Roman" w:eastAsia="Times New Roman" w:cs="Times New Roman"/>
        </w:rPr>
        <w:t>Bảo đảm đầu tư kinh doanh trong trường hợp thay đổi pháp luật: nhà đầu tư được hưởng ưu đãi theo quy định cũ trong thời hạn còn lại hoặc được lựa chọn phương án bảo đảm theo luật định.</w:t>
      </w:r>
    </w:p>
    <w:p>
      <w:pPr>
        <w:pStyle w:val="ListBullet"/>
        <w:spacing w:after="60"/>
        <w:jc w:val="both"/>
      </w:pPr>
      <w:r>
        <w:rPr>
          <w:rFonts w:ascii="Times New Roman" w:hAnsi="Times New Roman" w:eastAsia="Times New Roman" w:cs="Times New Roman"/>
        </w:rPr>
        <w:t>Giải quyết tranh chấp đầu tư kinh doanh bằng thương lượng, hòa giải, Tòa án hoặc trọng tài.</w:t>
      </w:r>
    </w:p>
    <w:p>
      <w:pPr>
        <w:pStyle w:val="Heading1"/>
      </w:pPr>
      <w:r>
        <w:t>Chương III. Ưu đãi và hỗ trợ đầu tư</w:t>
      </w:r>
    </w:p>
    <w:p>
      <w:pPr>
        <w:pStyle w:val="Heading2"/>
      </w:pPr>
      <w:r>
        <w:t>Hình thức ưu đãi đầu tư (Điều 15)</w:t>
      </w:r>
    </w:p>
    <w:tbl>
      <w:tblPr>
        <w:tblStyle w:val="TableGrid"/>
        <w:tblW w:type="dxa" w:w="9071"/>
        <w:jc w:val="center"/>
        <w:tblLayout w:type="fixed"/>
        <w:tblLook w:firstColumn="1" w:firstRow="1" w:lastColumn="0" w:lastRow="0" w:noHBand="0" w:noVBand="1" w:val="04A0"/>
        <w:tblLayout w:type="fixed"/>
      </w:tblPr>
      <w:tblGrid>
        <w:gridCol w:w="2721"/>
        <w:gridCol w:w="6350"/>
      </w:tblGrid>
      <w:tr>
        <w:trPr>
          <w:tblHeader w:val="true"/>
          <w:cantSplit/>
        </w:trPr>
        <w:tc>
          <w:tcPr>
            <w:tcW w:type="dxa" w:w="2721"/>
            <w:shd w:val="clear" w:color="auto" w:fill="D9E2F3"/>
          </w:tcPr>
          <w:p>
            <w:pPr>
              <w:spacing w:after="40" w:before="40"/>
            </w:pPr>
            <w:r/>
            <w:r>
              <w:rPr>
                <w:rFonts w:ascii="Times New Roman" w:hAnsi="Times New Roman" w:eastAsia="Times New Roman" w:cs="Times New Roman"/>
                <w:b/>
                <w:sz w:val="21"/>
              </w:rPr>
              <w:t>Hình thức ưu đãi</w:t>
            </w:r>
          </w:p>
        </w:tc>
        <w:tc>
          <w:tcPr>
            <w:tcW w:type="dxa" w:w="6350"/>
            <w:shd w:val="clear" w:color="auto" w:fill="D9E2F3"/>
          </w:tcPr>
          <w:p>
            <w:pPr>
              <w:spacing w:after="40" w:before="40"/>
            </w:pPr>
            <w:r/>
            <w:r>
              <w:rPr>
                <w:rFonts w:ascii="Times New Roman" w:hAnsi="Times New Roman" w:eastAsia="Times New Roman" w:cs="Times New Roman"/>
                <w:b/>
                <w:sz w:val="21"/>
              </w:rPr>
              <w:t>Nội dung chính</w:t>
            </w:r>
          </w:p>
        </w:tc>
      </w:tr>
      <w:tr>
        <w:trPr>
          <w:cantSplit/>
        </w:trPr>
        <w:tc>
          <w:tcPr>
            <w:tcW w:type="dxa" w:w="2721"/>
          </w:tcPr>
          <w:p>
            <w:pPr>
              <w:spacing w:after="40" w:before="40"/>
            </w:pPr>
            <w:r/>
            <w:r>
              <w:rPr>
                <w:rFonts w:ascii="Times New Roman" w:hAnsi="Times New Roman" w:eastAsia="Times New Roman" w:cs="Times New Roman"/>
                <w:sz w:val="21"/>
              </w:rPr>
              <w:t>Ưu đãi thuế thu nhập doanh nghiệp</w:t>
            </w:r>
          </w:p>
        </w:tc>
        <w:tc>
          <w:tcPr>
            <w:tcW w:type="dxa" w:w="6350"/>
          </w:tcPr>
          <w:p>
            <w:pPr>
              <w:spacing w:after="40" w:before="40"/>
            </w:pPr>
            <w:r/>
            <w:r>
              <w:rPr>
                <w:rFonts w:ascii="Times New Roman" w:hAnsi="Times New Roman" w:eastAsia="Times New Roman" w:cs="Times New Roman"/>
                <w:sz w:val="21"/>
              </w:rPr>
              <w:t>Áp dụng thuế suất thấp hơn mức thông thường trong một thời hạn hoặc toàn bộ thời gian thực hiện dự án; miễn thuế, giảm thuế và các ưu đãi khác theo pháp luật về thuế thu nhập doanh nghiệp.</w:t>
            </w:r>
          </w:p>
        </w:tc>
      </w:tr>
      <w:tr>
        <w:trPr>
          <w:cantSplit/>
        </w:trPr>
        <w:tc>
          <w:tcPr>
            <w:tcW w:type="dxa" w:w="2721"/>
          </w:tcPr>
          <w:p>
            <w:pPr>
              <w:spacing w:after="40" w:before="40"/>
            </w:pPr>
            <w:r/>
            <w:r>
              <w:rPr>
                <w:rFonts w:ascii="Times New Roman" w:hAnsi="Times New Roman" w:eastAsia="Times New Roman" w:cs="Times New Roman"/>
                <w:sz w:val="21"/>
              </w:rPr>
              <w:t>Ưu đãi thuế nhập khẩu</w:t>
            </w:r>
          </w:p>
        </w:tc>
        <w:tc>
          <w:tcPr>
            <w:tcW w:type="dxa" w:w="6350"/>
          </w:tcPr>
          <w:p>
            <w:pPr>
              <w:spacing w:after="40" w:before="40"/>
            </w:pPr>
            <w:r/>
            <w:r>
              <w:rPr>
                <w:rFonts w:ascii="Times New Roman" w:hAnsi="Times New Roman" w:eastAsia="Times New Roman" w:cs="Times New Roman"/>
                <w:sz w:val="21"/>
              </w:rPr>
              <w:t>Miễn thuế nhập khẩu đối với hàng hóa nhập khẩu để tạo tài sản cố định, nguyên liệu, vật tư, linh kiện theo pháp luật về thuế xuất khẩu, thuế nhập khẩu.</w:t>
            </w:r>
          </w:p>
        </w:tc>
      </w:tr>
      <w:tr>
        <w:trPr>
          <w:cantSplit/>
        </w:trPr>
        <w:tc>
          <w:tcPr>
            <w:tcW w:type="dxa" w:w="2721"/>
          </w:tcPr>
          <w:p>
            <w:pPr>
              <w:spacing w:after="40" w:before="40"/>
            </w:pPr>
            <w:r/>
            <w:r>
              <w:rPr>
                <w:rFonts w:ascii="Times New Roman" w:hAnsi="Times New Roman" w:eastAsia="Times New Roman" w:cs="Times New Roman"/>
                <w:sz w:val="21"/>
              </w:rPr>
              <w:t>Ưu đãi về đất đai</w:t>
            </w:r>
          </w:p>
        </w:tc>
        <w:tc>
          <w:tcPr>
            <w:tcW w:type="dxa" w:w="6350"/>
          </w:tcPr>
          <w:p>
            <w:pPr>
              <w:spacing w:after="40" w:before="40"/>
            </w:pPr>
            <w:r/>
            <w:r>
              <w:rPr>
                <w:rFonts w:ascii="Times New Roman" w:hAnsi="Times New Roman" w:eastAsia="Times New Roman" w:cs="Times New Roman"/>
                <w:sz w:val="21"/>
              </w:rPr>
              <w:t>Miễn, giảm tiền thuê đất, tiền sử dụng đất, thuế sử dụng đất theo pháp luật về đất đai và pháp luật về thuế.</w:t>
            </w:r>
          </w:p>
        </w:tc>
      </w:tr>
      <w:tr>
        <w:trPr>
          <w:cantSplit/>
        </w:trPr>
        <w:tc>
          <w:tcPr>
            <w:tcW w:type="dxa" w:w="2721"/>
          </w:tcPr>
          <w:p>
            <w:pPr>
              <w:spacing w:after="40" w:before="40"/>
            </w:pPr>
            <w:r/>
            <w:r>
              <w:rPr>
                <w:rFonts w:ascii="Times New Roman" w:hAnsi="Times New Roman" w:eastAsia="Times New Roman" w:cs="Times New Roman"/>
                <w:sz w:val="21"/>
              </w:rPr>
              <w:t>Khấu hao nhanh</w:t>
            </w:r>
          </w:p>
        </w:tc>
        <w:tc>
          <w:tcPr>
            <w:tcW w:type="dxa" w:w="6350"/>
          </w:tcPr>
          <w:p>
            <w:pPr>
              <w:spacing w:after="40" w:before="40"/>
            </w:pPr>
            <w:r/>
            <w:r>
              <w:rPr>
                <w:rFonts w:ascii="Times New Roman" w:hAnsi="Times New Roman" w:eastAsia="Times New Roman" w:cs="Times New Roman"/>
                <w:sz w:val="21"/>
              </w:rPr>
              <w:t>Khấu hao nhanh, tăng mức chi phí được trừ khi xác định thu nhập chịu thuế.</w:t>
            </w:r>
          </w:p>
        </w:tc>
      </w:tr>
    </w:tbl>
    <w:p>
      <w:pPr>
        <w:spacing w:after="40"/>
      </w:pPr>
    </w:p>
    <w:p>
      <w:pPr>
        <w:pStyle w:val="Heading2"/>
      </w:pPr>
      <w:r>
        <w:t>Đối tượng được hưởng ưu đãi đầu tư (Điều 15)</w:t>
      </w:r>
    </w:p>
    <w:p>
      <w:pPr>
        <w:pStyle w:val="ListBullet"/>
        <w:spacing w:after="60"/>
        <w:jc w:val="both"/>
      </w:pPr>
      <w:r>
        <w:rPr>
          <w:rFonts w:ascii="Times New Roman" w:hAnsi="Times New Roman" w:eastAsia="Times New Roman" w:cs="Times New Roman"/>
        </w:rPr>
        <w:t>Dự án đầu tư thuộc ngành, nghề ưu đãi đầu tư.</w:t>
      </w:r>
    </w:p>
    <w:p>
      <w:pPr>
        <w:pStyle w:val="ListBullet"/>
        <w:spacing w:after="60"/>
        <w:jc w:val="both"/>
      </w:pPr>
      <w:r>
        <w:rPr>
          <w:rFonts w:ascii="Times New Roman" w:hAnsi="Times New Roman" w:eastAsia="Times New Roman" w:cs="Times New Roman"/>
        </w:rPr>
        <w:t>Dự án đầu tư thực hiện tại địa bàn ưu đãi đầu tư (địa bàn có điều kiện kinh tế - xã hội khó khăn hoặc đặc biệt khó khăn; khu kinh tế, khu công nghệ cao).</w:t>
      </w:r>
    </w:p>
    <w:p>
      <w:pPr>
        <w:pStyle w:val="ListBullet"/>
        <w:spacing w:after="60"/>
        <w:jc w:val="both"/>
      </w:pPr>
      <w:r>
        <w:rPr>
          <w:rFonts w:ascii="Times New Roman" w:hAnsi="Times New Roman" w:eastAsia="Times New Roman" w:cs="Times New Roman"/>
        </w:rPr>
        <w:t>Dự án đầu tư có quy mô vốn lớn (từ 6.000 tỷ đồng trở lên) và thực hiện giải ngân trong thời hạn tối đa 03 năm kể từ ngày được cấp Giấy chứng nhận đăng ký đầu tư hoặc được chấp thuận chủ trương đầu tư.</w:t>
      </w:r>
    </w:p>
    <w:p>
      <w:pPr>
        <w:pStyle w:val="ListBullet"/>
        <w:spacing w:after="60"/>
        <w:jc w:val="both"/>
      </w:pPr>
      <w:r>
        <w:rPr>
          <w:rFonts w:ascii="Times New Roman" w:hAnsi="Times New Roman" w:eastAsia="Times New Roman" w:cs="Times New Roman"/>
        </w:rPr>
        <w:t>Một số đối tượng khác như doanh nghiệp công nghệ cao, doanh nghiệp khoa học và công nghệ, trung tâm nghiên cứu và phát triển, doanh nghiệp nhỏ và vừa khởi nghiệp sáng tạo theo quy định của Luật.</w:t>
      </w:r>
    </w:p>
    <w:p>
      <w:pPr>
        <w:jc w:val="both"/>
      </w:pPr>
      <w:r>
        <w:rPr>
          <w:rFonts w:ascii="Times New Roman" w:hAnsi="Times New Roman" w:eastAsia="Times New Roman" w:cs="Times New Roman"/>
          <w:b/>
        </w:rPr>
        <w:t>Trường hợp không áp dụng ưu đãi:</w:t>
      </w:r>
      <w:r>
        <w:rPr>
          <w:rFonts w:ascii="Times New Roman" w:hAnsi="Times New Roman" w:eastAsia="Times New Roman" w:cs="Times New Roman"/>
        </w:rPr>
        <w:t xml:space="preserve"> ưu đãi đầu tư không áp dụng đối với dự án khai thác khoáng sản và dự án sản xuất, kinh doanh hàng hóa, dịch vụ chịu thuế tiêu thụ đặc biệt, trừ một số trường hợp luật định.</w:t>
      </w:r>
    </w:p>
    <w:p>
      <w:pPr>
        <w:pStyle w:val="Heading2"/>
      </w:pPr>
      <w:r>
        <w:t>Ngành, nghề ưu đãi đầu tư và địa bàn ưu đãi đầu tư (Điều 16)</w:t>
      </w:r>
    </w:p>
    <w:p>
      <w:pPr>
        <w:jc w:val="both"/>
      </w:pPr>
      <w:r>
        <w:rPr>
          <w:rFonts w:ascii="Times New Roman" w:hAnsi="Times New Roman" w:eastAsia="Times New Roman" w:cs="Times New Roman"/>
        </w:rPr>
        <w:t>Các nhóm ngành, nghề ưu đãi đầu tư tiêu biểu:</w:t>
      </w:r>
    </w:p>
    <w:p>
      <w:pPr>
        <w:pStyle w:val="ListBullet"/>
        <w:spacing w:after="60"/>
        <w:jc w:val="both"/>
      </w:pPr>
      <w:r>
        <w:rPr>
          <w:rFonts w:ascii="Times New Roman" w:hAnsi="Times New Roman" w:eastAsia="Times New Roman" w:cs="Times New Roman"/>
        </w:rPr>
        <w:t>Hoạt động công nghệ cao; sản phẩm công nghệ cao; nghiên cứu và phát triển; ứng dụng công nghệ cao.</w:t>
      </w:r>
    </w:p>
    <w:p>
      <w:pPr>
        <w:pStyle w:val="ListBullet"/>
        <w:spacing w:after="60"/>
        <w:jc w:val="both"/>
      </w:pPr>
      <w:r>
        <w:rPr>
          <w:rFonts w:ascii="Times New Roman" w:hAnsi="Times New Roman" w:eastAsia="Times New Roman" w:cs="Times New Roman"/>
        </w:rPr>
        <w:t>Sản xuất vật liệu mới, năng lượng sạch, năng lượng tái tạo; sản phẩm tiết kiệm năng lượng.</w:t>
      </w:r>
    </w:p>
    <w:p>
      <w:pPr>
        <w:pStyle w:val="ListBullet"/>
        <w:spacing w:after="60"/>
        <w:jc w:val="both"/>
      </w:pPr>
      <w:r>
        <w:rPr>
          <w:rFonts w:ascii="Times New Roman" w:hAnsi="Times New Roman" w:eastAsia="Times New Roman" w:cs="Times New Roman"/>
        </w:rPr>
        <w:t>Sản xuất sản phẩm điện tử, cơ khí trọng điểm, máy nông nghiệp, thiết bị tưới tiêu, ô tô.</w:t>
      </w:r>
    </w:p>
    <w:p>
      <w:pPr>
        <w:pStyle w:val="ListBullet"/>
        <w:spacing w:after="60"/>
        <w:jc w:val="both"/>
      </w:pPr>
      <w:r>
        <w:rPr>
          <w:rFonts w:ascii="Times New Roman" w:hAnsi="Times New Roman" w:eastAsia="Times New Roman" w:cs="Times New Roman"/>
        </w:rPr>
        <w:t>Sản xuất sản phẩm thuộc Danh mục sản phẩm công nghiệp hỗ trợ ưu tiên phát triển.</w:t>
      </w:r>
    </w:p>
    <w:p>
      <w:pPr>
        <w:pStyle w:val="ListBullet"/>
        <w:spacing w:after="60"/>
        <w:jc w:val="both"/>
      </w:pPr>
      <w:r>
        <w:rPr>
          <w:rFonts w:ascii="Times New Roman" w:hAnsi="Times New Roman" w:eastAsia="Times New Roman" w:cs="Times New Roman"/>
        </w:rPr>
        <w:t>Nuôi trồng, chế biến nông, lâm, thủy sản; làm muối; sản xuất giống cây trồng, vật nuôi.</w:t>
      </w:r>
    </w:p>
    <w:p>
      <w:pPr>
        <w:pStyle w:val="ListBullet"/>
        <w:spacing w:after="60"/>
        <w:jc w:val="both"/>
      </w:pPr>
      <w:r>
        <w:rPr>
          <w:rFonts w:ascii="Times New Roman" w:hAnsi="Times New Roman" w:eastAsia="Times New Roman" w:cs="Times New Roman"/>
        </w:rPr>
        <w:t>Đầu tư phát triển cơ sở hạ tầng kỹ thuật, hạ tầng xã hội; giáo dục, đào tạo, y tế, văn hóa, thể thao.</w:t>
      </w:r>
    </w:p>
    <w:p>
      <w:pPr>
        <w:pStyle w:val="ListBullet"/>
        <w:spacing w:after="60"/>
        <w:jc w:val="both"/>
      </w:pPr>
      <w:r>
        <w:rPr>
          <w:rFonts w:ascii="Times New Roman" w:hAnsi="Times New Roman" w:eastAsia="Times New Roman" w:cs="Times New Roman"/>
        </w:rPr>
        <w:t>Đầu tư kinh doanh nhà ở xã hội và các lĩnh vực khác theo quy định của Chính phủ.</w:t>
      </w:r>
    </w:p>
    <w:p>
      <w:pPr>
        <w:pStyle w:val="Heading2"/>
      </w:pPr>
      <w:r>
        <w:t>Thủ tục áp dụng ưu đãi và hỗ trợ đầu tư (Điều 17, Điều 18)</w:t>
      </w:r>
    </w:p>
    <w:p>
      <w:pPr>
        <w:jc w:val="both"/>
      </w:pPr>
      <w:r>
        <w:rPr>
          <w:rFonts w:ascii="Times New Roman" w:hAnsi="Times New Roman" w:eastAsia="Times New Roman" w:cs="Times New Roman"/>
        </w:rPr>
        <w:t>Ưu đãi đầu tư được thể hiện trong Giấy chứng nhận đăng ký đầu tư hoặc các văn bản chấp thuận liên quan; nhà đầu tư thực hiện thủ tục hưởng ưu đãi theo pháp luật chuyên ngành về thuế, đất đai, hải quan. Bên cạnh ưu đãi, Nhà nước hỗ trợ đầu tư thông qua phát triển hạ tầng, đào tạo nguồn nhân lực, tiếp cận tín dụng, tiếp cận mặt bằng sản xuất, hỗ trợ khoa học - công nghệ, chuyển giao công nghệ và xúc tiến đầu tư.</w:t>
      </w:r>
    </w:p>
    <w:p>
      <w:pPr>
        <w:jc w:val="both"/>
      </w:pPr>
      <w:r>
        <w:rPr>
          <w:rFonts w:ascii="Times New Roman" w:hAnsi="Times New Roman" w:eastAsia="Times New Roman" w:cs="Times New Roman"/>
          <w:b/>
        </w:rPr>
        <w:t>Ưu đãi và hỗ trợ đầu tư đặc biệt:</w:t>
      </w:r>
      <w:r>
        <w:rPr>
          <w:rFonts w:ascii="Times New Roman" w:hAnsi="Times New Roman" w:eastAsia="Times New Roman" w:cs="Times New Roman"/>
        </w:rPr>
        <w:t xml:space="preserve"> Luật số 57/2024/QH15 (có hiệu lực từ 15/01/2025) bổ sung cơ chế ưu đãi và hỗ trợ đầu tư đặc biệt cho một số dự án đáp ứng tiêu chí luật định.</w:t>
      </w:r>
    </w:p>
    <w:p>
      <w:pPr>
        <w:pStyle w:val="Heading1"/>
      </w:pPr>
      <w:r>
        <w:t>Chương IV. Hoạt động đầu tư kinh doanh tại Việt Nam</w:t>
      </w:r>
    </w:p>
    <w:p>
      <w:pPr>
        <w:pStyle w:val="Heading2"/>
      </w:pPr>
      <w:r>
        <w:t>Hình thức đầu tư và lựa chọn nhà đầu tư (Điều 21 – Điều 29)</w:t>
      </w:r>
    </w:p>
    <w:p>
      <w:pPr>
        <w:jc w:val="both"/>
      </w:pPr>
      <w:r>
        <w:rPr>
          <w:rFonts w:ascii="Times New Roman" w:hAnsi="Times New Roman" w:eastAsia="Times New Roman" w:cs="Times New Roman"/>
        </w:rPr>
        <w:t>Nhà đầu tư thực hiện đầu tư theo các hình thức: đầu tư thành lập tổ chức kinh tế; đầu tư góp vốn, mua cổ phần, mua phần vốn góp vào tổ chức kinh tế; đầu tư theo hình thức hợp đồng (hợp đồng đối tác công tư - PPP, hợp đồng hợp tác kinh doanh - BCC). Điều 29 quy định việc lựa chọn nhà đầu tư thực hiện dự án thông qua đấu giá quyền sử dụng đất, đấu thầu lựa chọn nhà đầu tư hoặc chấp thuận nhà đầu tư.</w:t>
      </w:r>
    </w:p>
    <w:p>
      <w:pPr>
        <w:pStyle w:val="Heading2"/>
      </w:pPr>
      <w:r>
        <w:t>Thẩm quyền chấp thuận chủ trương đầu tư (Điều 30, Điều 31, Điều 32)</w:t>
      </w:r>
    </w:p>
    <w:p>
      <w:pPr>
        <w:jc w:val="both"/>
      </w:pPr>
      <w:r>
        <w:rPr>
          <w:rFonts w:ascii="Times New Roman" w:hAnsi="Times New Roman" w:eastAsia="Times New Roman" w:cs="Times New Roman"/>
        </w:rPr>
        <w:t>Chủ trương đầu tư được chấp thuận theo ba cấp thẩm quyền, xác định từ cấp cao xuống cấp thấp; dự án đã thuộc thẩm quyền của cấp cao hơn thì được loại trừ khỏi thẩm quyền của cấp thấp hơn.</w:t>
      </w:r>
    </w:p>
    <w:tbl>
      <w:tblPr>
        <w:tblStyle w:val="TableGrid"/>
        <w:tblW w:type="dxa" w:w="9071"/>
        <w:jc w:val="center"/>
        <w:tblLayout w:type="fixed"/>
        <w:tblLook w:firstColumn="1" w:firstRow="1" w:lastColumn="0" w:lastRow="0" w:noHBand="0" w:noVBand="1" w:val="04A0"/>
        <w:tblLayout w:type="fixed"/>
      </w:tblPr>
      <w:tblGrid>
        <w:gridCol w:w="1814"/>
        <w:gridCol w:w="1089"/>
        <w:gridCol w:w="6168"/>
      </w:tblGrid>
      <w:tr>
        <w:trPr>
          <w:tblHeader w:val="true"/>
          <w:cantSplit/>
        </w:trPr>
        <w:tc>
          <w:tcPr>
            <w:tcW w:type="dxa" w:w="1814"/>
            <w:shd w:val="clear" w:color="auto" w:fill="D9E2F3"/>
          </w:tcPr>
          <w:p>
            <w:pPr>
              <w:spacing w:after="40" w:before="40"/>
            </w:pPr>
            <w:r/>
            <w:r>
              <w:rPr>
                <w:rFonts w:ascii="Times New Roman" w:hAnsi="Times New Roman" w:eastAsia="Times New Roman" w:cs="Times New Roman"/>
                <w:b/>
                <w:sz w:val="21"/>
              </w:rPr>
              <w:t>Cơ quan có thẩm quyền</w:t>
            </w:r>
          </w:p>
        </w:tc>
        <w:tc>
          <w:tcPr>
            <w:tcW w:type="dxa" w:w="1089"/>
            <w:shd w:val="clear" w:color="auto" w:fill="D9E2F3"/>
          </w:tcPr>
          <w:p>
            <w:pPr>
              <w:spacing w:after="40" w:before="40"/>
            </w:pPr>
            <w:r/>
            <w:r>
              <w:rPr>
                <w:rFonts w:ascii="Times New Roman" w:hAnsi="Times New Roman" w:eastAsia="Times New Roman" w:cs="Times New Roman"/>
                <w:b/>
                <w:sz w:val="21"/>
              </w:rPr>
              <w:t>Căn cứ</w:t>
            </w:r>
          </w:p>
        </w:tc>
        <w:tc>
          <w:tcPr>
            <w:tcW w:type="dxa" w:w="6168"/>
            <w:shd w:val="clear" w:color="auto" w:fill="D9E2F3"/>
          </w:tcPr>
          <w:p>
            <w:pPr>
              <w:spacing w:after="40" w:before="40"/>
            </w:pPr>
            <w:r/>
            <w:r>
              <w:rPr>
                <w:rFonts w:ascii="Times New Roman" w:hAnsi="Times New Roman" w:eastAsia="Times New Roman" w:cs="Times New Roman"/>
                <w:b/>
                <w:sz w:val="21"/>
              </w:rPr>
              <w:t>Nhóm dự án chủ yếu</w:t>
            </w:r>
          </w:p>
        </w:tc>
      </w:tr>
      <w:tr>
        <w:trPr>
          <w:cantSplit/>
        </w:trPr>
        <w:tc>
          <w:tcPr>
            <w:tcW w:type="dxa" w:w="1814"/>
          </w:tcPr>
          <w:p>
            <w:pPr>
              <w:spacing w:after="40" w:before="40"/>
            </w:pPr>
            <w:r/>
            <w:r>
              <w:rPr>
                <w:rFonts w:ascii="Times New Roman" w:hAnsi="Times New Roman" w:eastAsia="Times New Roman" w:cs="Times New Roman"/>
                <w:sz w:val="21"/>
              </w:rPr>
              <w:t>Quốc hội</w:t>
            </w:r>
          </w:p>
        </w:tc>
        <w:tc>
          <w:tcPr>
            <w:tcW w:type="dxa" w:w="1089"/>
          </w:tcPr>
          <w:p>
            <w:pPr>
              <w:spacing w:after="40" w:before="40"/>
            </w:pPr>
            <w:r/>
            <w:r>
              <w:rPr>
                <w:rFonts w:ascii="Times New Roman" w:hAnsi="Times New Roman" w:eastAsia="Times New Roman" w:cs="Times New Roman"/>
                <w:sz w:val="21"/>
              </w:rPr>
              <w:t>Điều 30</w:t>
            </w:r>
          </w:p>
        </w:tc>
        <w:tc>
          <w:tcPr>
            <w:tcW w:type="dxa" w:w="6168"/>
          </w:tcPr>
          <w:p>
            <w:pPr>
              <w:spacing w:after="40" w:before="40"/>
            </w:pPr>
            <w:r/>
            <w:r>
              <w:rPr>
                <w:rFonts w:ascii="Times New Roman" w:hAnsi="Times New Roman" w:eastAsia="Times New Roman" w:cs="Times New Roman"/>
                <w:sz w:val="21"/>
              </w:rPr>
              <w:t>Dự án ảnh hưởng hoặc có nguy cơ ảnh hưởng nghiêm trọng đến môi trường (nhà máy điện hạt nhân; chuyển mục đích sử dụng đất vườn quốc gia, khu bảo tồn, rừng phòng hộ, rừng sản xuất vượt ngưỡng diện tích luật định); dự án sử dụng đất trồng lúa nước từ hai vụ trở lên với quy mô từ 500 ha trở lên; dự án di dân, tái định cư từ 20.000 người trở lên ở miền núi hoặc 50.000 người trở lên ở vùng khác; dự án đòi hỏi áp dụng cơ chế, chính sách đặc biệt cần Quốc hội quyết định.</w:t>
            </w:r>
          </w:p>
        </w:tc>
      </w:tr>
      <w:tr>
        <w:trPr>
          <w:cantSplit/>
        </w:trPr>
        <w:tc>
          <w:tcPr>
            <w:tcW w:type="dxa" w:w="1814"/>
          </w:tcPr>
          <w:p>
            <w:pPr>
              <w:spacing w:after="40" w:before="40"/>
            </w:pPr>
            <w:r/>
            <w:r>
              <w:rPr>
                <w:rFonts w:ascii="Times New Roman" w:hAnsi="Times New Roman" w:eastAsia="Times New Roman" w:cs="Times New Roman"/>
                <w:sz w:val="21"/>
              </w:rPr>
              <w:t>Thủ tướng Chính phủ</w:t>
            </w:r>
          </w:p>
        </w:tc>
        <w:tc>
          <w:tcPr>
            <w:tcW w:type="dxa" w:w="1089"/>
          </w:tcPr>
          <w:p>
            <w:pPr>
              <w:spacing w:after="40" w:before="40"/>
            </w:pPr>
            <w:r/>
            <w:r>
              <w:rPr>
                <w:rFonts w:ascii="Times New Roman" w:hAnsi="Times New Roman" w:eastAsia="Times New Roman" w:cs="Times New Roman"/>
                <w:sz w:val="21"/>
              </w:rPr>
              <w:t>Điều 31</w:t>
            </w:r>
          </w:p>
        </w:tc>
        <w:tc>
          <w:tcPr>
            <w:tcW w:type="dxa" w:w="6168"/>
          </w:tcPr>
          <w:p>
            <w:pPr>
              <w:spacing w:after="40" w:before="40"/>
            </w:pPr>
            <w:r/>
            <w:r>
              <w:rPr>
                <w:rFonts w:ascii="Times New Roman" w:hAnsi="Times New Roman" w:eastAsia="Times New Roman" w:cs="Times New Roman"/>
                <w:sz w:val="21"/>
              </w:rPr>
              <w:t>Các dự án không thuộc thẩm quyền Quốc hội và thuộc các nhóm như: di dân, tái định cư ở quy mô thấp hơn ngưỡng của Quốc hội; xây dựng và kinh doanh cảng hàng không, sân bay, vận tải hàng không; cảng biển; thăm dò, khai thác dầu khí; kinh doanh casino, cá cược; sản xuất thuốc lá điếu; đầu tư hạ tầng khu công nghiệp, khu chế xuất, khu kinh tế; dự án đồng thời thuộc thẩm quyền của từ hai UBND cấp tỉnh trở lên; dự án khác thuộc thẩm quyền chấp thuận hoặc quyết định đầu tư của Thủ tướng theo quy định của pháp luật.</w:t>
            </w:r>
          </w:p>
        </w:tc>
      </w:tr>
      <w:tr>
        <w:trPr>
          <w:cantSplit/>
        </w:trPr>
        <w:tc>
          <w:tcPr>
            <w:tcW w:type="dxa" w:w="1814"/>
          </w:tcPr>
          <w:p>
            <w:pPr>
              <w:spacing w:after="40" w:before="40"/>
            </w:pPr>
            <w:r/>
            <w:r>
              <w:rPr>
                <w:rFonts w:ascii="Times New Roman" w:hAnsi="Times New Roman" w:eastAsia="Times New Roman" w:cs="Times New Roman"/>
                <w:sz w:val="21"/>
              </w:rPr>
              <w:t>Ủy ban nhân dân cấp tỉnh</w:t>
            </w:r>
          </w:p>
        </w:tc>
        <w:tc>
          <w:tcPr>
            <w:tcW w:type="dxa" w:w="1089"/>
          </w:tcPr>
          <w:p>
            <w:pPr>
              <w:spacing w:after="40" w:before="40"/>
            </w:pPr>
            <w:r/>
            <w:r>
              <w:rPr>
                <w:rFonts w:ascii="Times New Roman" w:hAnsi="Times New Roman" w:eastAsia="Times New Roman" w:cs="Times New Roman"/>
                <w:sz w:val="21"/>
              </w:rPr>
              <w:t>Điều 32</w:t>
            </w:r>
          </w:p>
        </w:tc>
        <w:tc>
          <w:tcPr>
            <w:tcW w:type="dxa" w:w="6168"/>
          </w:tcPr>
          <w:p>
            <w:pPr>
              <w:spacing w:after="40" w:before="40"/>
            </w:pPr>
            <w:r/>
            <w:r>
              <w:rPr>
                <w:rFonts w:ascii="Times New Roman" w:hAnsi="Times New Roman" w:eastAsia="Times New Roman" w:cs="Times New Roman"/>
                <w:sz w:val="21"/>
              </w:rPr>
              <w:t>Các dự án không thuộc thẩm quyền Quốc hội và Thủ tướng, gồm dự án có yêu cầu giao đất, cho thuê đất, cho phép chuyển mục đích sử dụng đất mà không đấu giá, đấu thầu hoặc nhận chuyển nhượng; dự án sử dụng công nghệ thuộc Danh mục công nghệ hạn chế chuyển giao; và một số trường hợp đặc thù khác theo luật.</w:t>
            </w:r>
          </w:p>
        </w:tc>
      </w:tr>
    </w:tbl>
    <w:p>
      <w:pPr>
        <w:spacing w:after="40"/>
      </w:pPr>
    </w:p>
    <w:p>
      <w:pPr>
        <w:jc w:val="both"/>
      </w:pPr>
      <w:r>
        <w:rPr>
          <w:rFonts w:ascii="Times New Roman" w:hAnsi="Times New Roman" w:eastAsia="Times New Roman" w:cs="Times New Roman"/>
        </w:rPr>
        <w:t>Các ngưỡng và nhóm dự án nêu trên được tóm lược; Luật số 03/2022/QH15 và các văn bản hướng dẫn có thể điều chỉnh một số chi tiết, vì vậy cần đối chiếu văn bản hợp nhất khi áp dụng cho một dự án cụ thể.</w:t>
      </w:r>
    </w:p>
    <w:p>
      <w:pPr>
        <w:pStyle w:val="Heading2"/>
      </w:pPr>
      <w:r>
        <w:t>Hồ sơ và nội dung thẩm định (Điều 33)</w:t>
      </w:r>
    </w:p>
    <w:p>
      <w:pPr>
        <w:jc w:val="both"/>
      </w:pPr>
      <w:r>
        <w:rPr>
          <w:rFonts w:ascii="Times New Roman" w:hAnsi="Times New Roman" w:eastAsia="Times New Roman" w:cs="Times New Roman"/>
        </w:rPr>
        <w:t>Hồ sơ đề nghị chấp thuận chủ trương đầu tư thường gồm:</w:t>
      </w:r>
    </w:p>
    <w:p>
      <w:pPr>
        <w:pStyle w:val="ListBullet"/>
        <w:spacing w:after="60"/>
        <w:jc w:val="both"/>
      </w:pPr>
      <w:r>
        <w:rPr>
          <w:rFonts w:ascii="Times New Roman" w:hAnsi="Times New Roman" w:eastAsia="Times New Roman" w:cs="Times New Roman"/>
        </w:rPr>
        <w:t>Văn bản đề nghị thực hiện dự án đầu tư.</w:t>
      </w:r>
    </w:p>
    <w:p>
      <w:pPr>
        <w:pStyle w:val="ListBullet"/>
        <w:spacing w:after="60"/>
        <w:jc w:val="both"/>
      </w:pPr>
      <w:r>
        <w:rPr>
          <w:rFonts w:ascii="Times New Roman" w:hAnsi="Times New Roman" w:eastAsia="Times New Roman" w:cs="Times New Roman"/>
        </w:rPr>
        <w:t>Tài liệu về tư cách pháp lý của nhà đầu tư.</w:t>
      </w:r>
    </w:p>
    <w:p>
      <w:pPr>
        <w:pStyle w:val="ListBullet"/>
        <w:spacing w:after="60"/>
        <w:jc w:val="both"/>
      </w:pPr>
      <w:r>
        <w:rPr>
          <w:rFonts w:ascii="Times New Roman" w:hAnsi="Times New Roman" w:eastAsia="Times New Roman" w:cs="Times New Roman"/>
        </w:rPr>
        <w:t>Đề xuất dự án đầu tư gồm các nội dung: nhà đầu tư thực hiện dự án, mục tiêu, quy mô, vốn đầu tư, phương án huy động vốn, địa điểm, thời hạn, tiến độ, nhu cầu lao động, đề xuất hưởng ưu đãi đầu tư, đánh giá sơ bộ tác động, hiệu quả kinh tế - xã hội.</w:t>
      </w:r>
    </w:p>
    <w:p>
      <w:pPr>
        <w:pStyle w:val="ListBullet"/>
        <w:spacing w:after="60"/>
        <w:jc w:val="both"/>
      </w:pPr>
      <w:r>
        <w:rPr>
          <w:rFonts w:ascii="Times New Roman" w:hAnsi="Times New Roman" w:eastAsia="Times New Roman" w:cs="Times New Roman"/>
        </w:rPr>
        <w:t>Tài liệu chứng minh năng lực tài chính của nhà đầu tư (báo cáo tài chính, cam kết hỗ trợ tài chính, bảo lãnh về năng lực tài chính hoặc tài liệu tương đương).</w:t>
      </w:r>
    </w:p>
    <w:p>
      <w:pPr>
        <w:pStyle w:val="ListBullet"/>
        <w:spacing w:after="60"/>
        <w:jc w:val="both"/>
      </w:pPr>
      <w:r>
        <w:rPr>
          <w:rFonts w:ascii="Times New Roman" w:hAnsi="Times New Roman" w:eastAsia="Times New Roman" w:cs="Times New Roman"/>
        </w:rPr>
        <w:t>Đề xuất nhu cầu sử dụng đất hoặc văn bản thỏa thuận thuê địa điểm; giải trình về công nghệ (nếu dự án thuộc diện thẩm định, lấy ý kiến về công nghệ); hợp đồng BCC (nếu có).</w:t>
      </w:r>
    </w:p>
    <w:p>
      <w:pPr>
        <w:jc w:val="both"/>
      </w:pPr>
      <w:r>
        <w:rPr>
          <w:rFonts w:ascii="Times New Roman" w:hAnsi="Times New Roman" w:eastAsia="Times New Roman" w:cs="Times New Roman"/>
        </w:rPr>
        <w:t>Nội dung thẩm định tập trung vào: sự phù hợp với quy hoạch và chính sách phát triển; điều kiện tiếp cận thị trường đối với nhà đầu tư nước ngoài; năng lực của nhà đầu tư; nhu cầu sử dụng đất; tiến độ thực hiện; công nghệ; tác động, hiệu quả kinh tế - xã hội; ưu đãi đầu tư (nếu có) và các nội dung liên quan khác.</w:t>
      </w:r>
    </w:p>
    <w:p>
      <w:pPr>
        <w:pStyle w:val="Heading2"/>
      </w:pPr>
      <w:r>
        <w:t>Trình tự, thủ tục chấp thuận chủ trương đầu tư (Điều 34, Điều 35, Điều 36)</w:t>
      </w:r>
    </w:p>
    <w:tbl>
      <w:tblPr>
        <w:tblStyle w:val="TableGrid"/>
        <w:tblW w:type="dxa" w:w="9071"/>
        <w:jc w:val="center"/>
        <w:tblLayout w:type="fixed"/>
        <w:tblLook w:firstColumn="1" w:firstRow="1" w:lastColumn="0" w:lastRow="0" w:noHBand="0" w:noVBand="1" w:val="04A0"/>
        <w:tblLayout w:type="fixed"/>
      </w:tblPr>
      <w:tblGrid>
        <w:gridCol w:w="1814"/>
        <w:gridCol w:w="2177"/>
        <w:gridCol w:w="907"/>
        <w:gridCol w:w="4173"/>
      </w:tblGrid>
      <w:tr>
        <w:trPr>
          <w:tblHeader w:val="true"/>
          <w:cantSplit/>
        </w:trPr>
        <w:tc>
          <w:tcPr>
            <w:tcW w:type="dxa" w:w="1814"/>
            <w:shd w:val="clear" w:color="auto" w:fill="D9E2F3"/>
          </w:tcPr>
          <w:p>
            <w:pPr>
              <w:spacing w:after="40" w:before="40"/>
            </w:pPr>
            <w:r/>
            <w:r>
              <w:rPr>
                <w:rFonts w:ascii="Times New Roman" w:hAnsi="Times New Roman" w:eastAsia="Times New Roman" w:cs="Times New Roman"/>
                <w:b/>
                <w:sz w:val="21"/>
              </w:rPr>
              <w:t>Cấp thẩm quyền</w:t>
            </w:r>
          </w:p>
        </w:tc>
        <w:tc>
          <w:tcPr>
            <w:tcW w:type="dxa" w:w="2177"/>
            <w:shd w:val="clear" w:color="auto" w:fill="D9E2F3"/>
          </w:tcPr>
          <w:p>
            <w:pPr>
              <w:spacing w:after="40" w:before="40"/>
            </w:pPr>
            <w:r/>
            <w:r>
              <w:rPr>
                <w:rFonts w:ascii="Times New Roman" w:hAnsi="Times New Roman" w:eastAsia="Times New Roman" w:cs="Times New Roman"/>
                <w:b/>
                <w:sz w:val="21"/>
              </w:rPr>
              <w:t>Cơ quan tiếp nhận hồ sơ</w:t>
            </w:r>
          </w:p>
        </w:tc>
        <w:tc>
          <w:tcPr>
            <w:tcW w:type="dxa" w:w="907"/>
            <w:shd w:val="clear" w:color="auto" w:fill="D9E2F3"/>
          </w:tcPr>
          <w:p>
            <w:pPr>
              <w:spacing w:after="40" w:before="40"/>
            </w:pPr>
            <w:r/>
            <w:r>
              <w:rPr>
                <w:rFonts w:ascii="Times New Roman" w:hAnsi="Times New Roman" w:eastAsia="Times New Roman" w:cs="Times New Roman"/>
                <w:b/>
                <w:sz w:val="21"/>
              </w:rPr>
              <w:t>Số bộ hồ sơ</w:t>
            </w:r>
          </w:p>
        </w:tc>
        <w:tc>
          <w:tcPr>
            <w:tcW w:type="dxa" w:w="4173"/>
            <w:shd w:val="clear" w:color="auto" w:fill="D9E2F3"/>
          </w:tcPr>
          <w:p>
            <w:pPr>
              <w:spacing w:after="40" w:before="40"/>
            </w:pPr>
            <w:r/>
            <w:r>
              <w:rPr>
                <w:rFonts w:ascii="Times New Roman" w:hAnsi="Times New Roman" w:eastAsia="Times New Roman" w:cs="Times New Roman"/>
                <w:b/>
                <w:sz w:val="21"/>
              </w:rPr>
              <w:t>Trình tự chính</w:t>
            </w:r>
          </w:p>
        </w:tc>
      </w:tr>
      <w:tr>
        <w:trPr>
          <w:cantSplit/>
        </w:trPr>
        <w:tc>
          <w:tcPr>
            <w:tcW w:type="dxa" w:w="1814"/>
          </w:tcPr>
          <w:p>
            <w:pPr>
              <w:spacing w:after="40" w:before="40"/>
            </w:pPr>
            <w:r/>
            <w:r>
              <w:rPr>
                <w:rFonts w:ascii="Times New Roman" w:hAnsi="Times New Roman" w:eastAsia="Times New Roman" w:cs="Times New Roman"/>
                <w:sz w:val="21"/>
              </w:rPr>
              <w:t>Quốc hội (Điều 34)</w:t>
            </w:r>
          </w:p>
        </w:tc>
        <w:tc>
          <w:tcPr>
            <w:tcW w:type="dxa" w:w="2177"/>
          </w:tcPr>
          <w:p>
            <w:pPr>
              <w:spacing w:after="40" w:before="40"/>
            </w:pPr>
            <w:r/>
            <w:r>
              <w:rPr>
                <w:rFonts w:ascii="Times New Roman" w:hAnsi="Times New Roman" w:eastAsia="Times New Roman" w:cs="Times New Roman"/>
                <w:sz w:val="21"/>
              </w:rPr>
              <w:t>Bộ Kế hoạch và Đầu tư (nay thuộc Bộ Tài chính)</w:t>
            </w:r>
          </w:p>
        </w:tc>
        <w:tc>
          <w:tcPr>
            <w:tcW w:type="dxa" w:w="907"/>
          </w:tcPr>
          <w:p>
            <w:pPr>
              <w:spacing w:after="40" w:before="40"/>
            </w:pPr>
            <w:r/>
            <w:r>
              <w:rPr>
                <w:rFonts w:ascii="Times New Roman" w:hAnsi="Times New Roman" w:eastAsia="Times New Roman" w:cs="Times New Roman"/>
                <w:sz w:val="21"/>
              </w:rPr>
              <w:t>20 bộ</w:t>
            </w:r>
          </w:p>
        </w:tc>
        <w:tc>
          <w:tcPr>
            <w:tcW w:type="dxa" w:w="4173"/>
          </w:tcPr>
          <w:p>
            <w:pPr>
              <w:spacing w:after="40" w:before="40"/>
            </w:pPr>
            <w:r/>
            <w:r>
              <w:rPr>
                <w:rFonts w:ascii="Times New Roman" w:hAnsi="Times New Roman" w:eastAsia="Times New Roman" w:cs="Times New Roman"/>
                <w:sz w:val="21"/>
              </w:rPr>
              <w:t>Nhà đầu tư nộp hồ sơ; Hội đồng thẩm định nhà nước do Thủ tướng thành lập tổ chức thẩm định; Chính phủ trình Quốc hội; Quốc hội xem xét và thông qua nghị quyết chấp thuận chủ trương đầu tư.</w:t>
            </w:r>
          </w:p>
        </w:tc>
      </w:tr>
      <w:tr>
        <w:trPr>
          <w:cantSplit/>
        </w:trPr>
        <w:tc>
          <w:tcPr>
            <w:tcW w:type="dxa" w:w="1814"/>
          </w:tcPr>
          <w:p>
            <w:pPr>
              <w:spacing w:after="40" w:before="40"/>
            </w:pPr>
            <w:r/>
            <w:r>
              <w:rPr>
                <w:rFonts w:ascii="Times New Roman" w:hAnsi="Times New Roman" w:eastAsia="Times New Roman" w:cs="Times New Roman"/>
                <w:sz w:val="21"/>
              </w:rPr>
              <w:t>Thủ tướng Chính phủ (Điều 35)</w:t>
            </w:r>
          </w:p>
        </w:tc>
        <w:tc>
          <w:tcPr>
            <w:tcW w:type="dxa" w:w="2177"/>
          </w:tcPr>
          <w:p>
            <w:pPr>
              <w:spacing w:after="40" w:before="40"/>
            </w:pPr>
            <w:r/>
            <w:r>
              <w:rPr>
                <w:rFonts w:ascii="Times New Roman" w:hAnsi="Times New Roman" w:eastAsia="Times New Roman" w:cs="Times New Roman"/>
                <w:sz w:val="21"/>
              </w:rPr>
              <w:t>Bộ Kế hoạch và Đầu tư (nay thuộc Bộ Tài chính)</w:t>
            </w:r>
          </w:p>
        </w:tc>
        <w:tc>
          <w:tcPr>
            <w:tcW w:type="dxa" w:w="907"/>
          </w:tcPr>
          <w:p>
            <w:pPr>
              <w:spacing w:after="40" w:before="40"/>
            </w:pPr>
            <w:r/>
            <w:r>
              <w:rPr>
                <w:rFonts w:ascii="Times New Roman" w:hAnsi="Times New Roman" w:eastAsia="Times New Roman" w:cs="Times New Roman"/>
                <w:sz w:val="21"/>
              </w:rPr>
              <w:t>08 bộ</w:t>
            </w:r>
          </w:p>
        </w:tc>
        <w:tc>
          <w:tcPr>
            <w:tcW w:type="dxa" w:w="4173"/>
          </w:tcPr>
          <w:p>
            <w:pPr>
              <w:spacing w:after="40" w:before="40"/>
            </w:pPr>
            <w:r/>
            <w:r>
              <w:rPr>
                <w:rFonts w:ascii="Times New Roman" w:hAnsi="Times New Roman" w:eastAsia="Times New Roman" w:cs="Times New Roman"/>
                <w:sz w:val="21"/>
              </w:rPr>
              <w:t>Cơ quan tiếp nhận lấy ý kiến các bộ, ngành, địa phương liên quan; lập báo cáo thẩm định; trình Thủ tướng xem xét, quyết định chấp thuận chủ trương đầu tư.</w:t>
            </w:r>
          </w:p>
        </w:tc>
      </w:tr>
      <w:tr>
        <w:trPr>
          <w:cantSplit/>
        </w:trPr>
        <w:tc>
          <w:tcPr>
            <w:tcW w:type="dxa" w:w="1814"/>
          </w:tcPr>
          <w:p>
            <w:pPr>
              <w:spacing w:after="40" w:before="40"/>
            </w:pPr>
            <w:r/>
            <w:r>
              <w:rPr>
                <w:rFonts w:ascii="Times New Roman" w:hAnsi="Times New Roman" w:eastAsia="Times New Roman" w:cs="Times New Roman"/>
                <w:sz w:val="21"/>
              </w:rPr>
              <w:t>UBND cấp tỉnh (Điều 36)</w:t>
            </w:r>
          </w:p>
        </w:tc>
        <w:tc>
          <w:tcPr>
            <w:tcW w:type="dxa" w:w="2177"/>
          </w:tcPr>
          <w:p>
            <w:pPr>
              <w:spacing w:after="40" w:before="40"/>
            </w:pPr>
            <w:r/>
            <w:r>
              <w:rPr>
                <w:rFonts w:ascii="Times New Roman" w:hAnsi="Times New Roman" w:eastAsia="Times New Roman" w:cs="Times New Roman"/>
                <w:sz w:val="21"/>
              </w:rPr>
              <w:t>Sở Kế hoạch và Đầu tư (nay là cơ quan đăng ký đầu tư cấp tỉnh tương ứng)</w:t>
            </w:r>
          </w:p>
        </w:tc>
        <w:tc>
          <w:tcPr>
            <w:tcW w:type="dxa" w:w="907"/>
          </w:tcPr>
          <w:p>
            <w:pPr>
              <w:spacing w:after="40" w:before="40"/>
            </w:pPr>
            <w:r/>
            <w:r>
              <w:rPr>
                <w:rFonts w:ascii="Times New Roman" w:hAnsi="Times New Roman" w:eastAsia="Times New Roman" w:cs="Times New Roman"/>
                <w:sz w:val="21"/>
              </w:rPr>
              <w:t>04 bộ</w:t>
            </w:r>
          </w:p>
        </w:tc>
        <w:tc>
          <w:tcPr>
            <w:tcW w:type="dxa" w:w="4173"/>
          </w:tcPr>
          <w:p>
            <w:pPr>
              <w:spacing w:after="40" w:before="40"/>
            </w:pPr>
            <w:r/>
            <w:r>
              <w:rPr>
                <w:rFonts w:ascii="Times New Roman" w:hAnsi="Times New Roman" w:eastAsia="Times New Roman" w:cs="Times New Roman"/>
                <w:sz w:val="21"/>
              </w:rPr>
              <w:t>Cơ quan đăng ký đầu tư lấy ý kiến cơ quan liên quan; lập báo cáo thẩm định; trình UBND cấp tỉnh quyết định chấp thuận chủ trương đầu tư.</w:t>
            </w:r>
          </w:p>
        </w:tc>
      </w:tr>
    </w:tbl>
    <w:p>
      <w:pPr>
        <w:spacing w:after="40"/>
      </w:pPr>
    </w:p>
    <w:p>
      <w:pPr>
        <w:jc w:val="both"/>
      </w:pPr>
      <w:r>
        <w:rPr>
          <w:rFonts w:ascii="Times New Roman" w:hAnsi="Times New Roman" w:eastAsia="Times New Roman" w:cs="Times New Roman"/>
        </w:rPr>
        <w:t>Thời hạn thẩm định và ra quyết định ở từng cấp được quy định cụ thể tại Điều 34, 35, 36 và Nghị định số 31/2021/NĐ-CP; tên gọi các cơ quan tiếp nhận có thể thay đổi theo đợt sắp xếp bộ máy nhà nước.</w:t>
      </w:r>
    </w:p>
    <w:p>
      <w:pPr>
        <w:pStyle w:val="Heading2"/>
      </w:pPr>
      <w:r>
        <w:t>Sau khi được chấp thuận chủ trương đầu tư</w:t>
      </w:r>
    </w:p>
    <w:p>
      <w:pPr>
        <w:pStyle w:val="ListBullet"/>
        <w:spacing w:after="60"/>
        <w:jc w:val="both"/>
      </w:pPr>
      <w:r>
        <w:rPr>
          <w:rFonts w:ascii="Times New Roman" w:hAnsi="Times New Roman" w:eastAsia="Times New Roman" w:cs="Times New Roman"/>
        </w:rPr>
        <w:t>Dự án thuộc diện chấp thuận chủ trương đầu tư được cấp Giấy chứng nhận đăng ký đầu tư sau khi có quyết định chấp thuận chủ trương, bởi cơ quan đăng ký đầu tư (Sở Kế hoạch và Đầu tư, Ban quản lý khu công nghiệp, khu chế xuất, khu kinh tế, khu công nghệ cao).</w:t>
      </w:r>
    </w:p>
    <w:p>
      <w:pPr>
        <w:pStyle w:val="ListBullet"/>
        <w:spacing w:after="60"/>
        <w:jc w:val="both"/>
      </w:pPr>
      <w:r>
        <w:rPr>
          <w:rFonts w:ascii="Times New Roman" w:hAnsi="Times New Roman" w:eastAsia="Times New Roman" w:cs="Times New Roman"/>
        </w:rPr>
        <w:t>Dự án của nhà đầu tư nước ngoài, tổ chức kinh tế có vốn đầu tư nước ngoài không thuộc diện chấp thuận chủ trương thì thực hiện thủ tục cấp Giấy chứng nhận đăng ký đầu tư; dự án của nhà đầu tư trong nước không thuộc diện chấp thuận chủ trương thì không phải thực hiện thủ tục này, trừ trường hợp luật định.</w:t>
      </w:r>
    </w:p>
    <w:p>
      <w:pPr>
        <w:pStyle w:val="ListBullet"/>
        <w:spacing w:after="60"/>
        <w:jc w:val="both"/>
      </w:pPr>
      <w:r>
        <w:rPr>
          <w:rFonts w:ascii="Times New Roman" w:hAnsi="Times New Roman" w:eastAsia="Times New Roman" w:cs="Times New Roman"/>
        </w:rPr>
        <w:t>Việc điều chỉnh dự án đầu tư, chuyển nhượng dự án đầu tư, tạm ngừng, chấm dứt hoạt động của dự án được thực hiện theo các điều kiện và thủ tục tương ứng của Luật.</w:t>
      </w:r>
    </w:p>
    <w:p>
      <w:pPr>
        <w:pStyle w:val="Heading1"/>
      </w:pPr>
      <w:r>
        <w:t>Chương V. Hoạt động đầu tư ra nước ngoài</w:t>
      </w:r>
    </w:p>
    <w:p>
      <w:pPr>
        <w:jc w:val="both"/>
      </w:pPr>
      <w:r>
        <w:rPr>
          <w:rFonts w:ascii="Times New Roman" w:hAnsi="Times New Roman" w:eastAsia="Times New Roman" w:cs="Times New Roman"/>
        </w:rPr>
        <w:t>Hoạt động đầu tư từ Việt Nam ra nước ngoài được thực hiện theo các hình thức: thành lập tổ chức kinh tế, đầu tư theo hợp đồng, góp vốn, mua cổ phần, mua phần vốn góp, và các hình thức khác theo pháp luật của nước tiếp nhận đầu tư. Một số ngành, nghề đầu tư ra nước ngoài là ngành, nghề có điều kiện (ngân hàng, bảo hiểm, chứng khoán, báo chí, phát thanh, truyền hình, kinh doanh bất động sản). Dự án có quy mô vốn lớn hoặc thuộc lĩnh vực nhạy cảm phải được Quốc hội hoặc Thủ tướng Chính phủ chấp thuận chủ trương đầu tư ra nước ngoài; sau đó nhà đầu tư được cấp Giấy chứng nhận đăng ký đầu tư ra nước ngoài.</w:t>
      </w:r>
    </w:p>
    <w:p>
      <w:pPr>
        <w:pStyle w:val="Heading1"/>
      </w:pPr>
      <w:r>
        <w:t>Chương VI và Chương VII. Quản lý nhà nước và điều khoản thi hành</w:t>
      </w:r>
    </w:p>
    <w:p>
      <w:pPr>
        <w:jc w:val="both"/>
      </w:pPr>
      <w:r>
        <w:rPr>
          <w:rFonts w:ascii="Times New Roman" w:hAnsi="Times New Roman" w:eastAsia="Times New Roman" w:cs="Times New Roman"/>
        </w:rPr>
        <w:t>Chương VI quy định nội dung quản lý nhà nước về đầu tư, trách nhiệm của Chính phủ, bộ, cơ quan ngang bộ, chính quyền địa phương, hệ thống thông tin quốc gia về đầu tư, giám sát và thanh tra, kiểm tra hoạt động đầu tư. Chương VII quy định hiệu lực thi hành (từ 01/01/2021) và các nguyên tắc chuyển tiếp đối với dự án đã được cấp phép hoặc chấp thuận theo Luật Đầu tư 2014.</w:t>
      </w:r>
    </w:p>
    <w:p>
      <w:pPr>
        <w:pStyle w:val="Heading1"/>
      </w:pPr>
      <w:r>
        <w:t>Phụ lục. Tình trạng hiệu lực và Luật Đầu tư 2025</w:t>
      </w:r>
    </w:p>
    <w:p>
      <w:pPr>
        <w:pStyle w:val="Heading2"/>
      </w:pPr>
      <w:r>
        <w:t>Văn bản thay thế</w:t>
      </w:r>
    </w:p>
    <w:p>
      <w:pPr>
        <w:jc w:val="both"/>
      </w:pPr>
      <w:r>
        <w:rPr>
          <w:rFonts w:ascii="Times New Roman" w:hAnsi="Times New Roman" w:eastAsia="Times New Roman" w:cs="Times New Roman"/>
        </w:rPr>
        <w:t>Luật Đầu tư số 143/2025/QH15 được Quốc hội thông qua ngày 11/12/2025, có hiệu lực từ ngày 01/03/2026 và thay thế Luật Đầu tư số 61/2020/QH14. Điều 7 và Danh mục ngành, nghề đầu tư kinh doanh có điều kiện tại Phụ lục IV của Luật Đầu tư 2025 có hiệu lực từ ngày 01/07/2026; khoản 3 Điều 50 có hiệu lực từ ngày 01/01/2026. Như vậy, từ 01/01/2026 đến hết 28/02/2026 vẫn áp dụng Luật Đầu tư 2020; từ 01/03/2026 áp dụng Luật Đầu tư 2025.</w:t>
      </w:r>
    </w:p>
    <w:p>
      <w:pPr>
        <w:pStyle w:val="Heading2"/>
      </w:pPr>
      <w:r>
        <w:t>Một số điểm thay đổi đáng chú ý</w:t>
      </w:r>
    </w:p>
    <w:p>
      <w:pPr>
        <w:pStyle w:val="ListBullet"/>
        <w:spacing w:after="60"/>
        <w:jc w:val="both"/>
      </w:pPr>
      <w:r>
        <w:rPr>
          <w:rFonts w:ascii="Times New Roman" w:hAnsi="Times New Roman" w:eastAsia="Times New Roman" w:cs="Times New Roman"/>
        </w:rPr>
        <w:t>Tăng phân cấp, phân quyền và đẩy mạnh hậu kiểm trong quy trình chấp thuận chủ trương đầu tư và cấp Giấy chứng nhận đăng ký đầu tư.</w:t>
      </w:r>
    </w:p>
    <w:p>
      <w:pPr>
        <w:pStyle w:val="ListBullet"/>
        <w:spacing w:after="60"/>
        <w:jc w:val="both"/>
      </w:pPr>
      <w:r>
        <w:rPr>
          <w:rFonts w:ascii="Times New Roman" w:hAnsi="Times New Roman" w:eastAsia="Times New Roman" w:cs="Times New Roman"/>
        </w:rPr>
        <w:t>Nhà đầu tư nước ngoài được phép thành lập tổ chức kinh tế trước khi được cấp hoặc điều chỉnh Giấy chứng nhận đăng ký đầu tư, nhằm giảm chồng lấn giữa thủ tục đầu tư và đăng ký doanh nghiệp.</w:t>
      </w:r>
    </w:p>
    <w:p>
      <w:pPr>
        <w:pStyle w:val="ListBullet"/>
        <w:spacing w:after="60"/>
        <w:jc w:val="both"/>
      </w:pPr>
      <w:r>
        <w:rPr>
          <w:rFonts w:ascii="Times New Roman" w:hAnsi="Times New Roman" w:eastAsia="Times New Roman" w:cs="Times New Roman"/>
        </w:rPr>
        <w:t>Rà soát, chuẩn hóa Danh mục ngành, nghề đầu tư kinh doanh có điều kiện; Điều 6 của Luật 2025 quy định các hoạt động bị cấm.</w:t>
      </w:r>
    </w:p>
    <w:p>
      <w:pPr>
        <w:pStyle w:val="ListBullet"/>
        <w:spacing w:after="60"/>
        <w:jc w:val="both"/>
      </w:pPr>
      <w:r>
        <w:rPr>
          <w:rFonts w:ascii="Times New Roman" w:hAnsi="Times New Roman" w:eastAsia="Times New Roman" w:cs="Times New Roman"/>
        </w:rPr>
        <w:t>Cơ quan nhà nước xây dựng nghị định mới hướng dẫn Luật Đầu tư 2025 để thay thế Nghị định 31/2021/NĐ-CP và Nghị định 19/2025/NĐ-CP (theo thông tin tháng 03/2026); cần kiểm tra văn bản hướng dẫn còn hiệu lực tại thời điểm áp dụng.</w:t>
      </w:r>
    </w:p>
    <w:p>
      <w:pPr>
        <w:pStyle w:val="Heading2"/>
      </w:pPr>
      <w:r>
        <w:t>Quy định chuyển tiếp</w:t>
      </w:r>
    </w:p>
    <w:p>
      <w:pPr>
        <w:jc w:val="both"/>
      </w:pPr>
      <w:r>
        <w:rPr>
          <w:rFonts w:ascii="Times New Roman" w:hAnsi="Times New Roman" w:eastAsia="Times New Roman" w:cs="Times New Roman"/>
        </w:rPr>
        <w:t>Hồ sơ hợp lệ đã được tiếp nhận theo Luật Đầu tư 2020 trước ngày 01/03/2026 tiếp tục được giải quyết theo Luật Đầu tư 2020, trừ một số trường hợp đặc thù. Ví dụ, dự án đã trình Thủ tướng Chính phủ xem xét chấp thuận hoặc điều chỉnh chủ trương đầu tư nhưng chưa đáp ứng điều kiện theo Luật 2020 thì hồ sơ được chuyển cho Chủ tịch UBND cấp tỉnh xử lý theo thẩm quyền quy định tại Luật Đầu tư 2025.</w:t>
      </w:r>
    </w:p>
    <w:sectPr w:rsidR="00FC693F" w:rsidRPr="0006063C" w:rsidSect="00034616">
      <w:headerReference w:type="default" r:id="rId9"/>
      <w:footerReference w:type="default" r:id="rId10"/>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18"/>
      </w:rPr>
      <w:t xml:space="preserve">Trang </w:t>
    </w:r>
    <w:r>
      <w:rPr>
        <w:rFonts w:ascii="Times New Roman" w:hAnsi="Times New Roman" w:eastAsia="Times New Roman" w:cs="Times New Roman"/>
        <w:sz w:val="18"/>
      </w:rPr>
      <w:fldChar w:fldCharType="begin"/>
      <w:instrText xml:space="preserve">PAGE</w:instrText>
      <w:fldChar w:fldCharType="end"/>
    </w:r>
    <w:r>
      <w:rPr>
        <w:rFonts w:ascii="Times New Roman" w:hAnsi="Times New Roman" w:eastAsia="Times New Roman" w:cs="Times New Roman"/>
        <w:color w:val="595959"/>
        <w:sz w:val="18"/>
      </w:rPr>
      <w:t xml:space="preserve">  |  Rà soát hiệu lực: 22/10/2026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808080"/>
      </w:pBdr>
    </w:pPr>
    <w:r>
      <w:rPr>
        <w:rFonts w:ascii="Times New Roman" w:hAnsi="Times New Roman" w:eastAsia="Times New Roman" w:cs="Times New Roman"/>
        <w:i/>
        <w:color w:val="595959"/>
        <w:sz w:val="18"/>
      </w:rPr>
      <w:t>Luật Đầu tư 2020 (61/2020/QH14) – Tài liệu tóm tắt phục vụ tra cứu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cs="Times New Roman"/>
      <w:sz w:val="24"/>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eastAsia="Times New Roman" w:cs="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imes New Roman" w:hAnsi="Times New Roman" w:eastAsia="Times New Roman" w:cs="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LUẬT ĐẦU TƯ 2020</dc:title>
  <dc:subject>Pháp luật doanh nghiệp - Luật Đầu tư 2020 (đã được thay thế từ 01/03/2026)</dc:subject>
  <dc:creator>Bộ phận Pháp chế - Cơ sở tri thức RAG</dc:creator>
  <cp:keywords>Luật Đầu tư 2020, ưu đãi đầu tư, ngành nghề cấm, ngành nghề có điều kiện, chủ trương đầu tư</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