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C1131" w14:textId="1AEA5848" w:rsidR="005C6313" w:rsidRDefault="00FB3994" w:rsidP="00B457FC">
      <w:pPr>
        <w:spacing w:line="480" w:lineRule="auto"/>
        <w:rPr>
          <w:noProof/>
        </w:rPr>
      </w:pPr>
      <w:r>
        <w:rPr>
          <w:noProof/>
        </w:rPr>
        <w:tab/>
      </w:r>
      <w:r w:rsidR="00EC136B">
        <w:rPr>
          <w:noProof/>
        </w:rPr>
        <w:t>To characterize antibody responses</w:t>
      </w:r>
      <w:r w:rsidR="00244E8D">
        <w:rPr>
          <w:noProof/>
        </w:rPr>
        <w:t xml:space="preserve"> to a wide variety of proteins</w:t>
      </w:r>
      <w:r w:rsidR="00EC136B">
        <w:rPr>
          <w:noProof/>
        </w:rPr>
        <w:t xml:space="preserve"> in prostate cancer patients, w</w:t>
      </w:r>
      <w:r>
        <w:rPr>
          <w:noProof/>
        </w:rPr>
        <w:t>e designed a peptide microarray</w:t>
      </w:r>
      <w:r w:rsidR="00C81BD3">
        <w:rPr>
          <w:noProof/>
        </w:rPr>
        <w:t xml:space="preserve"> able to be screened with patient sera. This array included peptides spanning the amino acid sequences of </w:t>
      </w:r>
      <w:r w:rsidR="00066198">
        <w:rPr>
          <w:noProof/>
        </w:rPr>
        <w:t>1</w:t>
      </w:r>
      <w:r w:rsidR="00582E78">
        <w:rPr>
          <w:noProof/>
        </w:rPr>
        <w:t>451</w:t>
      </w:r>
      <w:r w:rsidR="00066198">
        <w:rPr>
          <w:noProof/>
        </w:rPr>
        <w:t xml:space="preserve"> </w:t>
      </w:r>
      <w:r w:rsidR="005228DF">
        <w:rPr>
          <w:noProof/>
        </w:rPr>
        <w:t xml:space="preserve">of the </w:t>
      </w:r>
      <w:r w:rsidR="00066198">
        <w:rPr>
          <w:noProof/>
        </w:rPr>
        <w:t xml:space="preserve">most </w:t>
      </w:r>
      <w:r w:rsidR="00157F93">
        <w:rPr>
          <w:noProof/>
        </w:rPr>
        <w:t xml:space="preserve">abundantly </w:t>
      </w:r>
      <w:r w:rsidR="00066198">
        <w:rPr>
          <w:noProof/>
        </w:rPr>
        <w:t xml:space="preserve">expressed gene </w:t>
      </w:r>
      <w:r w:rsidR="00B457FC">
        <w:rPr>
          <w:noProof/>
        </w:rPr>
        <w:t xml:space="preserve">products </w:t>
      </w:r>
      <w:r w:rsidR="00066198">
        <w:rPr>
          <w:noProof/>
        </w:rPr>
        <w:t xml:space="preserve">in </w:t>
      </w:r>
      <w:r w:rsidR="0097545E">
        <w:rPr>
          <w:noProof/>
        </w:rPr>
        <w:t xml:space="preserve">metastatic </w:t>
      </w:r>
      <w:r w:rsidR="00066198">
        <w:rPr>
          <w:noProof/>
        </w:rPr>
        <w:t>prostate cancer</w:t>
      </w:r>
      <w:r w:rsidR="00157F93">
        <w:rPr>
          <w:noProof/>
        </w:rPr>
        <w:t xml:space="preserve"> [</w:t>
      </w:r>
      <w:r w:rsidR="00066198">
        <w:rPr>
          <w:noProof/>
        </w:rPr>
        <w:t>citation]</w:t>
      </w:r>
      <w:r w:rsidR="00582E78">
        <w:rPr>
          <w:noProof/>
        </w:rPr>
        <w:t>, including 125</w:t>
      </w:r>
      <w:r w:rsidR="00690C22">
        <w:rPr>
          <w:noProof/>
        </w:rPr>
        <w:t xml:space="preserve"> </w:t>
      </w:r>
      <w:r w:rsidR="000E151C">
        <w:rPr>
          <w:noProof/>
        </w:rPr>
        <w:t>proteins identified in previous studies examining serum antibody responses in prostate cancer patients</w:t>
      </w:r>
      <w:r w:rsidR="000E151C">
        <w:rPr>
          <w:noProof/>
        </w:rPr>
        <w:fldChar w:fldCharType="begin"/>
      </w:r>
      <w:r w:rsidR="00733385">
        <w:rPr>
          <w:noProof/>
        </w:rPr>
        <w:instrText xml:space="preserve"> ADDIN ZOTERO_ITEM CSL_CITATION {"citationID":"l9J6vt0C","properties":{"formattedCitation":"\\super 1,2\\nosupersub{}","plainCitation":"1,2","noteIndex":0},"citationItems":[{"id":847,"uris":["http://zotero.org/users/5058535/items/RN4W8J2W"],"uri":["http://zotero.org/users/5058535/items/RN4W8J2W"],"itemData":{"id":847,"type":"article-journal","abstract":"Europe PMC is an archive of life sciences journal literature., IgG responses to tissue-associated antigens as biomarkers of immunological treatment efficacy.","container-title":"Journal of Biomedicine &amp; Biotechnology","DOI":"10.1155/2011/454861","ISSN":"1110-7243, 1110-7251","journalAbbreviation":"J Biomed Biotechnol","language":"English","note":"PMID: 21197272","page":"454861-454861","source":"europepmc.org","title":"IgG responses to tissue-associated antigens as biomarkers of immunological treatment efficacy.","volume":"2011","author":[{"family":"Ha","given":"Smith"},{"family":"Bb","given":"Maricque"},{"family":"J","given":"Eberhardt"},{"family":"B","given":"Petersen"},{"family":"Jl","given":"Gulley"},{"family":"J","given":"Schlom"},{"family":"Dg","given":"McNeel"}],"issued":{"date-parts":[["2010",12,19]]}}},{"id":1085,"uris":["http://zotero.org/users/5058535/items/P735TQMA"],"uri":["http://zotero.org/users/5058535/items/P735TQMA"],"itemData":{"id":1085,"type":"article-journal","abstract":"BACKGROUND: An important focus of tumor immunotherapy has been the identification of appropriate antigenic targets. Serum-based screening approaches have led to the discovery of hundreds of tumor-associated antigens recognized by IgG. Our efforts to identify immunologically recognized proteins in prostate cancer have yielded a multitude of antigens; however, prioritizing these antigens as targets for evaluation in immunotherapies has been challenging. In this report, we set out to determine whether the evaluation of multiple antigenic targets would allow the identification of a subset of antigens that are common immunologic targets in patients with prostate cancer.\nMETHODS: Using a phage immunoblot approach, we evaluated IgG responses in patients with prostate cancer (n = 126), patients with chronic prostatitis (n = 45), and men without prostate disease (n = 53).\nRESULTS: We found that patients with prostate cancer or prostatitis have IgG specific for multiple common antigens. A subset of 23 proteins was identified to which IgG were detected in 38% of patients with prostate cancer and 33% patients with prostatitis versus 6% of controls (P &lt; 0.001 and P = 0.003, respectively). Responses to multiple members were not higher in patients with advanced disease, suggesting antibody immune responses occur early in the natural history of cancer progression.\nCONCLUSIONS: These findings suggest an association between inflammatory conditions of the prostate and prostate cancer, and suggest that IgG responses to a panel of commonly recognized prostate antigens could be potentially used in the identification of patients at risk for prostate cancer or as a tool to identify immune responses elicited to prostate tissue.","container-title":"The Prostate","DOI":"10.1002/pros.21229","ISSN":"1097-0045","issue":"2","journalAbbreviation":"Prostate","language":"eng","note":"PMID: 20632317\nPMCID: PMC2978272","page":"134-146","source":"PubMed","title":"Antibody responses to prostate-associated antigens in patients with prostatitis and prostate cancer","volume":"71","author":[{"family":"Maricque","given":"Brett B."},{"family":"Eickhoff","given":"Jens C."},{"family":"McNeel","given":"Douglas G."}],"issued":{"date-parts":[["2011",2,1]]}}}],"schema":"https://github.com/citation-style-language/schema/raw/master/csl-citation.json"} </w:instrText>
      </w:r>
      <w:r w:rsidR="000E151C">
        <w:rPr>
          <w:noProof/>
        </w:rPr>
        <w:fldChar w:fldCharType="separate"/>
      </w:r>
      <w:r w:rsidR="00733385" w:rsidRPr="00733385">
        <w:rPr>
          <w:rFonts w:ascii="Calibri" w:hAnsi="Calibri" w:cs="Calibri"/>
          <w:szCs w:val="24"/>
          <w:vertAlign w:val="superscript"/>
        </w:rPr>
        <w:t>1,2</w:t>
      </w:r>
      <w:r w:rsidR="000E151C">
        <w:rPr>
          <w:noProof/>
        </w:rPr>
        <w:fldChar w:fldCharType="end"/>
      </w:r>
      <w:r w:rsidR="000E151C">
        <w:rPr>
          <w:noProof/>
        </w:rPr>
        <w:t>. We also included a set of</w:t>
      </w:r>
      <w:r w:rsidR="00066198">
        <w:rPr>
          <w:noProof/>
        </w:rPr>
        <w:t xml:space="preserve"> </w:t>
      </w:r>
      <w:r w:rsidR="00A7393C">
        <w:rPr>
          <w:noProof/>
        </w:rPr>
        <w:t xml:space="preserve">peptides spanning the predicted amino acid sequences of </w:t>
      </w:r>
      <w:r w:rsidR="00066198">
        <w:rPr>
          <w:noProof/>
        </w:rPr>
        <w:t>1</w:t>
      </w:r>
      <w:r w:rsidR="00582E78">
        <w:rPr>
          <w:noProof/>
        </w:rPr>
        <w:t xml:space="preserve">60 </w:t>
      </w:r>
      <w:r w:rsidR="00936D4D">
        <w:rPr>
          <w:noProof/>
        </w:rPr>
        <w:t xml:space="preserve">potential open reading frames (ORFs) from </w:t>
      </w:r>
      <w:r w:rsidR="00825854">
        <w:rPr>
          <w:noProof/>
        </w:rPr>
        <w:t>long non-coding RNAs (</w:t>
      </w:r>
      <w:r w:rsidR="00066198">
        <w:rPr>
          <w:noProof/>
        </w:rPr>
        <w:t>lncRNA</w:t>
      </w:r>
      <w:r w:rsidR="00825854">
        <w:rPr>
          <w:noProof/>
        </w:rPr>
        <w:t>s)</w:t>
      </w:r>
      <w:r w:rsidR="003323AD">
        <w:rPr>
          <w:noProof/>
        </w:rPr>
        <w:t xml:space="preserve"> that have been shown to be highly expressed in prostate cancer</w:t>
      </w:r>
      <w:r w:rsidR="00066198">
        <w:rPr>
          <w:noProof/>
        </w:rPr>
        <w:t xml:space="preserve">[citation]. </w:t>
      </w:r>
      <w:r w:rsidR="00C1714B">
        <w:rPr>
          <w:noProof/>
        </w:rPr>
        <w:t xml:space="preserve">We </w:t>
      </w:r>
      <w:r w:rsidR="008D06CF">
        <w:rPr>
          <w:noProof/>
        </w:rPr>
        <w:t xml:space="preserve">included these given their strong association with prostate cancer, and while most would likely serve as negative controls as they would not be expected to encode gene products, other groups have shown </w:t>
      </w:r>
      <w:r w:rsidR="00C1714B">
        <w:rPr>
          <w:noProof/>
        </w:rPr>
        <w:t xml:space="preserve">that some lncRNAs may be translated into unstable peptides or even functional proteins especially </w:t>
      </w:r>
      <w:r w:rsidR="004B3EC1">
        <w:rPr>
          <w:noProof/>
        </w:rPr>
        <w:t>with the dysregulation induced by cancer</w:t>
      </w:r>
      <w:r w:rsidR="005220B6">
        <w:rPr>
          <w:noProof/>
        </w:rPr>
        <w:t xml:space="preserve"> </w:t>
      </w:r>
      <w:r w:rsidR="000B1EA0">
        <w:rPr>
          <w:noProof/>
        </w:rPr>
        <w:fldChar w:fldCharType="begin"/>
      </w:r>
      <w:r w:rsidR="00733385">
        <w:rPr>
          <w:noProof/>
        </w:rPr>
        <w:instrText xml:space="preserve"> ADDIN ZOTERO_ITEM CSL_CITATION {"citationID":"gWGB4Thh","properties":{"formattedCitation":"\\super 3\\uc0\\u8211{}5\\nosupersub{}","plainCitation":"3–5","noteIndex":0},"citationItems":[{"id":1071,"uris":["http://zotero.org/users/5058535/items/BS5U7ZXU"],"uri":["http://zotero.org/users/5058535/items/BS5U7ZXU"],"itemData":{"id":1071,"type":"article-journal","abstract":"Micropeptides (≤100 amino acids) are essential regulators of physiological and pathological processes, which can be encoded by small open reading frames (smORFs) derived from long non-coding RNAs (lncRNAs). Recently, lncRNA-encoded micropeptides have been shown to have essential roles in tumorigenesis. Since translated smORF identification remains technically challenging, little is known of their pathological functions in cancer. Therefore, we created classifiers to identify translated smORFs derived from lncRNAs based on ribosome-protected fragment sequencing and machine learning methods. In total, 537 putative translated smORFs were identified and the coding potential of five smORFs was experimentally validated via green fluorescent protein-tagged protein generation and mass spectrometry. After analyzing 11 lncRNA expression profiles of seven cancer types, we identified one validated translated lncRNA, ZFAS1, which was significantly up-regulated in hepatocellular carcinoma (HCC). Functional studies revealed that ZFAS1 can promote cancer cell migration by elevating intracellular reactive oxygen species production by inhibiting nicotinamide adenine dinucleotide dehydrogenase expression, indicating that translated ZFAS1 may be an essential oncogene in the progression of HCC. In this study, we systematically identified translated smORFs derived from lncRNAs and explored their potential pathological functions in cancer to improve our comprehensive understanding of the building blocks of living systems","container-title":"Frontiers in Genetics","DOI":"10.3389/fgene.2019.01111","ISSN":"1664-8021","journalAbbreviation":"Front Genet","note":"PMID: 31781169\nPMCID: PMC6861293","source":"PubMed Central","title":"Translated Long Non-Coding Ribonucleic Acid ZFAS1 Promotes Cancer Cell Migration by Elevating Reactive Oxygen Species Production in Hepatocellular Carcinoma","URL":"https://www.ncbi.nlm.nih.gov/pmc/articles/PMC6861293/","volume":"10","author":[{"family":"Guo","given":"Zhi-Wei"},{"family":"Meng","given":"Yu"},{"family":"Zhai","given":"Xiang-Ming"},{"family":"Xie","given":"Chen"},{"family":"Zhao","given":"Na"},{"family":"Li","given":"Min"},{"family":"Zhou","given":"Chun-Lian"},{"family":"Li","given":"Kun"},{"family":"Liu","given":"Tian-Cai"},{"family":"Yang","given":"Xue-Xi"},{"family":"Wu","given":"Ying-Song"}],"accessed":{"date-parts":[["2020",3,3]]},"issued":{"date-parts":[["2019",11,12]]}}},{"id":1069,"uris":["http://zotero.org/users/5058535/items/JAYKJTMA"],"uri":["http://zotero.org/users/5058535/items/JAYKJTMA"],"itemData":{"id":1069,"type":"article-journal","abstract":"Using a new bioinformatic method to analyze ribosome profiling data, we show that 40% of lncRNAs and pseudogene RNAs expressed in human cells are translated. In addition, ~35% of mRNA coding genes are translated upstream of the primary protein-coding region (uORFs) and 4% are translated downstream (dORFs). Translated lncRNAs preferentially localize in the cytoplasm, whereas untranslated lncRNAs preferentially localize in the nucleus. The translation efficiency of cytoplasmic lncRNAs is nearly comparable to that of mRNAs, suggesting that cytoplasmic lncRNAs are engaged by the ribosome and translated. While most peptides generated from lncRNAs may be highly unstable byproducts without function, ~9% of the peptides are conserved in ORFs in mouse transcripts, as are 74% of pseudogene peptides, 24% of uORF peptides and 32% of dORF peptides. Analyses of synonymous and nonsynonymous substitution rates of these conserved peptides show that some are under stabilizing selection, suggesting potential functional importance., DOI:\nhttp://dx.doi.org/10.7554/eLife.08890.001, Our genes encode the instructions needed to make proteins. When a gene is switched on, it’s DNA is used as a template to make molecules of messenger ribonucleic acid (RNA). These RNAs are then “translated” into proteins by large cell machines called ribosomes. Within the messenger RNA, a long region called an “open reading frame” is the section that encodes the protein., The human genome also contains a vast amount of DNA that is not part of any gene. Cells can produce molecules of RNA from this DNA (so-called “non-coding RNAs”), but these RNAs are not thought to code for proteins because they lack long open reading frames. Non-coding RNAs can also be made from sections of DNA called “pseudogenes”, which have lost their ability to code for proteins over the course of evolution. Furthermore, messenger RNAs also contain short open reading frames in the “untranslated” regions that flank the protein-coding region., The extent to which cells translate non-coding RNAs to produce small proteins (or peptides) is not known. “Ribosome profiling” is a powerful method to determine which RNAs are translated, but it is not always possible to distinguish between the RNAs that are genuinely translated and those that just happen to be bound to ribosomes. Ji et al. overcome these limitations by developing a new computational method to analyse data from ribosome profiling., The experiments show that thousands of non-coding RNAs in the human genome are, in fact, translated. This is many more than anticipated and represents approximately 40% of the lncRNAs and pseudogene RNAs, and 35% of untranslated regions in messenger RNAs. Ji et al. also found that a small group of all the lncRNA peptides in the human genome appear to have changed little over the course of evolution, which strongly suggests that they have specific roles in cells. The next challenge is to find out what roles the peptides encoded by these lncRNAs play in cells., DOI:\nhttp://dx.doi.org/10.7554/eLife.08890.002","container-title":"eLife","DOI":"10.7554/eLife.08890","ISSN":"2050-084X","journalAbbreviation":"eLife","note":"PMID: 26687005\nPMCID: PMC4739776","source":"PubMed Central","title":"Many lncRNAs, 5’UTRs, and pseudogenes are translated and some are likely to express functional proteins","URL":"https://www.ncbi.nlm.nih.gov/pmc/articles/PMC4739776/","volume":"4","author":[{"family":"Ji","given":"Zhe"},{"family":"Song","given":"Ruisheng"},{"family":"Regev","given":"Aviv"},{"family":"Struhl","given":"Kevin"}],"accessed":{"date-parts":[["2020",3,3]]}}},{"id":1070,"uris":["http://zotero.org/users/5058535/items/CZY5ZWS4"],"uri":["http://zotero.org/users/5058535/items/CZY5ZWS4"],"itemData":{"id":1070,"type":"article-journal","abstract":"The ability to sequence genomes has far outstripped approaches for deciphering the information they encode. Here we present a suite of techniques, based on ribosome profiling (the deep-sequencing of ribosome-protected mRNA fragments), to provide genome-wide maps of protein synthesis as well as a pulse-chase strategy for determining rates of translation elongation. We exploit the propensity of harringtonine to cause ribosomes to accumulate at sites of translation initiation together with a machine learning algorithm to define protein products systematically. Analysis of translation in mouse embryonic stem cells reveals thousands of strong pause sites and novel translation products. These include amino-terminal extensions and truncations and upstream open reading frames with regulatory potential, initiated at both AUG and non-AUG codons, whose translation changes after differentiation. We also define a new class of short, polycistronic ribosome-associated coding RNAs (sprcRNAs) that encode small proteins. Our studies reveal an unanticipated complexity to mammalian proteomes.","container-title":"Cell","DOI":"10.1016/j.cell.2011.10.002","ISSN":"0092-8674","issue":"4","journalAbbreviation":"Cell","note":"PMID: 22056041\nPMCID: PMC3225288","page":"789-802","source":"PubMed Central","title":"Ribosome Profiling of Mouse Embryonic Stem Cells Reveals the Complexity of Mammalian Proteomes","volume":"147","author":[{"family":"Ingolia","given":"Nicholas T."},{"family":"Lareau","given":"Liana F."},{"family":"Weissman","given":"Jonathan S."}],"issued":{"date-parts":[["2011",11,11]]}}}],"schema":"https://github.com/citation-style-language/schema/raw/master/csl-citation.json"} </w:instrText>
      </w:r>
      <w:r w:rsidR="000B1EA0">
        <w:rPr>
          <w:noProof/>
        </w:rPr>
        <w:fldChar w:fldCharType="separate"/>
      </w:r>
      <w:r w:rsidR="00733385" w:rsidRPr="00733385">
        <w:rPr>
          <w:rFonts w:ascii="Calibri" w:hAnsi="Calibri" w:cs="Calibri"/>
          <w:szCs w:val="24"/>
          <w:vertAlign w:val="superscript"/>
        </w:rPr>
        <w:t>3–5</w:t>
      </w:r>
      <w:r w:rsidR="000B1EA0">
        <w:rPr>
          <w:noProof/>
        </w:rPr>
        <w:fldChar w:fldCharType="end"/>
      </w:r>
    </w:p>
    <w:p w14:paraId="24F2B11A" w14:textId="0759B835" w:rsidR="001C6031" w:rsidRDefault="001C6031" w:rsidP="005C6313">
      <w:pPr>
        <w:spacing w:line="480" w:lineRule="auto"/>
        <w:ind w:firstLine="720"/>
        <w:rPr>
          <w:noProof/>
        </w:rPr>
      </w:pPr>
      <w:r>
        <w:rPr>
          <w:noProof/>
        </w:rPr>
        <w:t>16-mer peptides spanning the amino acid sequences of these 16</w:t>
      </w:r>
      <w:r w:rsidR="009B7024">
        <w:rPr>
          <w:noProof/>
        </w:rPr>
        <w:t>1</w:t>
      </w:r>
      <w:r>
        <w:rPr>
          <w:noProof/>
        </w:rPr>
        <w:t>1 gene products</w:t>
      </w:r>
      <w:r w:rsidR="00936D4D">
        <w:rPr>
          <w:noProof/>
        </w:rPr>
        <w:t>,</w:t>
      </w:r>
      <w:r>
        <w:rPr>
          <w:noProof/>
        </w:rPr>
        <w:t xml:space="preserve"> and overlapping by 12 amino acids</w:t>
      </w:r>
      <w:r w:rsidR="00936D4D">
        <w:rPr>
          <w:noProof/>
        </w:rPr>
        <w:t>,</w:t>
      </w:r>
      <w:r>
        <w:rPr>
          <w:noProof/>
        </w:rPr>
        <w:t xml:space="preserve"> were used to generate </w:t>
      </w:r>
      <w:r w:rsidR="00047E87">
        <w:rPr>
          <w:noProof/>
        </w:rPr>
        <w:t xml:space="preserve">a </w:t>
      </w:r>
      <w:r>
        <w:rPr>
          <w:noProof/>
        </w:rPr>
        <w:t>microarray</w:t>
      </w:r>
      <w:r w:rsidR="00047E87">
        <w:rPr>
          <w:noProof/>
        </w:rPr>
        <w:t xml:space="preserve"> comprising 177,60</w:t>
      </w:r>
      <w:r w:rsidR="00FA5C5F">
        <w:rPr>
          <w:noProof/>
        </w:rPr>
        <w:t>4</w:t>
      </w:r>
      <w:r w:rsidR="00047E87">
        <w:rPr>
          <w:noProof/>
        </w:rPr>
        <w:t xml:space="preserve"> peptides</w:t>
      </w:r>
      <w:r>
        <w:rPr>
          <w:noProof/>
        </w:rPr>
        <w:t>. The complete list of probes and corresponding proteins is available in Supplementary Table 1</w:t>
      </w:r>
      <w:r w:rsidR="005748D9">
        <w:rPr>
          <w:noProof/>
        </w:rPr>
        <w:t xml:space="preserve">. </w:t>
      </w:r>
      <w:r w:rsidR="00BA0178">
        <w:rPr>
          <w:noProof/>
        </w:rPr>
        <w:t>The manufacture of the array and synthesis of peptides was performed as previously described</w:t>
      </w:r>
      <w:r w:rsidR="002141B0">
        <w:rPr>
          <w:noProof/>
        </w:rPr>
        <w:fldChar w:fldCharType="begin"/>
      </w:r>
      <w:r w:rsidR="00733385">
        <w:rPr>
          <w:noProof/>
        </w:rPr>
        <w:instrText xml:space="preserve"> ADDIN ZOTERO_ITEM CSL_CITATION {"citationID":"WPqx0uxT","properties":{"formattedCitation":"\\super 6\\nosupersub{}","plainCitation":"6","noteIndex":0},"citationItems":[{"id":1028,"uris":["http://zotero.org/users/5058535/items/D9C2G5N2"],"uri":["http://zotero.org/users/5058535/items/D9C2G5N2"],"itemData":{"id":1028,"type":"article-journal","abstract":"The majority of non-small-cell lung cancer (NSCLC) cases are diagnosed at advanced stages, primarily because earlier stages of the disease are either asymptomatic or may be attributed to other causes such as infection or long-term effects from smoking. Therefore, early detection of NSCLC would likely increase response and survival rates due to timely intervention. Here, we utilize a novel approach based on whole genome-derived tiled peptide arrays to identify epitopes associated with autoantibody reactivity in NSCLC as a potential means for early detection. Arrays consisted of 2,781,902 tiled peptides representing 20,193 proteins encoded in the human genome. Analysis of 86 prediagnostic samples and 86 matched normal controls from a high-risk cohort revealed 48 proteins with three or more reactive epitopes in NSCLC samples relative to controls. Independent mass spectrometry analysis identified 40 of the 48 proteins in prediagnostic sera from NSCLC samples, of which, 21 occurred in the immunoglobulin-bound fraction. In addition, 63 and 34 proteins encompassed three or more epitopes that were distinct for squamous cell lung cancer and lung adenocarcinoma, respectively. Collectively, these data show that tiled peptide arrays provide a means to delineate epitopes encoded across the genome that trigger an autoantibody response associated with tumor development. SIGNIFICANCE: This study provides a modality for early diagnosis of NSCLC for precision oncology that can be applied to other cancer types.","container-title":"Cancer Research","DOI":"10.1158/0008-5472.CAN-18-1536","ISSN":"1538-7445","issue":"7","journalAbbreviation":"Cancer Res.","language":"eng","note":"PMID: 30723114\nPMCID: PMC6445725","page":"1549-1557","source":"PubMed","title":"Whole Genome-Derived Tiled Peptide Arrays Detect Prediagnostic Autoantibody Signatures in Non-Small-Cell Lung Cancer","volume":"79","author":[{"family":"Yan","given":"Yuanqing"},{"family":"Sun","given":"Nan"},{"family":"Wang","given":"Hong"},{"family":"Kobayashi","given":"Makoto"},{"family":"Ladd","given":"Jon J."},{"family":"Long","given":"James P."},{"family":"Lo","given":"Ken C."},{"family":"Patel","given":"Jigar"},{"family":"Sullivan","given":"Eric"},{"family":"Albert","given":"Thomas"},{"family":"Goodman","given":"Gary E."},{"family":"Do","given":"Kim-Anh"},{"family":"Hanash","given":"Samir M."}],"issued":{"date-parts":[["2019"]],"season":"01"}}}],"schema":"https://github.com/citation-style-language/schema/raw/master/csl-citation.json"} </w:instrText>
      </w:r>
      <w:r w:rsidR="002141B0">
        <w:rPr>
          <w:noProof/>
        </w:rPr>
        <w:fldChar w:fldCharType="separate"/>
      </w:r>
      <w:r w:rsidR="00733385" w:rsidRPr="00733385">
        <w:rPr>
          <w:rFonts w:ascii="Calibri" w:hAnsi="Calibri" w:cs="Calibri"/>
          <w:szCs w:val="24"/>
          <w:vertAlign w:val="superscript"/>
        </w:rPr>
        <w:t>6</w:t>
      </w:r>
      <w:r w:rsidR="002141B0">
        <w:rPr>
          <w:noProof/>
        </w:rPr>
        <w:fldChar w:fldCharType="end"/>
      </w:r>
      <w:r w:rsidR="00BA0178">
        <w:rPr>
          <w:noProof/>
        </w:rPr>
        <w:t xml:space="preserve">. </w:t>
      </w:r>
      <w:r w:rsidR="00047E87">
        <w:rPr>
          <w:noProof/>
        </w:rPr>
        <w:t xml:space="preserve">The characteristics of </w:t>
      </w:r>
      <w:r w:rsidR="000F3B95">
        <w:rPr>
          <w:noProof/>
        </w:rPr>
        <w:t>the proteins included in the array are summarized in Fig</w:t>
      </w:r>
      <w:r w:rsidR="00936D4D">
        <w:rPr>
          <w:noProof/>
        </w:rPr>
        <w:t>ure 1</w:t>
      </w:r>
      <w:r w:rsidR="000F3B95">
        <w:rPr>
          <w:noProof/>
        </w:rPr>
        <w:t>, using data retrieved from UniProt</w:t>
      </w:r>
      <w:r w:rsidR="00ED26A9">
        <w:rPr>
          <w:noProof/>
        </w:rPr>
        <w:fldChar w:fldCharType="begin"/>
      </w:r>
      <w:r w:rsidR="00ED26A9">
        <w:rPr>
          <w:noProof/>
        </w:rPr>
        <w:instrText xml:space="preserve"> ADDIN ZOTERO_ITEM CSL_CITATION {"citationID":"LIK9pj8a","properties":{"formattedCitation":"\\super 7\\nosupersub{}","plainCitation":"7","noteIndex":0},"citationItems":[{"id":1091,"uris":["http://zotero.org/users/5058535/items/VE79LDNG"],"uri":["http://zotero.org/users/5058535/items/VE79LDNG"],"itemData":{"id":1091,"type":"article-journal","abstract":"Abstract.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Res","language":"en","note":"publisher: Oxford Academic","page":"D506-D515","source":"academic.oup.com","title":"UniProt: a worldwide hub of protein knowledge","title-short":"UniProt","volume":"47","issued":{"date-parts":[["2019",1,8]]}}}],"schema":"https://github.com/citation-style-language/schema/raw/master/csl-citation.json"} </w:instrText>
      </w:r>
      <w:r w:rsidR="00ED26A9">
        <w:rPr>
          <w:noProof/>
        </w:rPr>
        <w:fldChar w:fldCharType="separate"/>
      </w:r>
      <w:r w:rsidR="00ED26A9" w:rsidRPr="00ED26A9">
        <w:rPr>
          <w:rFonts w:ascii="Calibri" w:hAnsi="Calibri" w:cs="Calibri"/>
          <w:szCs w:val="24"/>
          <w:vertAlign w:val="superscript"/>
        </w:rPr>
        <w:t>7</w:t>
      </w:r>
      <w:r w:rsidR="00ED26A9">
        <w:rPr>
          <w:noProof/>
        </w:rPr>
        <w:fldChar w:fldCharType="end"/>
      </w:r>
      <w:r w:rsidR="000F3B95">
        <w:rPr>
          <w:noProof/>
        </w:rPr>
        <w:t>.</w:t>
      </w:r>
      <w:r w:rsidR="00B96363">
        <w:rPr>
          <w:noProof/>
        </w:rPr>
        <w:t xml:space="preserve"> The majority of proteins </w:t>
      </w:r>
      <w:r w:rsidR="00A20EEE">
        <w:rPr>
          <w:noProof/>
        </w:rPr>
        <w:t xml:space="preserve">were </w:t>
      </w:r>
      <w:r w:rsidR="00B96363">
        <w:rPr>
          <w:noProof/>
        </w:rPr>
        <w:t>localized within the cytoplasm</w:t>
      </w:r>
      <w:r w:rsidR="004307DB">
        <w:rPr>
          <w:noProof/>
        </w:rPr>
        <w:t xml:space="preserve"> or</w:t>
      </w:r>
      <w:r w:rsidR="00B96363">
        <w:rPr>
          <w:noProof/>
        </w:rPr>
        <w:t xml:space="preserve"> nucleus, or traffic between the two compartments</w:t>
      </w:r>
      <w:r w:rsidR="00936D4D">
        <w:rPr>
          <w:noProof/>
        </w:rPr>
        <w:t xml:space="preserve"> (Fig 1A)</w:t>
      </w:r>
      <w:r w:rsidR="00B96363">
        <w:rPr>
          <w:noProof/>
        </w:rPr>
        <w:t>.</w:t>
      </w:r>
      <w:r w:rsidR="00E95FC2">
        <w:rPr>
          <w:noProof/>
        </w:rPr>
        <w:t xml:space="preserve"> Approximately 1</w:t>
      </w:r>
      <w:r w:rsidR="00DD6463">
        <w:rPr>
          <w:noProof/>
        </w:rPr>
        <w:t>6</w:t>
      </w:r>
      <w:r w:rsidR="00E95FC2">
        <w:rPr>
          <w:noProof/>
        </w:rPr>
        <w:t xml:space="preserve">% of the </w:t>
      </w:r>
      <w:r w:rsidR="00B96363">
        <w:rPr>
          <w:noProof/>
        </w:rPr>
        <w:t xml:space="preserve">proteins </w:t>
      </w:r>
      <w:r w:rsidR="00FF4567">
        <w:rPr>
          <w:noProof/>
        </w:rPr>
        <w:t xml:space="preserve">were </w:t>
      </w:r>
      <w:r w:rsidR="00B96363">
        <w:rPr>
          <w:noProof/>
        </w:rPr>
        <w:t xml:space="preserve">localized to the mitochondria or ribosomes.  </w:t>
      </w:r>
      <w:r w:rsidR="00C2137F">
        <w:rPr>
          <w:noProof/>
        </w:rPr>
        <w:t xml:space="preserve">The median protein length was </w:t>
      </w:r>
      <w:r w:rsidR="00084B05">
        <w:rPr>
          <w:noProof/>
        </w:rPr>
        <w:t xml:space="preserve">483 </w:t>
      </w:r>
      <w:r w:rsidR="00C2137F">
        <w:rPr>
          <w:noProof/>
        </w:rPr>
        <w:t>amino acids</w:t>
      </w:r>
      <w:r w:rsidR="00936D4D">
        <w:rPr>
          <w:noProof/>
        </w:rPr>
        <w:t xml:space="preserve"> (Fig 1B)</w:t>
      </w:r>
      <w:r w:rsidR="00C2137F">
        <w:rPr>
          <w:noProof/>
        </w:rPr>
        <w:t xml:space="preserve">. </w:t>
      </w:r>
    </w:p>
    <w:p w14:paraId="52391DD1" w14:textId="214569C5" w:rsidR="0075419A" w:rsidRDefault="00B97AD1" w:rsidP="00EA2EF5">
      <w:pPr>
        <w:spacing w:line="480" w:lineRule="auto"/>
        <w:ind w:firstLine="720"/>
        <w:rPr>
          <w:noProof/>
        </w:rPr>
      </w:pPr>
      <w:r>
        <w:rPr>
          <w:noProof/>
        </w:rPr>
        <w:t>We obtained serum samples from</w:t>
      </w:r>
      <w:r w:rsidR="00184592">
        <w:rPr>
          <w:noProof/>
        </w:rPr>
        <w:t xml:space="preserve"> 1</w:t>
      </w:r>
      <w:r w:rsidR="005C67B9">
        <w:rPr>
          <w:noProof/>
        </w:rPr>
        <w:t>5</w:t>
      </w:r>
      <w:r w:rsidR="00252088">
        <w:rPr>
          <w:noProof/>
        </w:rPr>
        <w:t xml:space="preserve"> normal male blood donors</w:t>
      </w:r>
      <w:r w:rsidR="00B81D42">
        <w:rPr>
          <w:noProof/>
        </w:rPr>
        <w:t xml:space="preserve"> (Normal)</w:t>
      </w:r>
      <w:r w:rsidR="00184592">
        <w:rPr>
          <w:noProof/>
        </w:rPr>
        <w:t>, 1</w:t>
      </w:r>
      <w:r w:rsidR="005C67B9">
        <w:rPr>
          <w:noProof/>
        </w:rPr>
        <w:t>5</w:t>
      </w:r>
      <w:r w:rsidR="00184592">
        <w:rPr>
          <w:noProof/>
        </w:rPr>
        <w:t xml:space="preserve"> patients with newly diagnosed prostate cancer (New</w:t>
      </w:r>
      <w:r w:rsidR="00073F7C">
        <w:rPr>
          <w:noProof/>
        </w:rPr>
        <w:t xml:space="preserve"> </w:t>
      </w:r>
      <w:r w:rsidR="00184592">
        <w:rPr>
          <w:noProof/>
        </w:rPr>
        <w:t xml:space="preserve">Dx), </w:t>
      </w:r>
      <w:r w:rsidR="006B7746">
        <w:rPr>
          <w:noProof/>
        </w:rPr>
        <w:t>40</w:t>
      </w:r>
      <w:r w:rsidR="00184592">
        <w:rPr>
          <w:noProof/>
        </w:rPr>
        <w:t xml:space="preserve"> patients with </w:t>
      </w:r>
      <w:r w:rsidR="00073F7C">
        <w:rPr>
          <w:noProof/>
        </w:rPr>
        <w:t>castration</w:t>
      </w:r>
      <w:r w:rsidR="008C715F">
        <w:rPr>
          <w:noProof/>
        </w:rPr>
        <w:t>-</w:t>
      </w:r>
      <w:r w:rsidR="00073F7C">
        <w:rPr>
          <w:noProof/>
        </w:rPr>
        <w:t xml:space="preserve">sensitive non-metastatic </w:t>
      </w:r>
      <w:r w:rsidR="00936D4D">
        <w:rPr>
          <w:noProof/>
        </w:rPr>
        <w:t>prostate cancer</w:t>
      </w:r>
      <w:r w:rsidR="00184592">
        <w:rPr>
          <w:noProof/>
        </w:rPr>
        <w:t xml:space="preserve"> (</w:t>
      </w:r>
      <w:r w:rsidR="00073F7C">
        <w:rPr>
          <w:noProof/>
        </w:rPr>
        <w:t>nmCSPC</w:t>
      </w:r>
      <w:r w:rsidR="00184592">
        <w:rPr>
          <w:noProof/>
        </w:rPr>
        <w:t>), 15 patients with castration</w:t>
      </w:r>
      <w:r w:rsidR="008C715F">
        <w:rPr>
          <w:noProof/>
        </w:rPr>
        <w:t>-</w:t>
      </w:r>
      <w:r w:rsidR="00184592">
        <w:rPr>
          <w:noProof/>
        </w:rPr>
        <w:t xml:space="preserve">resistant non-metastatic </w:t>
      </w:r>
      <w:r w:rsidR="00936D4D">
        <w:rPr>
          <w:noProof/>
        </w:rPr>
        <w:t>prostate cancer</w:t>
      </w:r>
      <w:r w:rsidR="00184592">
        <w:rPr>
          <w:noProof/>
        </w:rPr>
        <w:t xml:space="preserve"> (</w:t>
      </w:r>
      <w:r w:rsidR="00451F7F">
        <w:rPr>
          <w:noProof/>
        </w:rPr>
        <w:t>n</w:t>
      </w:r>
      <w:r w:rsidR="00C14B8B">
        <w:rPr>
          <w:noProof/>
        </w:rPr>
        <w:t>mCRPC</w:t>
      </w:r>
      <w:r w:rsidR="00184592">
        <w:rPr>
          <w:noProof/>
        </w:rPr>
        <w:t xml:space="preserve">), and </w:t>
      </w:r>
      <w:r w:rsidR="005C67B9">
        <w:rPr>
          <w:noProof/>
        </w:rPr>
        <w:t>15</w:t>
      </w:r>
      <w:r w:rsidR="00184592">
        <w:rPr>
          <w:noProof/>
        </w:rPr>
        <w:t xml:space="preserve"> patients with castration</w:t>
      </w:r>
      <w:r w:rsidR="008C715F">
        <w:rPr>
          <w:noProof/>
        </w:rPr>
        <w:t>-</w:t>
      </w:r>
      <w:r w:rsidR="00184592">
        <w:rPr>
          <w:noProof/>
        </w:rPr>
        <w:t>resistant metastatic disease (</w:t>
      </w:r>
      <w:r w:rsidR="004571C3">
        <w:rPr>
          <w:noProof/>
        </w:rPr>
        <w:t>mCRPC</w:t>
      </w:r>
      <w:r w:rsidR="00184592">
        <w:rPr>
          <w:noProof/>
        </w:rPr>
        <w:t>)</w:t>
      </w:r>
      <w:r w:rsidR="00E31C3C">
        <w:rPr>
          <w:noProof/>
        </w:rPr>
        <w:t xml:space="preserve">. </w:t>
      </w:r>
      <w:r w:rsidR="00184592">
        <w:rPr>
          <w:noProof/>
        </w:rPr>
        <w:t xml:space="preserve"> </w:t>
      </w:r>
      <w:r w:rsidR="00C71C83">
        <w:rPr>
          <w:noProof/>
        </w:rPr>
        <w:t>Each patient</w:t>
      </w:r>
      <w:r w:rsidR="007F746B">
        <w:rPr>
          <w:noProof/>
        </w:rPr>
        <w:t>’</w:t>
      </w:r>
      <w:r w:rsidR="00C71C83">
        <w:rPr>
          <w:noProof/>
        </w:rPr>
        <w:t xml:space="preserve">s serum was assayed in triplicate for peptide-specific IgG responses using the microarray. </w:t>
      </w:r>
      <w:r w:rsidR="005924C9">
        <w:rPr>
          <w:noProof/>
        </w:rPr>
        <w:t xml:space="preserve">To assess the </w:t>
      </w:r>
      <w:r w:rsidR="005924C9">
        <w:rPr>
          <w:noProof/>
        </w:rPr>
        <w:lastRenderedPageBreak/>
        <w:t xml:space="preserve">reproducibility of the assay, we calculated </w:t>
      </w:r>
      <w:r w:rsidR="00A11DB7">
        <w:rPr>
          <w:noProof/>
        </w:rPr>
        <w:t xml:space="preserve">Pearson </w:t>
      </w:r>
      <w:r w:rsidR="005924C9">
        <w:rPr>
          <w:noProof/>
        </w:rPr>
        <w:t>correlation coefficents between each</w:t>
      </w:r>
      <w:r w:rsidR="005D1074">
        <w:rPr>
          <w:noProof/>
        </w:rPr>
        <w:t xml:space="preserve"> </w:t>
      </w:r>
      <w:r w:rsidR="00274DBF">
        <w:rPr>
          <w:noProof/>
        </w:rPr>
        <w:t xml:space="preserve">pair of </w:t>
      </w:r>
      <w:r w:rsidR="005D1074">
        <w:rPr>
          <w:noProof/>
        </w:rPr>
        <w:t>technical replicate</w:t>
      </w:r>
      <w:r w:rsidR="00FB0041">
        <w:rPr>
          <w:noProof/>
        </w:rPr>
        <w:t>s</w:t>
      </w:r>
      <w:r w:rsidR="005D1074">
        <w:rPr>
          <w:noProof/>
        </w:rPr>
        <w:t xml:space="preserve"> and found high correlation</w:t>
      </w:r>
      <w:r w:rsidR="00274DBF">
        <w:rPr>
          <w:noProof/>
        </w:rPr>
        <w:t xml:space="preserve"> on average</w:t>
      </w:r>
      <w:r w:rsidR="005D1074">
        <w:rPr>
          <w:noProof/>
        </w:rPr>
        <w:t xml:space="preserve"> </w:t>
      </w:r>
      <w:r w:rsidR="007E598E">
        <w:rPr>
          <w:noProof/>
        </w:rPr>
        <w:t xml:space="preserve">among </w:t>
      </w:r>
      <w:commentRangeStart w:id="0"/>
      <w:commentRangeStart w:id="1"/>
      <w:r w:rsidR="00AA1844">
        <w:rPr>
          <w:noProof/>
        </w:rPr>
        <w:t>replicates</w:t>
      </w:r>
      <w:r w:rsidR="005D1074">
        <w:rPr>
          <w:noProof/>
        </w:rPr>
        <w:t xml:space="preserve"> (</w:t>
      </w:r>
      <w:commentRangeEnd w:id="0"/>
      <w:r w:rsidR="00332E52">
        <w:rPr>
          <w:rStyle w:val="CommentReference"/>
        </w:rPr>
        <w:commentReference w:id="0"/>
      </w:r>
      <w:commentRangeEnd w:id="1"/>
      <w:r w:rsidR="005014B2">
        <w:rPr>
          <w:rStyle w:val="CommentReference"/>
        </w:rPr>
        <w:commentReference w:id="1"/>
      </w:r>
      <w:r w:rsidR="005D1074">
        <w:rPr>
          <w:noProof/>
        </w:rPr>
        <w:t xml:space="preserve">Fig 1C). </w:t>
      </w:r>
      <w:r w:rsidR="005924C9">
        <w:rPr>
          <w:noProof/>
        </w:rPr>
        <w:t xml:space="preserve"> </w:t>
      </w:r>
      <w:r w:rsidR="006570C6">
        <w:rPr>
          <w:noProof/>
        </w:rPr>
        <w:t xml:space="preserve">To </w:t>
      </w:r>
      <w:r w:rsidR="00693CA6">
        <w:rPr>
          <w:noProof/>
        </w:rPr>
        <w:t xml:space="preserve">determine </w:t>
      </w:r>
      <w:r w:rsidR="006570C6">
        <w:rPr>
          <w:noProof/>
        </w:rPr>
        <w:t xml:space="preserve">the degree of variability </w:t>
      </w:r>
      <w:r w:rsidR="007E598E">
        <w:rPr>
          <w:noProof/>
        </w:rPr>
        <w:t xml:space="preserve">among </w:t>
      </w:r>
      <w:r w:rsidR="006570C6">
        <w:rPr>
          <w:noProof/>
        </w:rPr>
        <w:t xml:space="preserve">serum samples, we calculated the mean correlation coefficient across all pairs of distinct serum samples (Fig 1C). </w:t>
      </w:r>
      <w:r w:rsidR="002E67E8">
        <w:rPr>
          <w:noProof/>
        </w:rPr>
        <w:t>To determine if the results of the assay were in accordance with published data</w:t>
      </w:r>
      <w:r w:rsidR="00B7359F">
        <w:rPr>
          <w:noProof/>
        </w:rPr>
        <w:fldChar w:fldCharType="begin"/>
      </w:r>
      <w:r w:rsidR="00ED26A9">
        <w:rPr>
          <w:noProof/>
        </w:rPr>
        <w:instrText xml:space="preserve"> ADDIN ZOTERO_ITEM CSL_CITATION {"citationID":"zZUDHocH","properties":{"formattedCitation":"\\super 8,9\\nosupersub{}","plainCitation":"8,9","noteIndex":0},"citationItems":[{"id":1014,"uris":["http://zotero.org/users/5058535/items/A6MZ76AU"],"uri":["http://zotero.org/users/5058535/items/A6MZ76AU"],"itemData":{"id":1014,"type":"article-journal","abstract":"PURPOSE: Several immune based therapies targeting prostate cancer associated proteins are currently undergoing clinical investigation. In general, however, little is known about the immunogenicity of prostate cancer or which prostate cancer associated proteins elicit immune responses. We determine whether patients with prostate cancer have antibody immunity to known prostate cancer associated proteins, what the prevalence of this immunity is and whether immunity to individual proteins is associated with the stage of disease.\nMATERIALS AND METHODS: We evaluated the inherent humoral immune response against prostate specific antigen (PSA), prostatic acid phosphatase, p53 and HER-2/neu, all known prostate cancer associated proteins, in 200 patients with various stages of disease and male controls.\nRESULTS: Antibody immunity to PSA was significantly different between the patient (11%, 22 of 200) and control populations (1.5%, 3 of 100, p = 0.02), and titers 1:100 or greater were particularly prevalent in the subgroup of patients with androgen independent disease (11%, 6 of 56). Antibody immunity to prostatic acid phosphatase and p53 was detected (5.5%, 11 of 200 and 6%, 12 of 200), and was not different from the control population (4%, 4 of 100, p = 0.57 and 7%, 7 of 100, p = 0.74). Antibody immunity to HER-2/neu was significantly higher in patients with prostate cancer (15.5%, 31 of 200) compared to controls (2%, 2 of 100, p = 0.0004), and titers 1:100 or greater were most prevalent in the subgroup of patients with androgen independent disease (16%, 9 of 56).\nCONCLUSIONS: These findings suggest that prostate cancer is an immunogenic tumor. Moreover, for PSA and HER-2/neu the prevalence of antibody immunity was higher in patients with androgen independent disease, indicating that even patients with advanced stage prostate cancer can have an immune response to their tumor.","container-title":"The Journal of Urology","ISSN":"0022-5347","issue":"5","journalAbbreviation":"J. Urol.","language":"eng","note":"PMID: 11025777","page":"1825-1829","source":"PubMed","title":"Antibody immunity to prostate cancer associated antigens can be detected in the serum of patients with prostate cancer","volume":"164","author":[{"family":"McNeel","given":"D. G."},{"family":"Nguyen","given":"L. D."},{"family":"Storer","given":"B. E."},{"family":"Vessella","given":"R."},{"family":"Lange","given":"P. H."},{"family":"Disis","given":"M. L."}],"issued":{"date-parts":[["2000",11]]}}},{"id":41,"uris":["http://zotero.org/users/5058535/items/T79CK52L"],"uri":["http://zotero.org/users/5058535/items/T79CK52L"],"itemData":{"id":41,"type":"article-journal","abstract":"BACKGROUND The androgen receptor (AR) is a steroid hormone receptor that is an essential regulator of prostate development, and the primary molecular target for the treatment of metastatic prostate cancer. In this report, we evaluated whether patients with prostate cancer have pre-existing immune responses specific for the AR as evidence that the AR also might be pursued as an immunological target antigen. METHODS The detection of auto-antibodies specific for the AR in patient sera was evaluated by ELISA and Western blotting. Peripheral blood mononuclear cells were analyzed for the presence of AR-specific T-cells, as measured by T-cell proliferation, interferon gamma (IFNγ) and interleukin-10 secretion. RESULTS We found that a significantly higher frequency of prostate cancer patients have AR LBD-specific antibody responses than do healthy male volunteers [18/105 cancer patients (17.1%) vs. 0/41 healthy volunteers, P = 0.0049], and that these responses were present regardless of the patients' disease stage [8/46 organ-confined prostate cancer patients (17.4%), 3/22 metastatic androgen-dependent patients (13.6%), and 7/37 metastatic, androgen-independent patients (18.9%)]. These antibodies were pre-dominantly of the IgG isotype, and furthermore of the IgG2 sub-isotype. In addition, we found that patients with antibody responses also had concurrent antigen-specific CD4+ and CD8+ T-cell proliferation and IFNγ secretion when compared to patients without antibody responses. CONCLUSIONS These data demonstrate that some patients with prostate cancer have pre-existing humoral and cellular immune responses specific for the AR, suggesting that tolerance against the AR is not absolute and that the AR may be a potential immunotherapeutic target antigen. Prostate 67: 1729–1739, 2007. © 2007 Wiley-Liss, Inc.","container-title":"The Prostate","DOI":"10.1002/pros.20652","ISSN":"1097-0045","issue":"16","language":"en","page":"1729-1739","source":"Wiley Online Library","title":"Antibody and T-cell responses specific for the androgen receptor in patients with prostate cancer","volume":"67","author":[{"family":"Olson","given":"Brian M."},{"family":"McNeel","given":"Douglas G."}],"issued":{"date-parts":[["2007",12,1]]}}}],"schema":"https://github.com/citation-style-language/schema/raw/master/csl-citation.json"} </w:instrText>
      </w:r>
      <w:r w:rsidR="00B7359F">
        <w:rPr>
          <w:noProof/>
        </w:rPr>
        <w:fldChar w:fldCharType="separate"/>
      </w:r>
      <w:r w:rsidR="00ED26A9" w:rsidRPr="00ED26A9">
        <w:rPr>
          <w:rFonts w:ascii="Calibri" w:hAnsi="Calibri" w:cs="Calibri"/>
          <w:szCs w:val="24"/>
          <w:vertAlign w:val="superscript"/>
        </w:rPr>
        <w:t>8,9</w:t>
      </w:r>
      <w:r w:rsidR="00B7359F">
        <w:rPr>
          <w:noProof/>
        </w:rPr>
        <w:fldChar w:fldCharType="end"/>
      </w:r>
      <w:r w:rsidR="002E67E8">
        <w:rPr>
          <w:noProof/>
        </w:rPr>
        <w:t xml:space="preserve"> on antibody responses in prostate cancer, we looked at P</w:t>
      </w:r>
      <w:r w:rsidR="00651137">
        <w:rPr>
          <w:noProof/>
        </w:rPr>
        <w:t xml:space="preserve">rostate </w:t>
      </w:r>
      <w:r w:rsidR="002E67E8">
        <w:rPr>
          <w:noProof/>
        </w:rPr>
        <w:t>S</w:t>
      </w:r>
      <w:r w:rsidR="00651137">
        <w:rPr>
          <w:noProof/>
        </w:rPr>
        <w:t xml:space="preserve">pecific </w:t>
      </w:r>
      <w:r w:rsidR="002E67E8">
        <w:rPr>
          <w:noProof/>
        </w:rPr>
        <w:t>A</w:t>
      </w:r>
      <w:r w:rsidR="00651137">
        <w:rPr>
          <w:noProof/>
        </w:rPr>
        <w:t>ntigen (PSA)</w:t>
      </w:r>
      <w:r w:rsidR="002E67E8">
        <w:rPr>
          <w:noProof/>
        </w:rPr>
        <w:t>, P</w:t>
      </w:r>
      <w:r w:rsidR="00651137">
        <w:rPr>
          <w:noProof/>
        </w:rPr>
        <w:t xml:space="preserve">rostatic </w:t>
      </w:r>
      <w:r w:rsidR="002E67E8">
        <w:rPr>
          <w:noProof/>
        </w:rPr>
        <w:t>A</w:t>
      </w:r>
      <w:r w:rsidR="00651137">
        <w:rPr>
          <w:noProof/>
        </w:rPr>
        <w:t xml:space="preserve">cid </w:t>
      </w:r>
      <w:r w:rsidR="002E67E8">
        <w:rPr>
          <w:noProof/>
        </w:rPr>
        <w:t>P</w:t>
      </w:r>
      <w:r w:rsidR="00651137">
        <w:rPr>
          <w:noProof/>
        </w:rPr>
        <w:t>hosphatase (PAP)</w:t>
      </w:r>
      <w:r w:rsidR="002E67E8">
        <w:rPr>
          <w:noProof/>
        </w:rPr>
        <w:t xml:space="preserve">, </w:t>
      </w:r>
      <w:r w:rsidR="005E644C">
        <w:rPr>
          <w:noProof/>
        </w:rPr>
        <w:t xml:space="preserve">and </w:t>
      </w:r>
      <w:r w:rsidR="00651137">
        <w:rPr>
          <w:noProof/>
        </w:rPr>
        <w:t xml:space="preserve">the </w:t>
      </w:r>
      <w:commentRangeStart w:id="2"/>
      <w:commentRangeStart w:id="3"/>
      <w:commentRangeStart w:id="4"/>
      <w:r w:rsidR="002E67E8">
        <w:rPr>
          <w:noProof/>
        </w:rPr>
        <w:t>A</w:t>
      </w:r>
      <w:r w:rsidR="00651137">
        <w:rPr>
          <w:noProof/>
        </w:rPr>
        <w:t xml:space="preserve">ndrogen </w:t>
      </w:r>
      <w:r w:rsidR="002E67E8">
        <w:rPr>
          <w:noProof/>
        </w:rPr>
        <w:t>R</w:t>
      </w:r>
      <w:commentRangeEnd w:id="2"/>
      <w:r w:rsidR="00651137">
        <w:rPr>
          <w:noProof/>
        </w:rPr>
        <w:t>eceptor (AR)</w:t>
      </w:r>
      <w:r w:rsidR="00D90A34">
        <w:rPr>
          <w:rStyle w:val="CommentReference"/>
        </w:rPr>
        <w:commentReference w:id="2"/>
      </w:r>
      <w:commentRangeEnd w:id="3"/>
      <w:r w:rsidR="005728D8">
        <w:rPr>
          <w:rStyle w:val="CommentReference"/>
        </w:rPr>
        <w:commentReference w:id="3"/>
      </w:r>
      <w:commentRangeEnd w:id="4"/>
      <w:r w:rsidR="00D71710">
        <w:rPr>
          <w:rStyle w:val="CommentReference"/>
        </w:rPr>
        <w:commentReference w:id="4"/>
      </w:r>
      <w:r w:rsidR="002E67E8">
        <w:rPr>
          <w:noProof/>
        </w:rPr>
        <w:t xml:space="preserve">. </w:t>
      </w:r>
      <w:r w:rsidR="00631E19">
        <w:rPr>
          <w:noProof/>
        </w:rPr>
        <w:t>1</w:t>
      </w:r>
      <w:r w:rsidR="00AB0BC5">
        <w:rPr>
          <w:noProof/>
        </w:rPr>
        <w:t>3</w:t>
      </w:r>
      <w:r w:rsidR="00631E19">
        <w:rPr>
          <w:noProof/>
        </w:rPr>
        <w:t>.</w:t>
      </w:r>
      <w:r w:rsidR="00AB0BC5">
        <w:rPr>
          <w:noProof/>
        </w:rPr>
        <w:t>3</w:t>
      </w:r>
      <w:r w:rsidR="00631E19">
        <w:rPr>
          <w:noProof/>
        </w:rPr>
        <w:t xml:space="preserve">% of mCRPC patients assayed on the array displayed antibody responses against PSA, while </w:t>
      </w:r>
      <w:r w:rsidR="00AB0BC5">
        <w:rPr>
          <w:noProof/>
        </w:rPr>
        <w:t>6</w:t>
      </w:r>
      <w:r w:rsidR="00631E19">
        <w:rPr>
          <w:noProof/>
        </w:rPr>
        <w:t>.</w:t>
      </w:r>
      <w:r w:rsidR="00AB0BC5">
        <w:rPr>
          <w:noProof/>
        </w:rPr>
        <w:t>7</w:t>
      </w:r>
      <w:r w:rsidR="00631E19">
        <w:rPr>
          <w:noProof/>
        </w:rPr>
        <w:t>% of normals had PSA responses</w:t>
      </w:r>
      <w:r w:rsidR="007E598E">
        <w:rPr>
          <w:noProof/>
        </w:rPr>
        <w:t>.</w:t>
      </w:r>
      <w:r w:rsidR="00631E19">
        <w:rPr>
          <w:noProof/>
        </w:rPr>
        <w:t xml:space="preserve"> </w:t>
      </w:r>
      <w:r w:rsidR="00207FA3">
        <w:rPr>
          <w:noProof/>
        </w:rPr>
        <w:t>8</w:t>
      </w:r>
      <w:r w:rsidR="002C1DDE">
        <w:rPr>
          <w:noProof/>
        </w:rPr>
        <w:t>.</w:t>
      </w:r>
      <w:r w:rsidR="00207FA3">
        <w:rPr>
          <w:noProof/>
        </w:rPr>
        <w:t>2</w:t>
      </w:r>
      <w:r w:rsidR="00E04980">
        <w:rPr>
          <w:noProof/>
        </w:rPr>
        <w:t>% of prostate cancer patients and 0% of normals had responses to PAP</w:t>
      </w:r>
      <w:r w:rsidR="00CF5508">
        <w:rPr>
          <w:noProof/>
        </w:rPr>
        <w:t>.</w:t>
      </w:r>
      <w:r w:rsidR="003E1B2B">
        <w:rPr>
          <w:noProof/>
        </w:rPr>
        <w:t xml:space="preserve"> </w:t>
      </w:r>
      <w:r w:rsidR="00CF5508">
        <w:rPr>
          <w:noProof/>
        </w:rPr>
        <w:t xml:space="preserve">Finally, </w:t>
      </w:r>
      <w:r w:rsidR="00F13ED0">
        <w:rPr>
          <w:noProof/>
        </w:rPr>
        <w:t>77</w:t>
      </w:r>
      <w:r w:rsidR="003E1B2B">
        <w:rPr>
          <w:noProof/>
        </w:rPr>
        <w:t>.</w:t>
      </w:r>
      <w:r w:rsidR="00F13ED0">
        <w:rPr>
          <w:noProof/>
        </w:rPr>
        <w:t>6</w:t>
      </w:r>
      <w:r w:rsidR="003E1B2B">
        <w:rPr>
          <w:noProof/>
        </w:rPr>
        <w:t>% of prostate cancer patients and 86.6% of normals had responses to AR</w:t>
      </w:r>
      <w:r w:rsidR="00E04980">
        <w:rPr>
          <w:noProof/>
        </w:rPr>
        <w:t xml:space="preserve">. </w:t>
      </w:r>
    </w:p>
    <w:p w14:paraId="6593B590" w14:textId="58FB8891" w:rsidR="005924C9" w:rsidRDefault="00693CA6" w:rsidP="00EA2EF5">
      <w:pPr>
        <w:spacing w:line="480" w:lineRule="auto"/>
        <w:ind w:firstLine="720"/>
        <w:rPr>
          <w:noProof/>
        </w:rPr>
      </w:pPr>
      <w:r>
        <w:rPr>
          <w:noProof/>
        </w:rPr>
        <w:t xml:space="preserve">We </w:t>
      </w:r>
      <w:r w:rsidR="006125D0">
        <w:rPr>
          <w:noProof/>
        </w:rPr>
        <w:t xml:space="preserve">first tested whether </w:t>
      </w:r>
      <w:r>
        <w:rPr>
          <w:noProof/>
        </w:rPr>
        <w:t>there</w:t>
      </w:r>
      <w:r w:rsidR="006125D0">
        <w:rPr>
          <w:noProof/>
        </w:rPr>
        <w:t xml:space="preserve"> was</w:t>
      </w:r>
      <w:r>
        <w:rPr>
          <w:noProof/>
        </w:rPr>
        <w:t xml:space="preserve"> greater similarity between</w:t>
      </w:r>
      <w:r w:rsidR="00D413BE">
        <w:rPr>
          <w:noProof/>
        </w:rPr>
        <w:t xml:space="preserve"> antibody responses in</w:t>
      </w:r>
      <w:r>
        <w:rPr>
          <w:noProof/>
        </w:rPr>
        <w:t xml:space="preserve"> </w:t>
      </w:r>
      <w:r w:rsidR="001A182D">
        <w:rPr>
          <w:noProof/>
        </w:rPr>
        <w:t xml:space="preserve">two </w:t>
      </w:r>
      <w:r>
        <w:rPr>
          <w:noProof/>
        </w:rPr>
        <w:t xml:space="preserve">patients with the same </w:t>
      </w:r>
      <w:r w:rsidR="005F4ECB">
        <w:rPr>
          <w:noProof/>
        </w:rPr>
        <w:t xml:space="preserve">clinical state </w:t>
      </w:r>
      <w:r>
        <w:rPr>
          <w:noProof/>
        </w:rPr>
        <w:t xml:space="preserve">of disease compared to </w:t>
      </w:r>
      <w:r w:rsidR="001A182D">
        <w:rPr>
          <w:noProof/>
        </w:rPr>
        <w:t xml:space="preserve">two </w:t>
      </w:r>
      <w:r>
        <w:rPr>
          <w:noProof/>
        </w:rPr>
        <w:t xml:space="preserve">patients </w:t>
      </w:r>
      <w:r w:rsidR="001A182D">
        <w:rPr>
          <w:noProof/>
        </w:rPr>
        <w:t>with different</w:t>
      </w:r>
      <w:r w:rsidR="00947BC5">
        <w:rPr>
          <w:noProof/>
        </w:rPr>
        <w:t xml:space="preserve"> states</w:t>
      </w:r>
      <w:r>
        <w:rPr>
          <w:noProof/>
        </w:rPr>
        <w:t xml:space="preserve"> of disease. </w:t>
      </w:r>
      <w:r w:rsidR="0075419A">
        <w:rPr>
          <w:noProof/>
        </w:rPr>
        <w:t>However, w</w:t>
      </w:r>
      <w:r w:rsidR="00CC3B8B">
        <w:rPr>
          <w:noProof/>
        </w:rPr>
        <w:t xml:space="preserve">hen we calculated mean correlation coefficients </w:t>
      </w:r>
      <w:r w:rsidR="00773345">
        <w:rPr>
          <w:noProof/>
        </w:rPr>
        <w:t>among</w:t>
      </w:r>
      <w:r w:rsidR="00CC3B8B">
        <w:rPr>
          <w:noProof/>
        </w:rPr>
        <w:t xml:space="preserve"> patients in each combination of</w:t>
      </w:r>
      <w:r w:rsidR="000A2C8D">
        <w:rPr>
          <w:noProof/>
        </w:rPr>
        <w:t xml:space="preserve"> clinical states</w:t>
      </w:r>
      <w:r w:rsidR="00CC3B8B">
        <w:rPr>
          <w:noProof/>
        </w:rPr>
        <w:t xml:space="preserve">, we saw no significant increase in correlation coefficients among patients within the same </w:t>
      </w:r>
      <w:r w:rsidR="000A2C8D">
        <w:rPr>
          <w:noProof/>
        </w:rPr>
        <w:t>clinical state</w:t>
      </w:r>
      <w:r w:rsidR="0036321B">
        <w:rPr>
          <w:noProof/>
        </w:rPr>
        <w:t xml:space="preserve"> </w:t>
      </w:r>
      <w:r w:rsidR="00CC3B8B">
        <w:rPr>
          <w:noProof/>
        </w:rPr>
        <w:t>(Fig 1D</w:t>
      </w:r>
      <w:r w:rsidR="00D0204A">
        <w:rPr>
          <w:noProof/>
        </w:rPr>
        <w:t>)</w:t>
      </w:r>
      <w:r w:rsidR="00C240A7">
        <w:rPr>
          <w:noProof/>
        </w:rPr>
        <w:t xml:space="preserve">. </w:t>
      </w:r>
      <w:r w:rsidR="00936D4D">
        <w:rPr>
          <w:noProof/>
        </w:rPr>
        <w:t>Included in this</w:t>
      </w:r>
      <w:r w:rsidR="009748E5">
        <w:rPr>
          <w:noProof/>
        </w:rPr>
        <w:t xml:space="preserve"> study</w:t>
      </w:r>
      <w:r w:rsidR="00F27CB7">
        <w:rPr>
          <w:noProof/>
        </w:rPr>
        <w:t xml:space="preserve"> were </w:t>
      </w:r>
      <w:r w:rsidR="00C31FEC">
        <w:rPr>
          <w:noProof/>
        </w:rPr>
        <w:t>6</w:t>
      </w:r>
      <w:r w:rsidR="00F27CB7">
        <w:rPr>
          <w:noProof/>
        </w:rPr>
        <w:t xml:space="preserve"> patients who had serum collected </w:t>
      </w:r>
      <w:r w:rsidR="00936D4D">
        <w:rPr>
          <w:noProof/>
        </w:rPr>
        <w:t>at different time points</w:t>
      </w:r>
      <w:r w:rsidR="009748E5">
        <w:rPr>
          <w:noProof/>
        </w:rPr>
        <w:t>:</w:t>
      </w:r>
      <w:r w:rsidR="00936D4D">
        <w:rPr>
          <w:noProof/>
        </w:rPr>
        <w:t xml:space="preserve"> </w:t>
      </w:r>
      <w:r w:rsidR="00F27CB7">
        <w:rPr>
          <w:noProof/>
        </w:rPr>
        <w:t xml:space="preserve">when they </w:t>
      </w:r>
      <w:r w:rsidR="001C7D0A">
        <w:rPr>
          <w:noProof/>
        </w:rPr>
        <w:t>had an early stage of disease and again when they had a later stage of disease</w:t>
      </w:r>
      <w:r w:rsidR="00F27CB7">
        <w:rPr>
          <w:noProof/>
        </w:rPr>
        <w:t>. Notably, these serum samples from the same patient</w:t>
      </w:r>
      <w:r w:rsidR="00727C0C">
        <w:rPr>
          <w:noProof/>
        </w:rPr>
        <w:t>s</w:t>
      </w:r>
      <w:r w:rsidR="00F27CB7">
        <w:rPr>
          <w:noProof/>
        </w:rPr>
        <w:t xml:space="preserve"> had especially high correlation coefficients</w:t>
      </w:r>
      <w:r w:rsidR="00AD3CC2">
        <w:rPr>
          <w:noProof/>
        </w:rPr>
        <w:t xml:space="preserve"> (Fig 1E). </w:t>
      </w:r>
      <w:r w:rsidR="00205191">
        <w:rPr>
          <w:noProof/>
        </w:rPr>
        <w:t>This indicates that each patient has a unique antibody signature that is relatively stable over time. In contrast, patient</w:t>
      </w:r>
      <w:r w:rsidR="00D05AE5">
        <w:rPr>
          <w:noProof/>
        </w:rPr>
        <w:t xml:space="preserve">s exhibit highly heterogenous patterns of antibody responses when compared to other patients with </w:t>
      </w:r>
      <w:r w:rsidR="008679D1">
        <w:rPr>
          <w:noProof/>
        </w:rPr>
        <w:t>similar</w:t>
      </w:r>
      <w:r w:rsidR="00773345">
        <w:rPr>
          <w:noProof/>
        </w:rPr>
        <w:t xml:space="preserve"> stages of </w:t>
      </w:r>
      <w:r w:rsidR="008679D1">
        <w:rPr>
          <w:noProof/>
        </w:rPr>
        <w:t>disease.</w:t>
      </w:r>
      <w:r w:rsidR="00D05AE5">
        <w:rPr>
          <w:noProof/>
        </w:rPr>
        <w:t xml:space="preserve"> </w:t>
      </w:r>
    </w:p>
    <w:p w14:paraId="4F5C8BED" w14:textId="2C29C33F" w:rsidR="00DE31F3" w:rsidRDefault="003F1504" w:rsidP="003F1504">
      <w:pPr>
        <w:rPr>
          <w:noProof/>
        </w:rPr>
      </w:pPr>
      <w:r>
        <w:rPr>
          <w:noProof/>
        </w:rPr>
        <w:lastRenderedPageBreak/>
        <w:drawing>
          <wp:inline distT="0" distB="0" distL="0" distR="0" wp14:anchorId="5C06C5AC" wp14:editId="01173BDD">
            <wp:extent cx="5934710" cy="59347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710" cy="5934710"/>
                    </a:xfrm>
                    <a:prstGeom prst="rect">
                      <a:avLst/>
                    </a:prstGeom>
                    <a:noFill/>
                    <a:ln>
                      <a:noFill/>
                    </a:ln>
                  </pic:spPr>
                </pic:pic>
              </a:graphicData>
            </a:graphic>
          </wp:inline>
        </w:drawing>
      </w:r>
    </w:p>
    <w:p w14:paraId="10834A91" w14:textId="7A9B2C23" w:rsidR="005B0350" w:rsidRPr="00B847A9" w:rsidRDefault="00476FFC" w:rsidP="00B847A9">
      <w:pPr>
        <w:pStyle w:val="Caption"/>
        <w:rPr>
          <w:i w:val="0"/>
          <w:iCs w:val="0"/>
          <w:color w:val="auto"/>
          <w:sz w:val="22"/>
          <w:szCs w:val="22"/>
        </w:rPr>
      </w:pPr>
      <w:r w:rsidRPr="00B0456B">
        <w:rPr>
          <w:b/>
          <w:bCs/>
          <w:i w:val="0"/>
          <w:iCs w:val="0"/>
          <w:color w:val="auto"/>
          <w:sz w:val="22"/>
          <w:szCs w:val="22"/>
        </w:rPr>
        <w:t xml:space="preserve">Figure </w:t>
      </w:r>
      <w:r w:rsidRPr="00B0456B">
        <w:rPr>
          <w:b/>
          <w:bCs/>
          <w:i w:val="0"/>
          <w:iCs w:val="0"/>
          <w:color w:val="auto"/>
          <w:sz w:val="22"/>
          <w:szCs w:val="22"/>
        </w:rPr>
        <w:fldChar w:fldCharType="begin"/>
      </w:r>
      <w:r w:rsidRPr="00B0456B">
        <w:rPr>
          <w:b/>
          <w:bCs/>
          <w:i w:val="0"/>
          <w:iCs w:val="0"/>
          <w:color w:val="auto"/>
          <w:sz w:val="22"/>
          <w:szCs w:val="22"/>
        </w:rPr>
        <w:instrText xml:space="preserve"> SEQ Figure \* ARABIC </w:instrText>
      </w:r>
      <w:r w:rsidRPr="00B0456B">
        <w:rPr>
          <w:b/>
          <w:bCs/>
          <w:i w:val="0"/>
          <w:iCs w:val="0"/>
          <w:color w:val="auto"/>
          <w:sz w:val="22"/>
          <w:szCs w:val="22"/>
        </w:rPr>
        <w:fldChar w:fldCharType="separate"/>
      </w:r>
      <w:r w:rsidR="00F86EB8">
        <w:rPr>
          <w:b/>
          <w:bCs/>
          <w:i w:val="0"/>
          <w:iCs w:val="0"/>
          <w:noProof/>
          <w:color w:val="auto"/>
          <w:sz w:val="22"/>
          <w:szCs w:val="22"/>
        </w:rPr>
        <w:t>1</w:t>
      </w:r>
      <w:r w:rsidRPr="00B0456B">
        <w:rPr>
          <w:b/>
          <w:bCs/>
          <w:i w:val="0"/>
          <w:iCs w:val="0"/>
          <w:color w:val="auto"/>
          <w:sz w:val="22"/>
          <w:szCs w:val="22"/>
        </w:rPr>
        <w:fldChar w:fldCharType="end"/>
      </w:r>
      <w:r w:rsidRPr="00B0456B">
        <w:rPr>
          <w:b/>
          <w:bCs/>
          <w:i w:val="0"/>
          <w:iCs w:val="0"/>
          <w:color w:val="auto"/>
          <w:sz w:val="22"/>
          <w:szCs w:val="22"/>
        </w:rPr>
        <w:t>.</w:t>
      </w:r>
      <w:r w:rsidRPr="00B0456B">
        <w:rPr>
          <w:i w:val="0"/>
          <w:iCs w:val="0"/>
          <w:color w:val="auto"/>
          <w:sz w:val="22"/>
          <w:szCs w:val="22"/>
        </w:rPr>
        <w:t xml:space="preserve"> A prostate cancer-specific microarray </w:t>
      </w:r>
      <w:proofErr w:type="gramStart"/>
      <w:r w:rsidR="00B0456B">
        <w:rPr>
          <w:i w:val="0"/>
          <w:iCs w:val="0"/>
          <w:color w:val="auto"/>
          <w:sz w:val="22"/>
          <w:szCs w:val="22"/>
        </w:rPr>
        <w:t>is able to</w:t>
      </w:r>
      <w:proofErr w:type="gramEnd"/>
      <w:r w:rsidR="00B0456B">
        <w:rPr>
          <w:i w:val="0"/>
          <w:iCs w:val="0"/>
          <w:color w:val="auto"/>
          <w:sz w:val="22"/>
          <w:szCs w:val="22"/>
        </w:rPr>
        <w:t xml:space="preserve"> reproducibly</w:t>
      </w:r>
      <w:r w:rsidR="003D04DE">
        <w:rPr>
          <w:i w:val="0"/>
          <w:iCs w:val="0"/>
          <w:color w:val="auto"/>
          <w:sz w:val="22"/>
          <w:szCs w:val="22"/>
        </w:rPr>
        <w:t xml:space="preserve"> measure</w:t>
      </w:r>
      <w:r w:rsidR="00B0456B">
        <w:rPr>
          <w:i w:val="0"/>
          <w:iCs w:val="0"/>
          <w:color w:val="auto"/>
          <w:sz w:val="22"/>
          <w:szCs w:val="22"/>
        </w:rPr>
        <w:t xml:space="preserve"> antibody signatures </w:t>
      </w:r>
      <w:r w:rsidR="00B04547">
        <w:rPr>
          <w:i w:val="0"/>
          <w:iCs w:val="0"/>
          <w:color w:val="auto"/>
          <w:sz w:val="22"/>
          <w:szCs w:val="22"/>
        </w:rPr>
        <w:t xml:space="preserve">from </w:t>
      </w:r>
      <w:r w:rsidR="00D4792C">
        <w:rPr>
          <w:i w:val="0"/>
          <w:iCs w:val="0"/>
          <w:color w:val="auto"/>
          <w:sz w:val="22"/>
          <w:szCs w:val="22"/>
        </w:rPr>
        <w:t>serum</w:t>
      </w:r>
      <w:r w:rsidR="00B04547">
        <w:rPr>
          <w:i w:val="0"/>
          <w:iCs w:val="0"/>
          <w:color w:val="auto"/>
          <w:sz w:val="22"/>
          <w:szCs w:val="22"/>
        </w:rPr>
        <w:t xml:space="preserve"> </w:t>
      </w:r>
      <w:r w:rsidR="00B0456B">
        <w:rPr>
          <w:i w:val="0"/>
          <w:iCs w:val="0"/>
          <w:color w:val="auto"/>
          <w:sz w:val="22"/>
          <w:szCs w:val="22"/>
        </w:rPr>
        <w:t xml:space="preserve">of healthy individuals and prostate cancer patients. </w:t>
      </w:r>
      <w:r w:rsidR="003452A3">
        <w:rPr>
          <w:i w:val="0"/>
          <w:iCs w:val="0"/>
          <w:color w:val="auto"/>
          <w:sz w:val="22"/>
          <w:szCs w:val="22"/>
        </w:rPr>
        <w:t xml:space="preserve">Summary of the </w:t>
      </w:r>
      <w:r w:rsidR="00DA6CAA" w:rsidRPr="003452A3">
        <w:rPr>
          <w:b/>
          <w:bCs/>
          <w:i w:val="0"/>
          <w:iCs w:val="0"/>
          <w:color w:val="auto"/>
          <w:sz w:val="22"/>
          <w:szCs w:val="22"/>
        </w:rPr>
        <w:t>a)</w:t>
      </w:r>
      <w:r w:rsidR="00DA6CAA">
        <w:rPr>
          <w:i w:val="0"/>
          <w:iCs w:val="0"/>
          <w:color w:val="auto"/>
          <w:sz w:val="22"/>
          <w:szCs w:val="22"/>
        </w:rPr>
        <w:t xml:space="preserve"> </w:t>
      </w:r>
      <w:r w:rsidR="003452A3">
        <w:rPr>
          <w:i w:val="0"/>
          <w:iCs w:val="0"/>
          <w:color w:val="auto"/>
          <w:sz w:val="22"/>
          <w:szCs w:val="22"/>
        </w:rPr>
        <w:t xml:space="preserve">subcellular localization and </w:t>
      </w:r>
      <w:r w:rsidR="003452A3" w:rsidRPr="003452A3">
        <w:rPr>
          <w:b/>
          <w:bCs/>
          <w:i w:val="0"/>
          <w:iCs w:val="0"/>
          <w:color w:val="auto"/>
          <w:sz w:val="22"/>
          <w:szCs w:val="22"/>
        </w:rPr>
        <w:t>b)</w:t>
      </w:r>
      <w:r w:rsidR="003452A3">
        <w:rPr>
          <w:b/>
          <w:bCs/>
          <w:i w:val="0"/>
          <w:iCs w:val="0"/>
          <w:color w:val="auto"/>
          <w:sz w:val="22"/>
          <w:szCs w:val="22"/>
        </w:rPr>
        <w:t xml:space="preserve"> </w:t>
      </w:r>
      <w:r w:rsidR="003452A3">
        <w:rPr>
          <w:i w:val="0"/>
          <w:iCs w:val="0"/>
          <w:color w:val="auto"/>
          <w:sz w:val="22"/>
          <w:szCs w:val="22"/>
        </w:rPr>
        <w:t>length in amino acids of all 16</w:t>
      </w:r>
      <w:r w:rsidR="008861CD">
        <w:rPr>
          <w:i w:val="0"/>
          <w:iCs w:val="0"/>
          <w:color w:val="auto"/>
          <w:sz w:val="22"/>
          <w:szCs w:val="22"/>
        </w:rPr>
        <w:t>1</w:t>
      </w:r>
      <w:r w:rsidR="003452A3">
        <w:rPr>
          <w:i w:val="0"/>
          <w:iCs w:val="0"/>
          <w:color w:val="auto"/>
          <w:sz w:val="22"/>
          <w:szCs w:val="22"/>
        </w:rPr>
        <w:t xml:space="preserve">1 unique proteins on the array according to </w:t>
      </w:r>
      <w:proofErr w:type="spellStart"/>
      <w:r w:rsidR="003452A3">
        <w:rPr>
          <w:i w:val="0"/>
          <w:iCs w:val="0"/>
          <w:color w:val="auto"/>
          <w:sz w:val="22"/>
          <w:szCs w:val="22"/>
        </w:rPr>
        <w:t>UniProt</w:t>
      </w:r>
      <w:proofErr w:type="spellEnd"/>
      <w:r w:rsidR="003452A3">
        <w:rPr>
          <w:i w:val="0"/>
          <w:iCs w:val="0"/>
          <w:color w:val="auto"/>
          <w:sz w:val="22"/>
          <w:szCs w:val="22"/>
        </w:rPr>
        <w:t>.</w:t>
      </w:r>
      <w:r w:rsidR="00DC6A87">
        <w:rPr>
          <w:i w:val="0"/>
          <w:iCs w:val="0"/>
          <w:color w:val="auto"/>
          <w:sz w:val="22"/>
          <w:szCs w:val="22"/>
        </w:rPr>
        <w:t xml:space="preserve"> </w:t>
      </w:r>
      <w:r w:rsidR="00DC6A87">
        <w:rPr>
          <w:b/>
          <w:bCs/>
          <w:i w:val="0"/>
          <w:iCs w:val="0"/>
          <w:color w:val="auto"/>
          <w:sz w:val="22"/>
          <w:szCs w:val="22"/>
        </w:rPr>
        <w:t>c)</w:t>
      </w:r>
      <w:r w:rsidR="00DC6A87">
        <w:rPr>
          <w:i w:val="0"/>
          <w:iCs w:val="0"/>
          <w:color w:val="auto"/>
          <w:sz w:val="22"/>
          <w:szCs w:val="22"/>
        </w:rPr>
        <w:t xml:space="preserve"> The mean correlation coefficient</w:t>
      </w:r>
      <w:r w:rsidR="00981025">
        <w:rPr>
          <w:i w:val="0"/>
          <w:iCs w:val="0"/>
          <w:color w:val="auto"/>
          <w:sz w:val="22"/>
          <w:szCs w:val="22"/>
        </w:rPr>
        <w:t xml:space="preserve"> among</w:t>
      </w:r>
      <w:r w:rsidR="00DC6A87">
        <w:rPr>
          <w:i w:val="0"/>
          <w:iCs w:val="0"/>
          <w:color w:val="auto"/>
          <w:sz w:val="22"/>
          <w:szCs w:val="22"/>
        </w:rPr>
        <w:t xml:space="preserve"> all pairs of different individuals </w:t>
      </w:r>
      <w:r w:rsidR="000B3034">
        <w:rPr>
          <w:i w:val="0"/>
          <w:iCs w:val="0"/>
          <w:color w:val="auto"/>
          <w:sz w:val="22"/>
          <w:szCs w:val="22"/>
        </w:rPr>
        <w:t>(</w:t>
      </w:r>
      <w:r w:rsidR="000B3034">
        <w:rPr>
          <w:color w:val="auto"/>
          <w:sz w:val="22"/>
          <w:szCs w:val="22"/>
        </w:rPr>
        <w:t>Average Pair)</w:t>
      </w:r>
      <w:r w:rsidR="000B3034">
        <w:rPr>
          <w:i w:val="0"/>
          <w:iCs w:val="0"/>
          <w:color w:val="auto"/>
          <w:sz w:val="22"/>
          <w:szCs w:val="22"/>
        </w:rPr>
        <w:t xml:space="preserve"> </w:t>
      </w:r>
      <w:r w:rsidR="00DC6A87">
        <w:rPr>
          <w:i w:val="0"/>
          <w:iCs w:val="0"/>
          <w:color w:val="auto"/>
          <w:sz w:val="22"/>
          <w:szCs w:val="22"/>
        </w:rPr>
        <w:t>compared to the average correlation coefficient</w:t>
      </w:r>
      <w:r w:rsidR="00981025">
        <w:rPr>
          <w:i w:val="0"/>
          <w:iCs w:val="0"/>
          <w:color w:val="auto"/>
          <w:sz w:val="22"/>
          <w:szCs w:val="22"/>
        </w:rPr>
        <w:t xml:space="preserve"> among</w:t>
      </w:r>
      <w:r w:rsidR="00DC6A87">
        <w:rPr>
          <w:i w:val="0"/>
          <w:iCs w:val="0"/>
          <w:color w:val="auto"/>
          <w:sz w:val="22"/>
          <w:szCs w:val="22"/>
        </w:rPr>
        <w:t xml:space="preserve"> all technical replicates</w:t>
      </w:r>
      <w:r w:rsidR="000B3034">
        <w:rPr>
          <w:i w:val="0"/>
          <w:iCs w:val="0"/>
          <w:color w:val="auto"/>
          <w:sz w:val="22"/>
          <w:szCs w:val="22"/>
        </w:rPr>
        <w:t xml:space="preserve"> (</w:t>
      </w:r>
      <w:r w:rsidR="000B3034">
        <w:rPr>
          <w:color w:val="auto"/>
          <w:sz w:val="22"/>
          <w:szCs w:val="22"/>
        </w:rPr>
        <w:t>Replicate</w:t>
      </w:r>
      <w:r w:rsidR="000B3034">
        <w:rPr>
          <w:i w:val="0"/>
          <w:iCs w:val="0"/>
          <w:color w:val="auto"/>
          <w:sz w:val="22"/>
          <w:szCs w:val="22"/>
        </w:rPr>
        <w:t>)</w:t>
      </w:r>
      <w:r w:rsidR="00DC6A87">
        <w:rPr>
          <w:i w:val="0"/>
          <w:iCs w:val="0"/>
          <w:color w:val="auto"/>
          <w:sz w:val="22"/>
          <w:szCs w:val="22"/>
        </w:rPr>
        <w:t xml:space="preserve">. Error bars represent standard deviation. </w:t>
      </w:r>
      <w:r w:rsidR="00DC6A87">
        <w:rPr>
          <w:b/>
          <w:bCs/>
          <w:i w:val="0"/>
          <w:iCs w:val="0"/>
          <w:color w:val="auto"/>
          <w:sz w:val="22"/>
          <w:szCs w:val="22"/>
        </w:rPr>
        <w:t xml:space="preserve">d) </w:t>
      </w:r>
      <w:r w:rsidR="00DC6A87">
        <w:rPr>
          <w:i w:val="0"/>
          <w:iCs w:val="0"/>
          <w:color w:val="auto"/>
          <w:sz w:val="22"/>
          <w:szCs w:val="22"/>
        </w:rPr>
        <w:t>Heatmap of the correlation coefficient</w:t>
      </w:r>
      <w:r w:rsidR="005232F4">
        <w:rPr>
          <w:i w:val="0"/>
          <w:iCs w:val="0"/>
          <w:color w:val="auto"/>
          <w:sz w:val="22"/>
          <w:szCs w:val="22"/>
        </w:rPr>
        <w:t xml:space="preserve"> among</w:t>
      </w:r>
      <w:r w:rsidR="00AC2140">
        <w:rPr>
          <w:i w:val="0"/>
          <w:iCs w:val="0"/>
          <w:color w:val="auto"/>
          <w:sz w:val="22"/>
          <w:szCs w:val="22"/>
        </w:rPr>
        <w:t xml:space="preserve"> individuals and members of different stages of disease. </w:t>
      </w:r>
      <w:r w:rsidR="00AC2140">
        <w:rPr>
          <w:b/>
          <w:bCs/>
          <w:i w:val="0"/>
          <w:iCs w:val="0"/>
          <w:color w:val="auto"/>
          <w:sz w:val="22"/>
          <w:szCs w:val="22"/>
        </w:rPr>
        <w:t>e)</w:t>
      </w:r>
      <w:r w:rsidR="00AC2140">
        <w:rPr>
          <w:i w:val="0"/>
          <w:iCs w:val="0"/>
          <w:color w:val="auto"/>
          <w:sz w:val="22"/>
          <w:szCs w:val="22"/>
        </w:rPr>
        <w:t xml:space="preserve"> </w:t>
      </w:r>
      <w:r w:rsidR="00025D6E">
        <w:rPr>
          <w:i w:val="0"/>
          <w:iCs w:val="0"/>
          <w:color w:val="auto"/>
          <w:sz w:val="22"/>
          <w:szCs w:val="22"/>
        </w:rPr>
        <w:t>Each dot represents the correlation coefficient between antibody responses in two different serum samples. Do</w:t>
      </w:r>
      <w:r w:rsidR="00AC2140">
        <w:rPr>
          <w:i w:val="0"/>
          <w:iCs w:val="0"/>
          <w:color w:val="auto"/>
          <w:sz w:val="22"/>
          <w:szCs w:val="22"/>
        </w:rPr>
        <w:t xml:space="preserve">ts marked in red </w:t>
      </w:r>
      <w:r w:rsidR="00025D6E">
        <w:rPr>
          <w:i w:val="0"/>
          <w:iCs w:val="0"/>
          <w:color w:val="auto"/>
          <w:sz w:val="22"/>
          <w:szCs w:val="22"/>
        </w:rPr>
        <w:t xml:space="preserve">are </w:t>
      </w:r>
      <w:r w:rsidR="00E068CC">
        <w:rPr>
          <w:i w:val="0"/>
          <w:iCs w:val="0"/>
          <w:color w:val="auto"/>
          <w:sz w:val="22"/>
          <w:szCs w:val="22"/>
        </w:rPr>
        <w:t>instances when the same individual had serum collected at two different stages of disease</w:t>
      </w:r>
      <w:r w:rsidR="00FA67F2">
        <w:rPr>
          <w:i w:val="0"/>
          <w:iCs w:val="0"/>
          <w:color w:val="auto"/>
          <w:sz w:val="22"/>
          <w:szCs w:val="22"/>
        </w:rPr>
        <w:t xml:space="preserve">. </w:t>
      </w:r>
      <w:r w:rsidR="00AC2140">
        <w:rPr>
          <w:i w:val="0"/>
          <w:iCs w:val="0"/>
          <w:color w:val="auto"/>
          <w:sz w:val="22"/>
          <w:szCs w:val="22"/>
        </w:rPr>
        <w:t xml:space="preserve"> </w:t>
      </w:r>
    </w:p>
    <w:p w14:paraId="7175F75E" w14:textId="4CC55CE6" w:rsidR="005B0350" w:rsidRDefault="005B0350" w:rsidP="000D4EBF">
      <w:pPr>
        <w:spacing w:line="480" w:lineRule="auto"/>
        <w:ind w:firstLine="720"/>
      </w:pPr>
      <w:r>
        <w:lastRenderedPageBreak/>
        <w:t xml:space="preserve">We </w:t>
      </w:r>
      <w:r w:rsidR="006125D0">
        <w:t xml:space="preserve">next tested the </w:t>
      </w:r>
      <w:r>
        <w:t>hypothesi</w:t>
      </w:r>
      <w:r w:rsidR="006125D0">
        <w:t xml:space="preserve">s </w:t>
      </w:r>
      <w:r>
        <w:t xml:space="preserve">that patients with </w:t>
      </w:r>
      <w:r w:rsidR="00A743B4">
        <w:t>higher disease bu</w:t>
      </w:r>
      <w:r>
        <w:t>rden would recognize more peptides</w:t>
      </w:r>
      <w:r w:rsidR="004920EE">
        <w:t xml:space="preserve"> </w:t>
      </w:r>
      <w:r w:rsidR="00383115">
        <w:t xml:space="preserve">because </w:t>
      </w:r>
      <w:r w:rsidR="002557F4">
        <w:t xml:space="preserve">of increased presentation </w:t>
      </w:r>
      <w:r w:rsidR="00892E6D">
        <w:t xml:space="preserve">of cancer-associated epitopes </w:t>
      </w:r>
      <w:r w:rsidR="004920EE">
        <w:t>[citation]</w:t>
      </w:r>
      <w:r>
        <w:t>. To assess this, we needed to define a positive antibody response. We considered probes with fluorescence intensity of at least 2</w:t>
      </w:r>
      <w:r>
        <w:rPr>
          <w:vertAlign w:val="superscript"/>
        </w:rPr>
        <w:t>12</w:t>
      </w:r>
      <w:r w:rsidR="008104B6">
        <w:t xml:space="preserve"> </w:t>
      </w:r>
      <w:r>
        <w:t>and sliding window p value less than 0.05</w:t>
      </w:r>
      <w:r w:rsidR="005822DE">
        <w:t xml:space="preserve"> </w:t>
      </w:r>
      <w:r w:rsidR="006869BA">
        <w:t xml:space="preserve">(indicating high signal in adjacent peptides) </w:t>
      </w:r>
      <w:r>
        <w:t>in at least 2 of the 3 technical replicates to be positive</w:t>
      </w:r>
      <w:r w:rsidR="005822DE">
        <w:t xml:space="preserve"> as previously described</w:t>
      </w:r>
      <w:r w:rsidR="005822DE">
        <w:fldChar w:fldCharType="begin"/>
      </w:r>
      <w:r w:rsidR="00ED26A9">
        <w:instrText xml:space="preserve"> ADDIN ZOTERO_ITEM CSL_CITATION {"citationID":"oYbZ4K0y","properties":{"formattedCitation":"\\super 10\\nosupersub{}","plainCitation":"10","noteIndex":0},"citationItems":[{"id":1009,"uris":["http://zotero.org/users/5058535/items/YBYGYE6J"],"uri":["http://zotero.org/users/5058535/items/YBYGYE6J"],"itemData":{"id":1009,"type":"article-journal","abstract":"Objective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rsidR="005822DE">
        <w:fldChar w:fldCharType="separate"/>
      </w:r>
      <w:r w:rsidR="00ED26A9" w:rsidRPr="00ED26A9">
        <w:rPr>
          <w:rFonts w:ascii="Calibri" w:hAnsi="Calibri" w:cs="Calibri"/>
          <w:szCs w:val="24"/>
          <w:vertAlign w:val="superscript"/>
        </w:rPr>
        <w:t>10</w:t>
      </w:r>
      <w:r w:rsidR="005822DE">
        <w:fldChar w:fldCharType="end"/>
      </w:r>
      <w:r>
        <w:t xml:space="preserve">. </w:t>
      </w:r>
      <w:r w:rsidR="003E6B8F">
        <w:t xml:space="preserve">Two </w:t>
      </w:r>
      <w:r>
        <w:t>example</w:t>
      </w:r>
      <w:r w:rsidR="003E6B8F">
        <w:t>s</w:t>
      </w:r>
      <w:r>
        <w:t xml:space="preserve"> of positive call</w:t>
      </w:r>
      <w:r w:rsidR="003E6B8F">
        <w:t>s</w:t>
      </w:r>
      <w:r>
        <w:t xml:space="preserve"> </w:t>
      </w:r>
      <w:r w:rsidR="003E6B8F">
        <w:t xml:space="preserve">are </w:t>
      </w:r>
      <w:r>
        <w:t xml:space="preserve">shown in Fig </w:t>
      </w:r>
      <w:r w:rsidR="00AF529B">
        <w:t>2A</w:t>
      </w:r>
      <w:r>
        <w:t xml:space="preserve">. </w:t>
      </w:r>
      <w:r w:rsidR="00A743B4">
        <w:t xml:space="preserve">We found no correlation between stage of disease and the number of </w:t>
      </w:r>
      <w:r w:rsidR="007908FD">
        <w:t>probes recognized at either the peptide level or the protein level</w:t>
      </w:r>
      <w:r w:rsidR="00D75ABC">
        <w:t>. The median number of proteins recognized were 32</w:t>
      </w:r>
      <w:r w:rsidR="000E67E1">
        <w:t>1</w:t>
      </w:r>
      <w:r w:rsidR="00D75ABC">
        <w:t xml:space="preserve"> for </w:t>
      </w:r>
      <w:proofErr w:type="spellStart"/>
      <w:r w:rsidR="00D75ABC">
        <w:t>normals</w:t>
      </w:r>
      <w:proofErr w:type="spellEnd"/>
      <w:r w:rsidR="00D75ABC">
        <w:t>, 30</w:t>
      </w:r>
      <w:r w:rsidR="000E67E1">
        <w:t>3</w:t>
      </w:r>
      <w:r w:rsidR="00D75ABC">
        <w:t xml:space="preserve"> for new dx, 35</w:t>
      </w:r>
      <w:r w:rsidR="000E67E1">
        <w:t>3</w:t>
      </w:r>
      <w:r w:rsidR="00D75ABC">
        <w:t xml:space="preserve"> for </w:t>
      </w:r>
      <w:proofErr w:type="spellStart"/>
      <w:r w:rsidR="00D75ABC">
        <w:t>nmCSPC</w:t>
      </w:r>
      <w:proofErr w:type="spellEnd"/>
      <w:r w:rsidR="00D75ABC">
        <w:t xml:space="preserve">, 249 for </w:t>
      </w:r>
      <w:proofErr w:type="spellStart"/>
      <w:r w:rsidR="00D75ABC">
        <w:t>nmCRPC</w:t>
      </w:r>
      <w:proofErr w:type="spellEnd"/>
      <w:r w:rsidR="00D75ABC">
        <w:t>, and 32</w:t>
      </w:r>
      <w:r w:rsidR="000E67E1">
        <w:t>0</w:t>
      </w:r>
      <w:r w:rsidR="00D75ABC">
        <w:t xml:space="preserve"> for </w:t>
      </w:r>
      <w:proofErr w:type="spellStart"/>
      <w:r w:rsidR="00D75ABC">
        <w:t>mCRPC</w:t>
      </w:r>
      <w:proofErr w:type="spellEnd"/>
      <w:r w:rsidR="000D4EBF">
        <w:t xml:space="preserve"> </w:t>
      </w:r>
      <w:r w:rsidR="007908FD">
        <w:t>(Fig 2</w:t>
      </w:r>
      <w:r w:rsidR="00056FC1">
        <w:t>B</w:t>
      </w:r>
      <w:r w:rsidR="007908FD">
        <w:t>, 2</w:t>
      </w:r>
      <w:r w:rsidR="00056FC1">
        <w:t>C</w:t>
      </w:r>
      <w:r w:rsidR="007908FD">
        <w:t>).</w:t>
      </w:r>
      <w:r w:rsidR="00F47B8F">
        <w:t xml:space="preserve"> We also expected that proteins </w:t>
      </w:r>
      <w:r w:rsidR="003D113D">
        <w:t>that were expressed at higher levels in metastatic prostate cancer would be recognized at greater levels in patients with metastatic prostate cancer</w:t>
      </w:r>
      <w:r w:rsidR="00140BA1">
        <w:t xml:space="preserve"> and that this correlation would not be present in normal controls. </w:t>
      </w:r>
      <w:r w:rsidR="006A6D9B">
        <w:t xml:space="preserve">We observed no such correlation in any stage of disease (Fig </w:t>
      </w:r>
      <w:r w:rsidR="00304054">
        <w:t>2</w:t>
      </w:r>
      <w:r w:rsidR="005A5D29">
        <w:t>D</w:t>
      </w:r>
      <w:r w:rsidR="006A6D9B">
        <w:t>).</w:t>
      </w:r>
      <w:r w:rsidR="00807D54">
        <w:t xml:space="preserve"> There</w:t>
      </w:r>
      <w:r w:rsidR="00F57545">
        <w:t xml:space="preserve"> wa</w:t>
      </w:r>
      <w:r w:rsidR="00807D54">
        <w:t xml:space="preserve">s a substantial amount of heterogeneity in antibody responses </w:t>
      </w:r>
      <w:r w:rsidR="005655E6">
        <w:t>among</w:t>
      </w:r>
      <w:r w:rsidR="00807D54">
        <w:t xml:space="preserve"> patients, which appear</w:t>
      </w:r>
      <w:r w:rsidR="00F57545">
        <w:t>ed</w:t>
      </w:r>
      <w:r w:rsidR="006D4769">
        <w:t xml:space="preserve"> to dominate over any potential trends at the stage level. </w:t>
      </w:r>
      <w:r w:rsidR="00B81D42">
        <w:t>For instance, the number of</w:t>
      </w:r>
      <w:r w:rsidR="001F515C">
        <w:t xml:space="preserve"> proteins</w:t>
      </w:r>
      <w:r w:rsidR="00B81D42">
        <w:t xml:space="preserve"> recognized by normal controls </w:t>
      </w:r>
      <w:r w:rsidR="000123B3">
        <w:t>ranged from 18</w:t>
      </w:r>
      <w:r w:rsidR="00B25D77">
        <w:t>8</w:t>
      </w:r>
      <w:r w:rsidR="000123B3">
        <w:t xml:space="preserve"> to 92</w:t>
      </w:r>
      <w:r w:rsidR="00825EA6">
        <w:t>2</w:t>
      </w:r>
      <w:r w:rsidR="000123B3">
        <w:t>.</w:t>
      </w:r>
      <w:r w:rsidR="00F12FEB">
        <w:t xml:space="preserve"> </w:t>
      </w:r>
    </w:p>
    <w:p w14:paraId="626DFEC4" w14:textId="17D04F8E" w:rsidR="00E31BE5" w:rsidRPr="00D76F47" w:rsidRDefault="00E31BE5">
      <w:r>
        <w:br w:type="page"/>
      </w:r>
    </w:p>
    <w:p w14:paraId="44822B36" w14:textId="77777777" w:rsidR="00B5463E" w:rsidRDefault="00B5463E" w:rsidP="00B5463E">
      <w:pPr>
        <w:pStyle w:val="Caption"/>
        <w:keepNext/>
      </w:pPr>
    </w:p>
    <w:p w14:paraId="4C85606D" w14:textId="51D92466" w:rsidR="00E31BE5" w:rsidRDefault="003F1504" w:rsidP="00B5463E">
      <w:pPr>
        <w:pStyle w:val="Caption"/>
        <w:rPr>
          <w:b/>
          <w:bCs/>
          <w:i w:val="0"/>
          <w:iCs w:val="0"/>
          <w:color w:val="auto"/>
          <w:sz w:val="22"/>
          <w:szCs w:val="22"/>
        </w:rPr>
      </w:pPr>
      <w:r>
        <w:rPr>
          <w:noProof/>
        </w:rPr>
        <w:drawing>
          <wp:inline distT="0" distB="0" distL="0" distR="0" wp14:anchorId="0282A3D9" wp14:editId="2A27BF0D">
            <wp:extent cx="5934710" cy="6470015"/>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6470015"/>
                    </a:xfrm>
                    <a:prstGeom prst="rect">
                      <a:avLst/>
                    </a:prstGeom>
                    <a:noFill/>
                    <a:ln>
                      <a:noFill/>
                    </a:ln>
                  </pic:spPr>
                </pic:pic>
              </a:graphicData>
            </a:graphic>
          </wp:inline>
        </w:drawing>
      </w:r>
    </w:p>
    <w:p w14:paraId="655AC084" w14:textId="3AAF8878" w:rsidR="00334A65" w:rsidRDefault="00B5463E" w:rsidP="00AF529B">
      <w:pPr>
        <w:pStyle w:val="Caption"/>
      </w:pPr>
      <w:r w:rsidRPr="00B5463E">
        <w:rPr>
          <w:b/>
          <w:bCs/>
          <w:i w:val="0"/>
          <w:iCs w:val="0"/>
          <w:color w:val="auto"/>
          <w:sz w:val="22"/>
          <w:szCs w:val="22"/>
        </w:rPr>
        <w:t xml:space="preserve">Figure </w:t>
      </w:r>
      <w:r w:rsidRPr="00B5463E">
        <w:rPr>
          <w:b/>
          <w:bCs/>
          <w:i w:val="0"/>
          <w:iCs w:val="0"/>
          <w:color w:val="auto"/>
          <w:sz w:val="22"/>
          <w:szCs w:val="22"/>
        </w:rPr>
        <w:fldChar w:fldCharType="begin"/>
      </w:r>
      <w:r w:rsidRPr="00B5463E">
        <w:rPr>
          <w:b/>
          <w:bCs/>
          <w:i w:val="0"/>
          <w:iCs w:val="0"/>
          <w:color w:val="auto"/>
          <w:sz w:val="22"/>
          <w:szCs w:val="22"/>
        </w:rPr>
        <w:instrText xml:space="preserve"> SEQ Figure \* ARABIC </w:instrText>
      </w:r>
      <w:r w:rsidRPr="00B5463E">
        <w:rPr>
          <w:b/>
          <w:bCs/>
          <w:i w:val="0"/>
          <w:iCs w:val="0"/>
          <w:color w:val="auto"/>
          <w:sz w:val="22"/>
          <w:szCs w:val="22"/>
        </w:rPr>
        <w:fldChar w:fldCharType="separate"/>
      </w:r>
      <w:r w:rsidR="00F86EB8">
        <w:rPr>
          <w:b/>
          <w:bCs/>
          <w:i w:val="0"/>
          <w:iCs w:val="0"/>
          <w:noProof/>
          <w:color w:val="auto"/>
          <w:sz w:val="22"/>
          <w:szCs w:val="22"/>
        </w:rPr>
        <w:t>2</w:t>
      </w:r>
      <w:r w:rsidRPr="00B5463E">
        <w:rPr>
          <w:b/>
          <w:bCs/>
          <w:i w:val="0"/>
          <w:iCs w:val="0"/>
          <w:color w:val="auto"/>
          <w:sz w:val="22"/>
          <w:szCs w:val="22"/>
        </w:rPr>
        <w:fldChar w:fldCharType="end"/>
      </w:r>
      <w:r w:rsidRPr="00B5463E">
        <w:rPr>
          <w:i w:val="0"/>
          <w:iCs w:val="0"/>
          <w:color w:val="auto"/>
          <w:sz w:val="22"/>
          <w:szCs w:val="22"/>
        </w:rPr>
        <w:t>. Frequency of protein</w:t>
      </w:r>
      <w:r w:rsidR="00BB1ABB">
        <w:rPr>
          <w:i w:val="0"/>
          <w:iCs w:val="0"/>
          <w:color w:val="auto"/>
          <w:sz w:val="22"/>
          <w:szCs w:val="22"/>
        </w:rPr>
        <w:t xml:space="preserve"> recognition</w:t>
      </w:r>
      <w:r w:rsidRPr="00B5463E">
        <w:rPr>
          <w:i w:val="0"/>
          <w:iCs w:val="0"/>
          <w:color w:val="auto"/>
          <w:sz w:val="22"/>
          <w:szCs w:val="22"/>
        </w:rPr>
        <w:t xml:space="preserve"> does not correlate with stage of disease or expression level of each protein in prostate cancer.</w:t>
      </w:r>
      <w:r w:rsidR="006906E1">
        <w:rPr>
          <w:i w:val="0"/>
          <w:iCs w:val="0"/>
          <w:color w:val="auto"/>
          <w:sz w:val="22"/>
          <w:szCs w:val="22"/>
        </w:rPr>
        <w:t xml:space="preserve"> </w:t>
      </w:r>
      <w:r w:rsidR="00B847A9">
        <w:rPr>
          <w:b/>
          <w:bCs/>
          <w:i w:val="0"/>
          <w:iCs w:val="0"/>
          <w:color w:val="auto"/>
          <w:sz w:val="22"/>
          <w:szCs w:val="22"/>
        </w:rPr>
        <w:t xml:space="preserve">a) </w:t>
      </w:r>
      <w:r w:rsidR="00B847A9">
        <w:rPr>
          <w:i w:val="0"/>
          <w:iCs w:val="0"/>
          <w:color w:val="auto"/>
          <w:sz w:val="22"/>
          <w:szCs w:val="22"/>
        </w:rPr>
        <w:t xml:space="preserve">Example microarray data for technical replicates of a single protein (ADT14) with the </w:t>
      </w:r>
      <w:proofErr w:type="gramStart"/>
      <w:r w:rsidR="00B847A9">
        <w:rPr>
          <w:i w:val="0"/>
          <w:iCs w:val="0"/>
          <w:color w:val="auto"/>
          <w:sz w:val="22"/>
          <w:szCs w:val="22"/>
        </w:rPr>
        <w:t>2</w:t>
      </w:r>
      <w:r w:rsidR="00B847A9">
        <w:rPr>
          <w:i w:val="0"/>
          <w:iCs w:val="0"/>
          <w:color w:val="auto"/>
          <w:sz w:val="22"/>
          <w:szCs w:val="22"/>
          <w:vertAlign w:val="superscript"/>
        </w:rPr>
        <w:t xml:space="preserve">12 </w:t>
      </w:r>
      <w:r w:rsidR="00B847A9">
        <w:rPr>
          <w:i w:val="0"/>
          <w:iCs w:val="0"/>
          <w:color w:val="auto"/>
          <w:sz w:val="22"/>
          <w:szCs w:val="22"/>
        </w:rPr>
        <w:t>signal</w:t>
      </w:r>
      <w:proofErr w:type="gramEnd"/>
      <w:r w:rsidR="00B847A9">
        <w:rPr>
          <w:i w:val="0"/>
          <w:iCs w:val="0"/>
          <w:color w:val="auto"/>
          <w:sz w:val="22"/>
          <w:szCs w:val="22"/>
        </w:rPr>
        <w:t xml:space="preserve"> threshold indicated by the dashed line. Positive calls are marked in red. In yellow is a negative call that did not meet the sliding window criterion. </w:t>
      </w:r>
      <w:r w:rsidR="00C85F82">
        <w:rPr>
          <w:i w:val="0"/>
          <w:iCs w:val="0"/>
          <w:color w:val="auto"/>
          <w:sz w:val="22"/>
          <w:szCs w:val="22"/>
        </w:rPr>
        <w:t xml:space="preserve">The number of </w:t>
      </w:r>
      <w:r w:rsidR="00B847A9">
        <w:rPr>
          <w:b/>
          <w:bCs/>
          <w:i w:val="0"/>
          <w:iCs w:val="0"/>
          <w:color w:val="auto"/>
          <w:sz w:val="22"/>
          <w:szCs w:val="22"/>
        </w:rPr>
        <w:t>b</w:t>
      </w:r>
      <w:r>
        <w:rPr>
          <w:b/>
          <w:bCs/>
          <w:i w:val="0"/>
          <w:iCs w:val="0"/>
          <w:color w:val="auto"/>
          <w:sz w:val="22"/>
          <w:szCs w:val="22"/>
        </w:rPr>
        <w:t>)</w:t>
      </w:r>
      <w:r w:rsidR="00C85F82">
        <w:rPr>
          <w:b/>
          <w:bCs/>
          <w:i w:val="0"/>
          <w:iCs w:val="0"/>
          <w:color w:val="auto"/>
          <w:sz w:val="22"/>
          <w:szCs w:val="22"/>
        </w:rPr>
        <w:t xml:space="preserve"> </w:t>
      </w:r>
      <w:r w:rsidR="00C85F82">
        <w:rPr>
          <w:i w:val="0"/>
          <w:iCs w:val="0"/>
          <w:color w:val="auto"/>
          <w:sz w:val="22"/>
          <w:szCs w:val="22"/>
        </w:rPr>
        <w:t xml:space="preserve">peptides </w:t>
      </w:r>
      <w:r w:rsidR="000874A2">
        <w:rPr>
          <w:i w:val="0"/>
          <w:iCs w:val="0"/>
          <w:color w:val="auto"/>
          <w:sz w:val="22"/>
          <w:szCs w:val="22"/>
        </w:rPr>
        <w:t>and</w:t>
      </w:r>
      <w:r w:rsidR="00C85F82">
        <w:rPr>
          <w:i w:val="0"/>
          <w:iCs w:val="0"/>
          <w:color w:val="auto"/>
          <w:sz w:val="22"/>
          <w:szCs w:val="22"/>
        </w:rPr>
        <w:t xml:space="preserve"> </w:t>
      </w:r>
      <w:r w:rsidR="00B847A9">
        <w:rPr>
          <w:b/>
          <w:bCs/>
          <w:i w:val="0"/>
          <w:iCs w:val="0"/>
          <w:color w:val="auto"/>
          <w:sz w:val="22"/>
          <w:szCs w:val="22"/>
        </w:rPr>
        <w:t>c</w:t>
      </w:r>
      <w:r w:rsidR="00C85F82">
        <w:rPr>
          <w:b/>
          <w:bCs/>
          <w:i w:val="0"/>
          <w:iCs w:val="0"/>
          <w:color w:val="auto"/>
          <w:sz w:val="22"/>
          <w:szCs w:val="22"/>
        </w:rPr>
        <w:t>)</w:t>
      </w:r>
      <w:r w:rsidR="00C85F82">
        <w:rPr>
          <w:i w:val="0"/>
          <w:iCs w:val="0"/>
          <w:color w:val="auto"/>
          <w:sz w:val="22"/>
          <w:szCs w:val="22"/>
        </w:rPr>
        <w:t xml:space="preserve"> proteins recognized by each patient</w:t>
      </w:r>
      <w:r w:rsidR="00222A79">
        <w:rPr>
          <w:i w:val="0"/>
          <w:iCs w:val="0"/>
          <w:color w:val="auto"/>
          <w:sz w:val="22"/>
          <w:szCs w:val="22"/>
        </w:rPr>
        <w:t>,</w:t>
      </w:r>
      <w:r w:rsidR="007469B9">
        <w:rPr>
          <w:i w:val="0"/>
          <w:iCs w:val="0"/>
          <w:color w:val="auto"/>
          <w:sz w:val="22"/>
          <w:szCs w:val="22"/>
        </w:rPr>
        <w:t xml:space="preserve"> categorized</w:t>
      </w:r>
      <w:r w:rsidR="00222A79">
        <w:rPr>
          <w:i w:val="0"/>
          <w:iCs w:val="0"/>
          <w:color w:val="auto"/>
          <w:sz w:val="22"/>
          <w:szCs w:val="22"/>
        </w:rPr>
        <w:t xml:space="preserve"> by </w:t>
      </w:r>
      <w:r w:rsidR="00C85F82">
        <w:rPr>
          <w:i w:val="0"/>
          <w:iCs w:val="0"/>
          <w:color w:val="auto"/>
          <w:sz w:val="22"/>
          <w:szCs w:val="22"/>
        </w:rPr>
        <w:t>stage of disease.</w:t>
      </w:r>
      <w:r w:rsidR="00702472">
        <w:rPr>
          <w:i w:val="0"/>
          <w:iCs w:val="0"/>
          <w:color w:val="auto"/>
          <w:sz w:val="22"/>
          <w:szCs w:val="22"/>
        </w:rPr>
        <w:t xml:space="preserve"> </w:t>
      </w:r>
      <w:r w:rsidR="00B847A9">
        <w:rPr>
          <w:b/>
          <w:bCs/>
          <w:i w:val="0"/>
          <w:iCs w:val="0"/>
          <w:color w:val="auto"/>
          <w:sz w:val="22"/>
          <w:szCs w:val="22"/>
        </w:rPr>
        <w:t>d</w:t>
      </w:r>
      <w:r w:rsidR="00702472">
        <w:rPr>
          <w:b/>
          <w:bCs/>
          <w:i w:val="0"/>
          <w:iCs w:val="0"/>
          <w:color w:val="auto"/>
          <w:sz w:val="22"/>
          <w:szCs w:val="22"/>
        </w:rPr>
        <w:t>)</w:t>
      </w:r>
      <w:r w:rsidR="00702472">
        <w:rPr>
          <w:i w:val="0"/>
          <w:iCs w:val="0"/>
          <w:color w:val="auto"/>
          <w:sz w:val="22"/>
          <w:szCs w:val="22"/>
        </w:rPr>
        <w:t xml:space="preserve"> Scatterplot of the expression level of each protein as measured by RNA-seq compared to the percent of patients recognizing </w:t>
      </w:r>
      <w:r w:rsidR="00B37188">
        <w:rPr>
          <w:i w:val="0"/>
          <w:iCs w:val="0"/>
          <w:color w:val="auto"/>
          <w:sz w:val="22"/>
          <w:szCs w:val="22"/>
        </w:rPr>
        <w:t xml:space="preserve">the </w:t>
      </w:r>
      <w:r w:rsidR="00702472">
        <w:rPr>
          <w:i w:val="0"/>
          <w:iCs w:val="0"/>
          <w:color w:val="auto"/>
          <w:sz w:val="22"/>
          <w:szCs w:val="22"/>
        </w:rPr>
        <w:t>protein,</w:t>
      </w:r>
      <w:r w:rsidR="00056BA7">
        <w:rPr>
          <w:i w:val="0"/>
          <w:iCs w:val="0"/>
          <w:color w:val="auto"/>
          <w:sz w:val="22"/>
          <w:szCs w:val="22"/>
        </w:rPr>
        <w:t xml:space="preserve"> categorized</w:t>
      </w:r>
      <w:r w:rsidR="00702472">
        <w:rPr>
          <w:i w:val="0"/>
          <w:iCs w:val="0"/>
          <w:color w:val="auto"/>
          <w:sz w:val="22"/>
          <w:szCs w:val="22"/>
        </w:rPr>
        <w:t xml:space="preserve"> by stage of disease. The blue line represents a</w:t>
      </w:r>
      <w:r w:rsidR="00587723">
        <w:rPr>
          <w:i w:val="0"/>
          <w:iCs w:val="0"/>
          <w:color w:val="auto"/>
          <w:sz w:val="22"/>
          <w:szCs w:val="22"/>
        </w:rPr>
        <w:t xml:space="preserve"> linear </w:t>
      </w:r>
      <w:r w:rsidR="00723DCE">
        <w:rPr>
          <w:i w:val="0"/>
          <w:iCs w:val="0"/>
          <w:color w:val="auto"/>
          <w:sz w:val="22"/>
          <w:szCs w:val="22"/>
        </w:rPr>
        <w:t xml:space="preserve">best </w:t>
      </w:r>
      <w:r w:rsidR="00587723">
        <w:rPr>
          <w:i w:val="0"/>
          <w:iCs w:val="0"/>
          <w:color w:val="auto"/>
          <w:sz w:val="22"/>
          <w:szCs w:val="22"/>
        </w:rPr>
        <w:t>fit.</w:t>
      </w:r>
      <w:r w:rsidR="00B52728">
        <w:br w:type="page"/>
      </w:r>
    </w:p>
    <w:p w14:paraId="62F91CF1" w14:textId="1E0BC850" w:rsidR="00A34893" w:rsidRPr="00000F5A" w:rsidRDefault="00066D95" w:rsidP="006C5250">
      <w:pPr>
        <w:spacing w:line="480" w:lineRule="auto"/>
      </w:pPr>
      <w:r>
        <w:rPr>
          <w:b/>
          <w:bCs/>
        </w:rPr>
        <w:lastRenderedPageBreak/>
        <w:tab/>
      </w:r>
      <w:r>
        <w:t xml:space="preserve">Having established that </w:t>
      </w:r>
      <w:r w:rsidR="00084FEE">
        <w:t>the</w:t>
      </w:r>
      <w:r w:rsidR="00CF42CC">
        <w:t xml:space="preserve">re was a large diversity in </w:t>
      </w:r>
      <w:r w:rsidR="00084FEE">
        <w:t>antibody responses among patients</w:t>
      </w:r>
      <w:r>
        <w:t xml:space="preserve">, we </w:t>
      </w:r>
      <w:r w:rsidR="00250283">
        <w:t xml:space="preserve">next </w:t>
      </w:r>
      <w:r>
        <w:t>examined whether there were</w:t>
      </w:r>
      <w:r w:rsidR="00B66C25">
        <w:t xml:space="preserve"> any broad trends in </w:t>
      </w:r>
      <w:r w:rsidR="006745B0">
        <w:t xml:space="preserve">the </w:t>
      </w:r>
      <w:r w:rsidR="00B66C25">
        <w:t>types of proteins that were recognized</w:t>
      </w:r>
      <w:r>
        <w:t>.</w:t>
      </w:r>
      <w:r w:rsidR="00F14864">
        <w:t xml:space="preserve"> </w:t>
      </w:r>
      <w:r w:rsidR="00545C23">
        <w:t xml:space="preserve">Nearly all proteins </w:t>
      </w:r>
      <w:r w:rsidR="00250283">
        <w:t>(</w:t>
      </w:r>
      <w:r w:rsidR="00A26C9B">
        <w:t>1570</w:t>
      </w:r>
      <w:r w:rsidR="00250283">
        <w:t xml:space="preserve"> of </w:t>
      </w:r>
      <w:r w:rsidR="00A26C9B">
        <w:t>1611</w:t>
      </w:r>
      <w:r w:rsidR="00250283">
        <w:t>,</w:t>
      </w:r>
      <w:r w:rsidR="00A26C9B">
        <w:t xml:space="preserve"> 97%</w:t>
      </w:r>
      <w:r w:rsidR="00250283">
        <w:t xml:space="preserve">) </w:t>
      </w:r>
      <w:r w:rsidR="00545C23">
        <w:t xml:space="preserve">were recognized by at least patient. </w:t>
      </w:r>
      <w:r w:rsidR="00420F97">
        <w:t xml:space="preserve">Conversely, there were no proteins that were recognized by all patients. </w:t>
      </w:r>
      <w:r w:rsidR="005A7161">
        <w:t xml:space="preserve">Most proteins </w:t>
      </w:r>
      <w:r w:rsidR="001A0431">
        <w:t xml:space="preserve">(1326 of 1611, 82%) </w:t>
      </w:r>
      <w:r w:rsidR="005A7161">
        <w:t xml:space="preserve">were recognized by both </w:t>
      </w:r>
      <w:proofErr w:type="spellStart"/>
      <w:r w:rsidR="005A7161">
        <w:t>normal</w:t>
      </w:r>
      <w:r w:rsidR="00BF6173">
        <w:t>s</w:t>
      </w:r>
      <w:proofErr w:type="spellEnd"/>
      <w:r w:rsidR="00BF6173">
        <w:t xml:space="preserve"> </w:t>
      </w:r>
      <w:r w:rsidR="005A7161">
        <w:t>and cancer patients</w:t>
      </w:r>
      <w:r w:rsidR="00545C23">
        <w:t xml:space="preserve"> (Fig 3</w:t>
      </w:r>
      <w:r w:rsidR="00B54012">
        <w:t>A</w:t>
      </w:r>
      <w:r w:rsidR="00545C23">
        <w:t>)</w:t>
      </w:r>
      <w:r w:rsidR="005A7161">
        <w:t xml:space="preserve">. </w:t>
      </w:r>
      <w:r w:rsidR="0023375F">
        <w:t xml:space="preserve">Contrary to our expectations, the majority of </w:t>
      </w:r>
      <w:proofErr w:type="spellStart"/>
      <w:r w:rsidR="0023375F">
        <w:t>lncRNAs</w:t>
      </w:r>
      <w:proofErr w:type="spellEnd"/>
      <w:r w:rsidR="0023375F">
        <w:t xml:space="preserve"> </w:t>
      </w:r>
      <w:r w:rsidR="00E732DB">
        <w:t>(145 of 160, 9</w:t>
      </w:r>
      <w:r w:rsidR="002C732F">
        <w:t>1</w:t>
      </w:r>
      <w:r w:rsidR="00E732DB">
        <w:t xml:space="preserve">%) </w:t>
      </w:r>
      <w:r w:rsidR="0023375F">
        <w:t xml:space="preserve">were recognized by at least one patient. </w:t>
      </w:r>
      <w:r w:rsidR="00BF6173">
        <w:t xml:space="preserve">We identified </w:t>
      </w:r>
      <w:r w:rsidR="002407F1">
        <w:t>2</w:t>
      </w:r>
      <w:r w:rsidR="003F7308">
        <w:t>3</w:t>
      </w:r>
      <w:r w:rsidR="002407F1">
        <w:t xml:space="preserve"> </w:t>
      </w:r>
      <w:r w:rsidR="00BF6173">
        <w:t xml:space="preserve">proteins that were recognized by at least 90% of normal controls </w:t>
      </w:r>
      <w:r w:rsidR="00B34AA5">
        <w:t xml:space="preserve">(Normal </w:t>
      </w:r>
      <w:r w:rsidR="00C755CB">
        <w:t>P</w:t>
      </w:r>
      <w:r w:rsidR="00B34AA5">
        <w:t>roteins</w:t>
      </w:r>
      <w:r w:rsidR="00F93657">
        <w:t>, Supplementary Table 2</w:t>
      </w:r>
      <w:r w:rsidR="00B34AA5">
        <w:t>)</w:t>
      </w:r>
      <w:r w:rsidR="00697CCA">
        <w:t>. We found</w:t>
      </w:r>
      <w:r w:rsidR="00C55CD6">
        <w:t xml:space="preserve"> that m</w:t>
      </w:r>
      <w:r w:rsidR="00246899">
        <w:t>any</w:t>
      </w:r>
      <w:r w:rsidR="00C55CD6">
        <w:t xml:space="preserve"> of </w:t>
      </w:r>
      <w:r w:rsidR="00697CCA">
        <w:t xml:space="preserve">these </w:t>
      </w:r>
      <w:r w:rsidR="00C55CD6">
        <w:t xml:space="preserve">were </w:t>
      </w:r>
      <w:r w:rsidR="00250283">
        <w:t xml:space="preserve">nuclear </w:t>
      </w:r>
      <w:proofErr w:type="gramStart"/>
      <w:r w:rsidR="00250283">
        <w:t>proteins</w:t>
      </w:r>
      <w:r w:rsidR="00246899">
        <w:t>, but</w:t>
      </w:r>
      <w:proofErr w:type="gramEnd"/>
      <w:r w:rsidR="00246899">
        <w:t xml:space="preserve"> found </w:t>
      </w:r>
      <w:r w:rsidR="00C55CD6">
        <w:t xml:space="preserve">no specific </w:t>
      </w:r>
      <w:r w:rsidR="00246899">
        <w:t xml:space="preserve">features that were </w:t>
      </w:r>
      <w:r w:rsidR="00C55CD6">
        <w:t>enriched via gene ontology analysis</w:t>
      </w:r>
      <w:r w:rsidR="002F3014">
        <w:t xml:space="preserve"> (Fig 3B). </w:t>
      </w:r>
      <w:r w:rsidR="00590F25">
        <w:t>T</w:t>
      </w:r>
      <w:r w:rsidR="00FB5BBB">
        <w:t xml:space="preserve">hese </w:t>
      </w:r>
      <w:r w:rsidR="00B56D12">
        <w:t>proteins commonly recognized by</w:t>
      </w:r>
      <w:r w:rsidR="003A36D9">
        <w:t xml:space="preserve"> healthy</w:t>
      </w:r>
      <w:r w:rsidR="00B56D12">
        <w:t xml:space="preserve"> volunteer blood donors </w:t>
      </w:r>
      <w:r w:rsidR="00FB5BBB">
        <w:t xml:space="preserve">were also recognized at high levels by patients with each stage of cancer (Fig 3C). </w:t>
      </w:r>
      <w:r w:rsidR="00084FEE">
        <w:t>As expected,</w:t>
      </w:r>
      <w:r w:rsidR="008F6A4C">
        <w:t xml:space="preserve"> the largest category</w:t>
      </w:r>
      <w:r w:rsidR="00084FEE">
        <w:t xml:space="preserve"> of proteins that were never recognized were ORFs from </w:t>
      </w:r>
      <w:proofErr w:type="spellStart"/>
      <w:r w:rsidR="00084FEE">
        <w:t>lncRNAs</w:t>
      </w:r>
      <w:proofErr w:type="spellEnd"/>
      <w:r w:rsidR="00084FEE">
        <w:t xml:space="preserve">, as these </w:t>
      </w:r>
      <w:r w:rsidR="00B56D12">
        <w:t xml:space="preserve">would not normally be expected to </w:t>
      </w:r>
      <w:r w:rsidR="00084FEE">
        <w:t>be translated into gene products.</w:t>
      </w:r>
      <w:r w:rsidR="00F05028">
        <w:t xml:space="preserve"> (Fig 3D).  </w:t>
      </w:r>
    </w:p>
    <w:p w14:paraId="0916B9EE" w14:textId="7216988C" w:rsidR="00D76F47" w:rsidRDefault="003F1504" w:rsidP="00334A65">
      <w:pPr>
        <w:rPr>
          <w:b/>
          <w:bCs/>
        </w:rPr>
      </w:pPr>
      <w:r>
        <w:rPr>
          <w:b/>
          <w:bCs/>
          <w:noProof/>
        </w:rPr>
        <w:lastRenderedPageBreak/>
        <w:drawing>
          <wp:inline distT="0" distB="0" distL="0" distR="0" wp14:anchorId="62B5CC41" wp14:editId="47E9DED6">
            <wp:extent cx="5943600" cy="659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598920"/>
                    </a:xfrm>
                    <a:prstGeom prst="rect">
                      <a:avLst/>
                    </a:prstGeom>
                    <a:noFill/>
                    <a:ln>
                      <a:noFill/>
                    </a:ln>
                  </pic:spPr>
                </pic:pic>
              </a:graphicData>
            </a:graphic>
          </wp:inline>
        </w:drawing>
      </w:r>
    </w:p>
    <w:p w14:paraId="5D92DD9D" w14:textId="24374BCE" w:rsidR="00B673EA" w:rsidRDefault="00770BFF" w:rsidP="00334A65">
      <w:r w:rsidRPr="00770BFF">
        <w:rPr>
          <w:b/>
          <w:bCs/>
        </w:rPr>
        <w:t xml:space="preserve">Figure </w:t>
      </w:r>
      <w:r w:rsidRPr="00770BFF">
        <w:rPr>
          <w:b/>
          <w:bCs/>
          <w:i/>
          <w:iCs/>
        </w:rPr>
        <w:fldChar w:fldCharType="begin"/>
      </w:r>
      <w:r w:rsidRPr="00770BFF">
        <w:rPr>
          <w:b/>
          <w:bCs/>
        </w:rPr>
        <w:instrText xml:space="preserve"> SEQ Figure \* ARABIC </w:instrText>
      </w:r>
      <w:r w:rsidRPr="00770BFF">
        <w:rPr>
          <w:b/>
          <w:bCs/>
          <w:i/>
          <w:iCs/>
        </w:rPr>
        <w:fldChar w:fldCharType="separate"/>
      </w:r>
      <w:r w:rsidR="00F86EB8">
        <w:rPr>
          <w:b/>
          <w:bCs/>
          <w:noProof/>
        </w:rPr>
        <w:t>3</w:t>
      </w:r>
      <w:r w:rsidRPr="00770BFF">
        <w:rPr>
          <w:b/>
          <w:bCs/>
          <w:i/>
          <w:iCs/>
        </w:rPr>
        <w:fldChar w:fldCharType="end"/>
      </w:r>
      <w:r w:rsidRPr="00770BFF">
        <w:rPr>
          <w:b/>
          <w:bCs/>
        </w:rPr>
        <w:t>.</w:t>
      </w:r>
      <w:r w:rsidR="00AC7551">
        <w:rPr>
          <w:b/>
          <w:bCs/>
        </w:rPr>
        <w:t xml:space="preserve"> </w:t>
      </w:r>
      <w:r w:rsidR="007F4754">
        <w:t>Nearly all proteins are recognized by at least one patient and p</w:t>
      </w:r>
      <w:r w:rsidR="00AC7551">
        <w:t xml:space="preserve">roteins that are recognized by most normal </w:t>
      </w:r>
      <w:r w:rsidR="00AE79A1">
        <w:t>controls</w:t>
      </w:r>
      <w:r w:rsidR="00AC7551">
        <w:t xml:space="preserve"> are also recognized in all stages of cancer. </w:t>
      </w:r>
      <w:r w:rsidR="00EB0B2C">
        <w:rPr>
          <w:b/>
          <w:bCs/>
        </w:rPr>
        <w:t>a)</w:t>
      </w:r>
      <w:r w:rsidR="00EB0B2C">
        <w:t xml:space="preserve"> Percentage of proteins that are recognized by </w:t>
      </w:r>
      <w:r w:rsidR="00DD448E">
        <w:t>only normal patients (</w:t>
      </w:r>
      <w:r w:rsidR="00DD448E">
        <w:rPr>
          <w:i/>
          <w:iCs/>
        </w:rPr>
        <w:t>Normal-Exclusive</w:t>
      </w:r>
      <w:r w:rsidR="00DD448E" w:rsidRPr="00DD448E">
        <w:t>)</w:t>
      </w:r>
      <w:r w:rsidR="00DD448E">
        <w:t xml:space="preserve">, </w:t>
      </w:r>
      <w:r w:rsidR="006F6007">
        <w:t xml:space="preserve">percentage of proteins recognized by </w:t>
      </w:r>
      <w:r w:rsidR="00EB0B2C">
        <w:t>at least one normal patient</w:t>
      </w:r>
      <w:r w:rsidR="00815708">
        <w:t xml:space="preserve"> </w:t>
      </w:r>
      <w:r w:rsidR="00DD448E">
        <w:t xml:space="preserve">and one cancer patient </w:t>
      </w:r>
      <w:r w:rsidR="00815708">
        <w:t>(</w:t>
      </w:r>
      <w:r w:rsidR="00815708" w:rsidRPr="009A0307">
        <w:rPr>
          <w:i/>
          <w:iCs/>
        </w:rPr>
        <w:t>Normal</w:t>
      </w:r>
      <w:r w:rsidR="00DD448E">
        <w:rPr>
          <w:i/>
          <w:iCs/>
        </w:rPr>
        <w:t xml:space="preserve"> and Cancer</w:t>
      </w:r>
      <w:r w:rsidR="00815708">
        <w:t>)</w:t>
      </w:r>
      <w:r w:rsidR="00EB0B2C">
        <w:t xml:space="preserve">, percentage of proteins not recognized by any normal patients but recognized </w:t>
      </w:r>
      <w:r w:rsidR="004F437A">
        <w:t>by</w:t>
      </w:r>
      <w:r w:rsidR="00EB0B2C">
        <w:t xml:space="preserve"> at least one cancer patient</w:t>
      </w:r>
      <w:r w:rsidR="00815708">
        <w:t xml:space="preserve"> (</w:t>
      </w:r>
      <w:r w:rsidR="00815708" w:rsidRPr="009A0307">
        <w:rPr>
          <w:i/>
          <w:iCs/>
        </w:rPr>
        <w:t>Cancer</w:t>
      </w:r>
      <w:r w:rsidR="00050E3C">
        <w:rPr>
          <w:i/>
          <w:iCs/>
        </w:rPr>
        <w:t>-Exclusive</w:t>
      </w:r>
      <w:r w:rsidR="00815708">
        <w:t>)</w:t>
      </w:r>
      <w:r w:rsidR="00EB0B2C">
        <w:t>, and percentage not recognized at all</w:t>
      </w:r>
      <w:r w:rsidR="00815708">
        <w:t xml:space="preserve"> (</w:t>
      </w:r>
      <w:r w:rsidR="00815708" w:rsidRPr="009A0307">
        <w:rPr>
          <w:i/>
          <w:iCs/>
        </w:rPr>
        <w:t>Not Recognized</w:t>
      </w:r>
      <w:r w:rsidR="00815708">
        <w:t>)</w:t>
      </w:r>
      <w:r w:rsidR="006B1CD7">
        <w:t>, categorized by subcellular localization</w:t>
      </w:r>
      <w:r w:rsidR="00EB0B2C">
        <w:t xml:space="preserve">. </w:t>
      </w:r>
      <w:r w:rsidR="006B1CD7">
        <w:rPr>
          <w:b/>
          <w:bCs/>
        </w:rPr>
        <w:t>b)</w:t>
      </w:r>
      <w:r w:rsidR="00AB3331">
        <w:rPr>
          <w:b/>
          <w:bCs/>
        </w:rPr>
        <w:t xml:space="preserve"> </w:t>
      </w:r>
      <w:r w:rsidR="00AB3331">
        <w:t xml:space="preserve">Characteristics of proteins that are recognized by at least 90% of normal patients. </w:t>
      </w:r>
      <w:r w:rsidR="00AB3331">
        <w:rPr>
          <w:b/>
          <w:bCs/>
        </w:rPr>
        <w:t>c)</w:t>
      </w:r>
      <w:r w:rsidR="00AB3331">
        <w:t xml:space="preserve"> </w:t>
      </w:r>
      <w:r w:rsidR="00025D6E">
        <w:t xml:space="preserve">Histogram indicating the frequency </w:t>
      </w:r>
      <w:r w:rsidR="006216C4">
        <w:lastRenderedPageBreak/>
        <w:t xml:space="preserve">with which </w:t>
      </w:r>
      <w:r w:rsidR="00AB3331">
        <w:t>protein</w:t>
      </w:r>
      <w:r w:rsidR="009A0307">
        <w:t>s</w:t>
      </w:r>
      <w:r w:rsidR="00AB3331">
        <w:t xml:space="preserve"> from </w:t>
      </w:r>
      <w:r w:rsidR="00AB3331">
        <w:rPr>
          <w:b/>
          <w:bCs/>
        </w:rPr>
        <w:t>b</w:t>
      </w:r>
      <w:r w:rsidR="00AB3331">
        <w:t xml:space="preserve"> </w:t>
      </w:r>
      <w:r w:rsidR="00025D6E">
        <w:t xml:space="preserve">are recognized </w:t>
      </w:r>
      <w:r w:rsidR="004F437A">
        <w:t xml:space="preserve">by patients with </w:t>
      </w:r>
      <w:r w:rsidR="00AB3331">
        <w:t xml:space="preserve">each stage of cancer. </w:t>
      </w:r>
      <w:r w:rsidR="00AB3331">
        <w:rPr>
          <w:b/>
          <w:bCs/>
        </w:rPr>
        <w:t>d)</w:t>
      </w:r>
      <w:r w:rsidR="00AB3331">
        <w:t xml:space="preserve"> </w:t>
      </w:r>
      <w:r w:rsidR="00202C1C">
        <w:t xml:space="preserve">Characteristics </w:t>
      </w:r>
      <w:r w:rsidR="00AB3331">
        <w:t>of proteins that are never recognized.</w:t>
      </w:r>
    </w:p>
    <w:p w14:paraId="17343B67" w14:textId="77777777" w:rsidR="00B673EA" w:rsidRDefault="00B673EA">
      <w:r>
        <w:br w:type="page"/>
      </w:r>
    </w:p>
    <w:p w14:paraId="6118026F" w14:textId="58BF049F" w:rsidR="00334A65" w:rsidRDefault="00BC43A2" w:rsidP="00BC43A2">
      <w:pPr>
        <w:spacing w:line="480" w:lineRule="auto"/>
        <w:ind w:firstLine="720"/>
      </w:pPr>
      <w:r>
        <w:lastRenderedPageBreak/>
        <w:t>We found that there w</w:t>
      </w:r>
      <w:r w:rsidR="00B4306E">
        <w:t>ere</w:t>
      </w:r>
      <w:r>
        <w:t xml:space="preserve"> only </w:t>
      </w:r>
      <w:r w:rsidR="00B4306E">
        <w:t xml:space="preserve">three </w:t>
      </w:r>
      <w:r>
        <w:t>protein</w:t>
      </w:r>
      <w:r w:rsidR="00B4306E">
        <w:t xml:space="preserve">s </w:t>
      </w:r>
      <w:r>
        <w:t xml:space="preserve">that </w:t>
      </w:r>
      <w:r w:rsidR="00B4306E">
        <w:t xml:space="preserve">were </w:t>
      </w:r>
      <w:r>
        <w:t>recognized by a normal patient but not by any cancer patients</w:t>
      </w:r>
      <w:r w:rsidR="00B4306E">
        <w:t xml:space="preserve"> (Supplementary Table 3)</w:t>
      </w:r>
      <w:r>
        <w:t>. However, there was a group of 2</w:t>
      </w:r>
      <w:r w:rsidR="00087440">
        <w:t xml:space="preserve">41 </w:t>
      </w:r>
      <w:r>
        <w:t>proteins that were recognized exclusively in cancer patients (cancer-exclusive)</w:t>
      </w:r>
      <w:r w:rsidR="00B67554">
        <w:t xml:space="preserve"> as described in Fig 3A</w:t>
      </w:r>
      <w:r w:rsidR="00385F1D">
        <w:t xml:space="preserve"> and Supplementary Table </w:t>
      </w:r>
      <w:r w:rsidR="00B4306E">
        <w:t>4</w:t>
      </w:r>
      <w:r>
        <w:t xml:space="preserve">. </w:t>
      </w:r>
      <w:r w:rsidR="00CD2440">
        <w:t xml:space="preserve">We hypothesized that they would be more </w:t>
      </w:r>
      <w:r w:rsidR="00474EB3">
        <w:t>frequently</w:t>
      </w:r>
      <w:r w:rsidR="00CD2440">
        <w:t xml:space="preserve"> recognized in patients with later stage </w:t>
      </w:r>
      <w:proofErr w:type="gramStart"/>
      <w:r w:rsidR="00CD2440">
        <w:t>disease, but</w:t>
      </w:r>
      <w:proofErr w:type="gramEnd"/>
      <w:r w:rsidR="00CD2440">
        <w:t xml:space="preserve"> did not observe this correlation (Fig 4A</w:t>
      </w:r>
      <w:r w:rsidR="004F7919">
        <w:t>)</w:t>
      </w:r>
      <w:r w:rsidR="00CD2440">
        <w:t xml:space="preserve">. </w:t>
      </w:r>
      <w:r w:rsidR="006816A0">
        <w:t xml:space="preserve">These cancer-exclusive proteins were significantly enriched for ribosomal and mitochondrial proteins as determined by gene ontology </w:t>
      </w:r>
      <w:r w:rsidR="00820318">
        <w:t xml:space="preserve">(GO) </w:t>
      </w:r>
      <w:r w:rsidR="006816A0">
        <w:t>analy</w:t>
      </w:r>
      <w:bookmarkStart w:id="5" w:name="_GoBack"/>
      <w:bookmarkEnd w:id="5"/>
      <w:r w:rsidR="006816A0">
        <w:t>si</w:t>
      </w:r>
      <w:r w:rsidR="00AB5799">
        <w:t xml:space="preserve">s (Fig </w:t>
      </w:r>
      <w:r w:rsidR="00937C70">
        <w:t>4</w:t>
      </w:r>
      <w:r w:rsidR="00AB5799">
        <w:t xml:space="preserve">B). </w:t>
      </w:r>
      <w:r w:rsidR="004D176E">
        <w:t xml:space="preserve">While many of these proteins were recognized at relatively low levels, some were recognized by nearly </w:t>
      </w:r>
      <w:r w:rsidR="00927B98">
        <w:t>60</w:t>
      </w:r>
      <w:r w:rsidR="004D176E">
        <w:t xml:space="preserve">% of patients </w:t>
      </w:r>
      <w:proofErr w:type="gramStart"/>
      <w:r w:rsidR="004D176E">
        <w:t>in a given</w:t>
      </w:r>
      <w:proofErr w:type="gramEnd"/>
      <w:r w:rsidR="004D176E">
        <w:t xml:space="preserve"> stage</w:t>
      </w:r>
      <w:r w:rsidR="0053305A">
        <w:t xml:space="preserve"> (Fig 4C).  </w:t>
      </w:r>
      <w:r w:rsidR="008F00C4">
        <w:t xml:space="preserve">GO process analysis revealed that cancer-exclusive </w:t>
      </w:r>
      <w:r w:rsidR="00123578">
        <w:t xml:space="preserve">proteins were associated with regulation of translation, nonsense-mediated </w:t>
      </w:r>
      <w:r w:rsidR="00D24564">
        <w:t xml:space="preserve">mRNA </w:t>
      </w:r>
      <w:r w:rsidR="00123578">
        <w:t xml:space="preserve">decay, and protein targeting (Fig 4D). </w:t>
      </w:r>
      <w:r w:rsidR="00846B92">
        <w:t xml:space="preserve">We also examined proteins that </w:t>
      </w:r>
      <w:r w:rsidR="00385F1D">
        <w:t xml:space="preserve">were either exclusively </w:t>
      </w:r>
      <w:r w:rsidR="00A86D64">
        <w:t>recognized</w:t>
      </w:r>
      <w:r w:rsidR="00385F1D">
        <w:t xml:space="preserve"> </w:t>
      </w:r>
      <w:r w:rsidR="00520DB6">
        <w:t>by</w:t>
      </w:r>
      <w:r w:rsidR="00385F1D">
        <w:t xml:space="preserve"> patients with</w:t>
      </w:r>
      <w:r w:rsidR="003955CF">
        <w:t xml:space="preserve"> </w:t>
      </w:r>
      <w:proofErr w:type="spellStart"/>
      <w:r w:rsidR="003955CF">
        <w:t>mCRPC</w:t>
      </w:r>
      <w:proofErr w:type="spellEnd"/>
      <w:r w:rsidR="00385F1D">
        <w:t xml:space="preserve"> or were recognized at least two-fold more often in these patients than in patients with other stages of disease (</w:t>
      </w:r>
      <w:proofErr w:type="spellStart"/>
      <w:r w:rsidR="00A02FD6">
        <w:t>mCRPC</w:t>
      </w:r>
      <w:proofErr w:type="spellEnd"/>
      <w:r w:rsidR="00A02FD6">
        <w:t>-</w:t>
      </w:r>
      <w:r w:rsidR="00385F1D">
        <w:t xml:space="preserve">enriched proteins). We identified </w:t>
      </w:r>
      <w:r w:rsidR="008E31E8">
        <w:t>31</w:t>
      </w:r>
      <w:r w:rsidR="00385F1D">
        <w:t xml:space="preserve"> of these proteins (Supp</w:t>
      </w:r>
      <w:r w:rsidR="00E04D9A">
        <w:t>lementary</w:t>
      </w:r>
      <w:r w:rsidR="00385F1D">
        <w:t xml:space="preserve"> Table </w:t>
      </w:r>
      <w:r w:rsidR="00896817">
        <w:t>5</w:t>
      </w:r>
      <w:r w:rsidR="00385F1D">
        <w:t>).</w:t>
      </w:r>
      <w:r w:rsidR="00D02380">
        <w:t xml:space="preserve"> Over half</w:t>
      </w:r>
      <w:r w:rsidR="00DC32F4">
        <w:t xml:space="preserve"> </w:t>
      </w:r>
      <w:r w:rsidR="00D02380">
        <w:t xml:space="preserve">(16 of 31, 51%) of </w:t>
      </w:r>
      <w:r w:rsidR="00DC32F4">
        <w:t xml:space="preserve">these </w:t>
      </w:r>
      <w:r w:rsidR="006D62AC">
        <w:t xml:space="preserve">proteins were mitochondrial, ribosomal, or </w:t>
      </w:r>
      <w:proofErr w:type="spellStart"/>
      <w:r w:rsidR="006D62AC">
        <w:t>lncRNAs</w:t>
      </w:r>
      <w:proofErr w:type="spellEnd"/>
      <w:r w:rsidR="006C0884">
        <w:t xml:space="preserve"> </w:t>
      </w:r>
      <w:r w:rsidR="001C749F">
        <w:t>(Fig 4</w:t>
      </w:r>
      <w:r w:rsidR="00132015">
        <w:t>E</w:t>
      </w:r>
      <w:r w:rsidR="001C749F">
        <w:t>)</w:t>
      </w:r>
      <w:r w:rsidR="006D62AC">
        <w:t xml:space="preserve">. </w:t>
      </w:r>
      <w:r w:rsidR="000676DE">
        <w:t>GO analysis revealed that a significant number of proteins involved were associated with nuclear division</w:t>
      </w:r>
      <w:r w:rsidR="00B05CC8">
        <w:t xml:space="preserve">. </w:t>
      </w:r>
      <w:r w:rsidR="00000F5A">
        <w:br w:type="page"/>
      </w:r>
    </w:p>
    <w:p w14:paraId="1563A2F2" w14:textId="43E0A5A3" w:rsidR="00A34893" w:rsidRDefault="003F1504" w:rsidP="00886FF0">
      <w:pPr>
        <w:keepNext/>
        <w:rPr>
          <w:noProof/>
        </w:rPr>
      </w:pPr>
      <w:r>
        <w:rPr>
          <w:noProof/>
        </w:rPr>
        <w:lastRenderedPageBreak/>
        <w:drawing>
          <wp:inline distT="0" distB="0" distL="0" distR="0" wp14:anchorId="27E2C673" wp14:editId="386633D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321DF4D" w14:textId="64595FD4" w:rsidR="00D0784D" w:rsidRDefault="00EF689C" w:rsidP="00C272B1">
      <w:pPr>
        <w:keepNext/>
      </w:pPr>
      <w:r w:rsidRPr="00EF689C">
        <w:rPr>
          <w:b/>
          <w:bCs/>
        </w:rPr>
        <w:t xml:space="preserve">Figure </w:t>
      </w:r>
      <w:r w:rsidRPr="00EF689C">
        <w:rPr>
          <w:b/>
          <w:bCs/>
          <w:i/>
          <w:iCs/>
        </w:rPr>
        <w:fldChar w:fldCharType="begin"/>
      </w:r>
      <w:r w:rsidRPr="00EF689C">
        <w:rPr>
          <w:b/>
          <w:bCs/>
        </w:rPr>
        <w:instrText xml:space="preserve"> SEQ Figure \* ARABIC </w:instrText>
      </w:r>
      <w:r w:rsidRPr="00EF689C">
        <w:rPr>
          <w:b/>
          <w:bCs/>
          <w:i/>
          <w:iCs/>
        </w:rPr>
        <w:fldChar w:fldCharType="separate"/>
      </w:r>
      <w:r w:rsidR="00F86EB8">
        <w:rPr>
          <w:b/>
          <w:bCs/>
          <w:noProof/>
        </w:rPr>
        <w:t>4</w:t>
      </w:r>
      <w:r w:rsidRPr="00EF689C">
        <w:rPr>
          <w:b/>
          <w:bCs/>
          <w:i/>
          <w:iCs/>
        </w:rPr>
        <w:fldChar w:fldCharType="end"/>
      </w:r>
      <w:r>
        <w:rPr>
          <w:b/>
          <w:bCs/>
        </w:rPr>
        <w:t>.</w:t>
      </w:r>
      <w:r>
        <w:t xml:space="preserve"> </w:t>
      </w:r>
      <w:r w:rsidR="000B6E47">
        <w:t>Patients with</w:t>
      </w:r>
      <w:r w:rsidR="009E6B2E">
        <w:t xml:space="preserve"> </w:t>
      </w:r>
      <w:proofErr w:type="spellStart"/>
      <w:r w:rsidR="009E6B2E">
        <w:t>mCRPC</w:t>
      </w:r>
      <w:proofErr w:type="spellEnd"/>
      <w:r w:rsidR="000B6E47">
        <w:t xml:space="preserve"> </w:t>
      </w:r>
      <w:r w:rsidR="009511DC">
        <w:t xml:space="preserve">preferentially recognize </w:t>
      </w:r>
      <w:r w:rsidR="000B6E47">
        <w:t>mitochondrial</w:t>
      </w:r>
      <w:r w:rsidR="009511DC">
        <w:t>, ribosomal, and lncRNA gene products</w:t>
      </w:r>
      <w:r w:rsidR="000B6E47">
        <w:t xml:space="preserve">. </w:t>
      </w:r>
      <w:r w:rsidR="00E95C58">
        <w:rPr>
          <w:b/>
          <w:bCs/>
        </w:rPr>
        <w:t>a)</w:t>
      </w:r>
      <w:r w:rsidR="00E95C58">
        <w:t xml:space="preserve"> The number of cancer</w:t>
      </w:r>
      <w:r w:rsidR="00D4792C">
        <w:t>-exclusive</w:t>
      </w:r>
      <w:r w:rsidR="00E95C58">
        <w:t xml:space="preserve"> proteins that are recognized by patients in each stage. </w:t>
      </w:r>
      <w:r w:rsidR="002A5A68">
        <w:rPr>
          <w:b/>
          <w:bCs/>
        </w:rPr>
        <w:t xml:space="preserve">b) </w:t>
      </w:r>
      <w:r w:rsidR="002A5A68">
        <w:t>G</w:t>
      </w:r>
      <w:r w:rsidR="00AD17FE">
        <w:t>O</w:t>
      </w:r>
      <w:r w:rsidR="002A5A68">
        <w:t xml:space="preserve"> </w:t>
      </w:r>
      <w:r w:rsidR="00827E71">
        <w:t xml:space="preserve">cellular component </w:t>
      </w:r>
      <w:r w:rsidR="002A5A68">
        <w:t>results using cancer</w:t>
      </w:r>
      <w:r w:rsidR="00D4792C">
        <w:t>-exclusive</w:t>
      </w:r>
      <w:r w:rsidR="002A5A68">
        <w:t xml:space="preserve"> proteins as the target set and the full list of proteins on the array as the background set. </w:t>
      </w:r>
      <w:r w:rsidR="002A5A68">
        <w:rPr>
          <w:b/>
          <w:bCs/>
        </w:rPr>
        <w:t>c)</w:t>
      </w:r>
      <w:r w:rsidR="00FA1076">
        <w:rPr>
          <w:b/>
          <w:bCs/>
        </w:rPr>
        <w:t xml:space="preserve"> </w:t>
      </w:r>
      <w:r w:rsidR="00B673EA">
        <w:t xml:space="preserve">Histogram indicating the frequency with which proteins from </w:t>
      </w:r>
      <w:r w:rsidR="00B673EA">
        <w:rPr>
          <w:b/>
          <w:bCs/>
        </w:rPr>
        <w:t>a</w:t>
      </w:r>
      <w:r w:rsidR="00B673EA">
        <w:t xml:space="preserve"> are recognized by patients with each stage of cancer. </w:t>
      </w:r>
      <w:r w:rsidR="00B673EA">
        <w:rPr>
          <w:b/>
          <w:bCs/>
        </w:rPr>
        <w:t xml:space="preserve">d) </w:t>
      </w:r>
      <w:commentRangeStart w:id="6"/>
      <w:commentRangeStart w:id="7"/>
      <w:commentRangeStart w:id="8"/>
      <w:commentRangeStart w:id="9"/>
      <w:r w:rsidR="00EF5A64">
        <w:t>Scatterplot</w:t>
      </w:r>
      <w:commentRangeEnd w:id="6"/>
      <w:r w:rsidR="00AE3C6D">
        <w:rPr>
          <w:rStyle w:val="CommentReference"/>
        </w:rPr>
        <w:commentReference w:id="6"/>
      </w:r>
      <w:commentRangeEnd w:id="7"/>
      <w:r w:rsidR="00C272B1">
        <w:rPr>
          <w:rStyle w:val="CommentReference"/>
        </w:rPr>
        <w:commentReference w:id="7"/>
      </w:r>
      <w:commentRangeEnd w:id="8"/>
      <w:r w:rsidR="004A1952">
        <w:rPr>
          <w:rStyle w:val="CommentReference"/>
        </w:rPr>
        <w:commentReference w:id="8"/>
      </w:r>
      <w:commentRangeEnd w:id="9"/>
      <w:r w:rsidR="00D65D4B">
        <w:rPr>
          <w:rStyle w:val="CommentReference"/>
        </w:rPr>
        <w:commentReference w:id="9"/>
      </w:r>
      <w:r w:rsidR="00EF5A64">
        <w:t xml:space="preserve"> of most significant GO Process terms for the cancer-exclusive proteins. </w:t>
      </w:r>
      <w:r w:rsidR="00043D5B">
        <w:t>X and Y axes are arbitrary, but m</w:t>
      </w:r>
      <w:r w:rsidR="00EF5A64">
        <w:t xml:space="preserve">ore similar GO terms are </w:t>
      </w:r>
      <w:r w:rsidR="00043D5B">
        <w:t xml:space="preserve">plotted closer </w:t>
      </w:r>
      <w:r w:rsidR="00EF5A64">
        <w:t xml:space="preserve">together. Color indicates </w:t>
      </w:r>
      <w:r w:rsidR="005D1BE8">
        <w:t xml:space="preserve">the </w:t>
      </w:r>
      <w:r w:rsidR="00EF5A64">
        <w:t>log</w:t>
      </w:r>
      <w:r w:rsidR="00EF5A64" w:rsidRPr="005D1BE8">
        <w:rPr>
          <w:vertAlign w:val="subscript"/>
        </w:rPr>
        <w:t>10</w:t>
      </w:r>
      <w:r w:rsidR="00EF5A64">
        <w:t xml:space="preserve"> of the p value.</w:t>
      </w:r>
      <w:r w:rsidR="005D1BE8">
        <w:t xml:space="preserve"> The size of the bubble is based on the frequency of the GO term in the </w:t>
      </w:r>
      <w:proofErr w:type="spellStart"/>
      <w:r w:rsidR="005D1BE8">
        <w:t>UniProt</w:t>
      </w:r>
      <w:proofErr w:type="spellEnd"/>
      <w:r w:rsidR="005D1BE8">
        <w:t xml:space="preserve"> Database.</w:t>
      </w:r>
      <w:r w:rsidR="00EF5A64">
        <w:t xml:space="preserve"> </w:t>
      </w:r>
      <w:r w:rsidR="00E52ACD">
        <w:rPr>
          <w:b/>
          <w:bCs/>
        </w:rPr>
        <w:t xml:space="preserve">e) </w:t>
      </w:r>
      <w:r w:rsidR="00FA1076">
        <w:t>Characteristics</w:t>
      </w:r>
      <w:r w:rsidR="002A5A68">
        <w:t xml:space="preserve"> of proteins recognized at higher rates by patients with castration resistant metastatic disease (</w:t>
      </w:r>
      <w:proofErr w:type="spellStart"/>
      <w:r w:rsidR="00186D84">
        <w:rPr>
          <w:i/>
          <w:iCs/>
        </w:rPr>
        <w:t>mCRPC</w:t>
      </w:r>
      <w:proofErr w:type="spellEnd"/>
      <w:r w:rsidR="00186D84">
        <w:rPr>
          <w:i/>
          <w:iCs/>
        </w:rPr>
        <w:t>-Enriched</w:t>
      </w:r>
      <w:r w:rsidR="002A5A68">
        <w:t xml:space="preserve">) </w:t>
      </w:r>
      <w:r w:rsidR="002A5A68" w:rsidRPr="002A5A68">
        <w:t>compared</w:t>
      </w:r>
      <w:r w:rsidR="002A5A68">
        <w:t xml:space="preserve"> to </w:t>
      </w:r>
      <w:r w:rsidR="00FA1076">
        <w:t xml:space="preserve">characteristics </w:t>
      </w:r>
      <w:r w:rsidR="002A5A68">
        <w:t>of all proteins on the array (</w:t>
      </w:r>
      <w:r w:rsidR="002A5A68" w:rsidRPr="009C4300">
        <w:rPr>
          <w:i/>
          <w:iCs/>
        </w:rPr>
        <w:t>Overall</w:t>
      </w:r>
      <w:r w:rsidR="002A5A68">
        <w:t xml:space="preserve">). </w:t>
      </w:r>
      <w:r w:rsidR="00E41C00">
        <w:t xml:space="preserve"> </w:t>
      </w:r>
      <w:r w:rsidR="00D0784D">
        <w:br w:type="page"/>
      </w:r>
    </w:p>
    <w:p w14:paraId="10E38C47" w14:textId="3CC13A19" w:rsidR="00775BF6" w:rsidRDefault="0075578F" w:rsidP="00775BF6">
      <w:pPr>
        <w:spacing w:line="480" w:lineRule="auto"/>
        <w:ind w:firstLine="720"/>
      </w:pPr>
      <w:r>
        <w:lastRenderedPageBreak/>
        <w:t xml:space="preserve">Based on our finding that </w:t>
      </w:r>
      <w:r w:rsidR="00594293">
        <w:t>patients tend to have unique antibody response profiles that are largely</w:t>
      </w:r>
      <w:r w:rsidR="000A6757">
        <w:t xml:space="preserve"> stable</w:t>
      </w:r>
      <w:r w:rsidR="00594293">
        <w:t xml:space="preserve"> over time, we next</w:t>
      </w:r>
      <w:r w:rsidR="006125D0">
        <w:t xml:space="preserve"> investigated</w:t>
      </w:r>
      <w:r w:rsidR="00594293">
        <w:t xml:space="preserve"> whether </w:t>
      </w:r>
      <w:r w:rsidR="0029141B">
        <w:t xml:space="preserve">treatment induces changes in </w:t>
      </w:r>
      <w:r w:rsidR="00594293">
        <w:t>antibody repertoire</w:t>
      </w:r>
      <w:r w:rsidR="0089078B">
        <w:t>s</w:t>
      </w:r>
      <w:r w:rsidR="00594293">
        <w:t xml:space="preserve"> in individuals over time. </w:t>
      </w:r>
      <w:r w:rsidR="006478DA">
        <w:t xml:space="preserve">To address this question, we used serum samples </w:t>
      </w:r>
      <w:r w:rsidR="00E2122F">
        <w:t xml:space="preserve">available </w:t>
      </w:r>
      <w:r w:rsidR="006478DA">
        <w:t>from 4</w:t>
      </w:r>
      <w:r w:rsidR="00EC3104">
        <w:t>0</w:t>
      </w:r>
      <w:r w:rsidR="006478DA">
        <w:t xml:space="preserve"> patients with </w:t>
      </w:r>
      <w:proofErr w:type="spellStart"/>
      <w:r w:rsidR="006478DA">
        <w:t>nmCSPC</w:t>
      </w:r>
      <w:proofErr w:type="spellEnd"/>
      <w:r w:rsidR="006478DA">
        <w:t xml:space="preserve"> treated with one of two therapies. </w:t>
      </w:r>
      <w:r w:rsidR="00D165F4">
        <w:t>2</w:t>
      </w:r>
      <w:r w:rsidR="00133BC7">
        <w:t>0</w:t>
      </w:r>
      <w:r w:rsidR="00D165F4">
        <w:t xml:space="preserve"> patients </w:t>
      </w:r>
      <w:r w:rsidR="006478DA">
        <w:t xml:space="preserve">received </w:t>
      </w:r>
      <w:r w:rsidR="00D165F4">
        <w:t xml:space="preserve">standard androgen deprivation therapy </w:t>
      </w:r>
      <w:r w:rsidR="00AE750B">
        <w:t>(ADT</w:t>
      </w:r>
      <w:r w:rsidR="006478DA">
        <w:t xml:space="preserve">; </w:t>
      </w:r>
      <w:proofErr w:type="spellStart"/>
      <w:r w:rsidR="006478DA">
        <w:t>GnRh</w:t>
      </w:r>
      <w:proofErr w:type="spellEnd"/>
      <w:r w:rsidR="006478DA">
        <w:t xml:space="preserve"> analogue given every 3 months</w:t>
      </w:r>
      <w:r w:rsidR="00AE750B">
        <w:t>)</w:t>
      </w:r>
      <w:r w:rsidR="000D6212">
        <w:fldChar w:fldCharType="begin"/>
      </w:r>
      <w:r w:rsidR="00ED26A9">
        <w:instrText xml:space="preserve"> ADDIN ZOTERO_ITEM CSL_CITATION {"citationID":"rW6i54qn","properties":{"formattedCitation":"\\super 11\\nosupersub{}","plainCitation":"11","noteIndex":0},"citationItems":[{"id":1088,"uris":["http://zotero.org/users/5058535/items/9X2E3EPQ"],"uri":["http://zotero.org/users/5058535/items/9X2E3EPQ"],"itemData":{"id":1088,"type":"article-journal","abstract":"Although androgen deprivation therapy for prostate cancer is associated with an increased risk of osteoporosis, the optimal timing and schedule of zoledronic acid has not been identified. This phase II trial randomized 44 men beginning androgen deprivation therapy to 3 schedules of zoledronic acid administration. Earlier or more frequent administration of zoledronic acid was found to stabilize and improve bone mineral density in men treated with androgen deprivation therapy.","container-title":"Clinical genitourinary cancer","DOI":"10.1016/j.clgc.2013.04.029","ISSN":"1558-7673","issue":"4","journalAbbreviation":"Clin Genitourin Cancer","note":"PMID: 23835291\nPMCID: PMC3836858","source":"PubMed Central","title":"A Randomized Phase II Trial Evaluating Different Schedules of Zoledronic Acid on Bone Mineral Density in Patients With Prostate Cancer Beginning Androgen Deprivation Therapy","URL":"https://www.ncbi.nlm.nih.gov/pmc/articles/PMC3836858/","volume":"11","author":[{"family":"Lang","given":"Joshua M."},{"family":"Wallace","given":"Marianne"},{"family":"Becker","given":"Jordan T."},{"family":"Eickhoff","given":"Jens C."},{"family":"Buehring","given":"Bjoern"},{"family":"Binkley","given":"Neil"},{"family":"Staab","given":"Mary Jane"},{"family":"Wilding","given":"George"},{"family":"Liu","given":"Glenn"},{"family":"Malkovsky","given":"Miroslav"},{"family":"McNeel","given":"Douglas G."}],"accessed":{"date-parts":[["2020",3,18]]},"issued":{"date-parts":[["2013",12]]}}}],"schema":"https://github.com/citation-style-language/schema/raw/master/csl-citation.json"} </w:instrText>
      </w:r>
      <w:r w:rsidR="000D6212">
        <w:fldChar w:fldCharType="separate"/>
      </w:r>
      <w:r w:rsidR="00ED26A9" w:rsidRPr="00ED26A9">
        <w:rPr>
          <w:rFonts w:ascii="Calibri" w:hAnsi="Calibri" w:cs="Calibri"/>
          <w:szCs w:val="24"/>
          <w:vertAlign w:val="superscript"/>
        </w:rPr>
        <w:t>11</w:t>
      </w:r>
      <w:r w:rsidR="000D6212">
        <w:fldChar w:fldCharType="end"/>
      </w:r>
      <w:commentRangeStart w:id="10"/>
      <w:commentRangeStart w:id="11"/>
      <w:commentRangeEnd w:id="10"/>
      <w:r w:rsidR="00F94093">
        <w:rPr>
          <w:rStyle w:val="CommentReference"/>
        </w:rPr>
        <w:commentReference w:id="10"/>
      </w:r>
      <w:commentRangeEnd w:id="11"/>
      <w:r w:rsidR="000D6212">
        <w:rPr>
          <w:rStyle w:val="CommentReference"/>
        </w:rPr>
        <w:commentReference w:id="11"/>
      </w:r>
      <w:r w:rsidR="00D165F4">
        <w:t xml:space="preserve">, and 20 patients </w:t>
      </w:r>
      <w:r w:rsidR="006478DA">
        <w:t xml:space="preserve">received </w:t>
      </w:r>
      <w:r w:rsidR="00D165F4">
        <w:t>a DNA vaccine encoding prostatic-acid phosphatase</w:t>
      </w:r>
      <w:r w:rsidR="007A7180">
        <w:t xml:space="preserve"> (PAP</w:t>
      </w:r>
      <w:r w:rsidR="006478DA">
        <w:t xml:space="preserve">; </w:t>
      </w:r>
      <w:proofErr w:type="spellStart"/>
      <w:r w:rsidR="006478DA">
        <w:t>pTVG</w:t>
      </w:r>
      <w:proofErr w:type="spellEnd"/>
      <w:r w:rsidR="006478DA">
        <w:t xml:space="preserve">-HP given </w:t>
      </w:r>
      <w:r w:rsidR="00144346">
        <w:t>every 14 days</w:t>
      </w:r>
      <w:r w:rsidR="006D4057">
        <w:t xml:space="preserve"> for 6 administrations</w:t>
      </w:r>
      <w:r w:rsidR="007A7180">
        <w:t>)</w:t>
      </w:r>
      <w:r w:rsidR="000D6212">
        <w:fldChar w:fldCharType="begin"/>
      </w:r>
      <w:r w:rsidR="00ED26A9">
        <w:instrText xml:space="preserve"> ADDIN ZOTERO_ITEM CSL_CITATION {"citationID":"eE8nbmfw","properties":{"formattedCitation":"\\super 12\\nosupersub{}","plainCitation":"12","noteIndex":0},"citationItems":[{"id":13,"uris":["http://zotero.org/users/5058535/items/EKWF28ZN"],"uri":["http://zotero.org/users/5058535/items/EKWF28ZN"],"itemData":{"id":13,"type":"article-journal","abstract":"Purpose\nProstatic acid phosphatase (PAP) is a prostate tumor antigen. We have previously demonstrated that a DNA vaccine encoding PAP can elicit antigen-specific CD8+ T cells in rodents. We report here the results of a phase I/IIa trial conducted with a DNA vaccine encoding human PAP in patients with stage D0 prostate cancer.\n\nPatients and Methods\nTwenty-two patients were treated in a dose-escalation trial with 100 μg, 500 μg, or 1,500 μg plasmid DNA, coadministered intradermally with 200 μg granulocyte-macrophage colony-stimulating factor as a vaccine adjuvant, six times at 14-day intervals. All patients were observed for 1 year after treatment.\n\nResults\nNo significant adverse events were observed. Three (14%) of 22 patients developed PAP-specific IFNγ-secreting CD8+ T-cells immediately after the treatment course, as determined by enzyme-linked immunospot. Nine (41%) of 22 patients developed PAP-specific CD4+ and/or CD8+ T-cell proliferation. Antibody responses to PAP were not detected. Overall, the prostate-specific antigen (PSA) doubling time was observed to increase from a median 6.5 months pretreatment to 8.5 months on-treatment (P = .033), and 9.3 months in the 1-year post-treatment period (P = .054).\n\nConclusion\nThe demonstration that a DNA vaccine encoding PAP is safe, elicits an antigen-specific T-cell response, and may be associated with an increased PSA doubling time suggests that a multi-institutional phase II trial designed to evaluate clinical efficacy is warranted.","container-title":"Journal of Clinical Oncology","DOI":"10.1200/JCO.2008.19.9968","ISSN":"0732-183X","issue":"25","journalAbbreviation":"J Clin Oncol","note":"PMID: 19636017\nPMCID: PMC2734418","page":"4047-4054","source":"PubMed Central","title":"Safety and Immunological Efficacy of a DNA Vaccine Encoding Prostatic Acid Phosphatase in Patients With Stage D0 Prostate Cancer","volume":"27","author":[{"family":"McNeel","given":"Douglas G."},{"family":"Dunphy","given":"Edward J."},{"family":"Davies","given":"James G."},{"family":"Frye","given":"Thomas P."},{"family":"Johnson","given":"Laura E."},{"family":"Staab","given":"Mary Jane"},{"family":"Horvath","given":"Dorothea L."},{"family":"Straus","given":"Jane"},{"family":"Alberti","given":"Dona"},{"family":"Marnocha","given":"Rebecca"},{"family":"Liu","given":"Glenn"},{"family":"Eickhoff","given":"Jens C."},{"family":"Wilding","given":"George"}],"issued":{"date-parts":[["2009",9,1]]}}}],"schema":"https://github.com/citation-style-language/schema/raw/master/csl-citation.json"} </w:instrText>
      </w:r>
      <w:r w:rsidR="000D6212">
        <w:fldChar w:fldCharType="separate"/>
      </w:r>
      <w:r w:rsidR="00ED26A9" w:rsidRPr="00ED26A9">
        <w:rPr>
          <w:rFonts w:ascii="Calibri" w:hAnsi="Calibri" w:cs="Calibri"/>
          <w:szCs w:val="24"/>
          <w:vertAlign w:val="superscript"/>
        </w:rPr>
        <w:t>12</w:t>
      </w:r>
      <w:r w:rsidR="000D6212">
        <w:fldChar w:fldCharType="end"/>
      </w:r>
      <w:r w:rsidR="00D165F4">
        <w:t xml:space="preserve">. </w:t>
      </w:r>
      <w:r w:rsidR="003042EE">
        <w:t xml:space="preserve">Samples were collected from these patients at </w:t>
      </w:r>
      <w:r w:rsidR="00FA7379">
        <w:t>baseline</w:t>
      </w:r>
      <w:r w:rsidR="003042EE">
        <w:t xml:space="preserve">, </w:t>
      </w:r>
      <w:r w:rsidR="009C5011">
        <w:t>3</w:t>
      </w:r>
      <w:r w:rsidR="00133BC7">
        <w:t xml:space="preserve"> months</w:t>
      </w:r>
      <w:r w:rsidR="009C5011">
        <w:t>, and 6 months following</w:t>
      </w:r>
      <w:r w:rsidR="00FC70B6">
        <w:t xml:space="preserve"> initiation of treatment. </w:t>
      </w:r>
      <w:r w:rsidR="00D30EB7">
        <w:t xml:space="preserve">Consistent with our observations in Fig 1E, we found high correlation between </w:t>
      </w:r>
      <w:r w:rsidR="00AE750B">
        <w:t xml:space="preserve">samples from an </w:t>
      </w:r>
      <w:r w:rsidR="00D30EB7">
        <w:t xml:space="preserve">individual patient over time (Fig </w:t>
      </w:r>
      <w:r w:rsidR="00676667">
        <w:t>5</w:t>
      </w:r>
      <w:r w:rsidR="00D30EB7">
        <w:t xml:space="preserve">a). </w:t>
      </w:r>
      <w:r w:rsidR="00775BF6">
        <w:t xml:space="preserve">We next fit a linear model to each epitope for each patient. We found that using this </w:t>
      </w:r>
      <w:r w:rsidR="00EC3104">
        <w:t xml:space="preserve">peptide </w:t>
      </w:r>
      <w:r w:rsidR="00775BF6">
        <w:t>microarray approach we were able to track changes in antibody responses over time in individuals and found</w:t>
      </w:r>
      <w:r w:rsidR="000E7F90">
        <w:t xml:space="preserve"> </w:t>
      </w:r>
      <w:r w:rsidR="00547250">
        <w:t xml:space="preserve">that </w:t>
      </w:r>
      <w:r w:rsidR="00010EBD">
        <w:t xml:space="preserve">antibody responses to </w:t>
      </w:r>
      <w:r w:rsidR="000E7F90">
        <w:t>many</w:t>
      </w:r>
      <w:r w:rsidR="00775BF6">
        <w:t xml:space="preserve"> </w:t>
      </w:r>
      <w:r w:rsidR="00547250">
        <w:t xml:space="preserve">epitopes </w:t>
      </w:r>
      <w:r w:rsidR="00775BF6">
        <w:t>increased</w:t>
      </w:r>
      <w:r w:rsidR="0084006E">
        <w:t xml:space="preserve"> following</w:t>
      </w:r>
      <w:r w:rsidR="00775BF6">
        <w:t xml:space="preserve"> treatment (Fig </w:t>
      </w:r>
      <w:r w:rsidR="00676667">
        <w:t>5</w:t>
      </w:r>
      <w:r w:rsidR="00775BF6">
        <w:t xml:space="preserve">b). Furthermore, we </w:t>
      </w:r>
      <w:r w:rsidR="007F6BED">
        <w:t xml:space="preserve">found that </w:t>
      </w:r>
      <w:r w:rsidR="009C1E69">
        <w:t xml:space="preserve">many vaccine-treated patients </w:t>
      </w:r>
      <w:r w:rsidR="007F6BED">
        <w:t xml:space="preserve">developed </w:t>
      </w:r>
      <w:r w:rsidR="009C1E69">
        <w:t>increasing responses over time</w:t>
      </w:r>
      <w:r w:rsidR="00775BF6">
        <w:t xml:space="preserve"> </w:t>
      </w:r>
      <w:r w:rsidR="007F6BED">
        <w:t>to the same proteins</w:t>
      </w:r>
      <w:r w:rsidR="006505C8">
        <w:t xml:space="preserve"> </w:t>
      </w:r>
      <w:r w:rsidR="00775BF6">
        <w:t xml:space="preserve">(Fig </w:t>
      </w:r>
      <w:r w:rsidR="00676667">
        <w:t>5</w:t>
      </w:r>
      <w:r w:rsidR="00775BF6">
        <w:t xml:space="preserve">c). </w:t>
      </w:r>
      <w:r w:rsidR="00BE26CA">
        <w:t xml:space="preserve">There were </w:t>
      </w:r>
      <w:r w:rsidR="009C1E69">
        <w:t>177 proteins</w:t>
      </w:r>
      <w:r w:rsidR="009C1E69">
        <w:t xml:space="preserve"> </w:t>
      </w:r>
      <w:r w:rsidR="00BE26CA">
        <w:t xml:space="preserve">to which significantly more </w:t>
      </w:r>
      <w:r w:rsidR="00BE26CA">
        <w:t>(by Fisher’s exact test)</w:t>
      </w:r>
      <w:r w:rsidR="00BE26CA">
        <w:t xml:space="preserve"> </w:t>
      </w:r>
      <w:r w:rsidR="009C1E69">
        <w:t>vaccine-treated patients than ADT patients</w:t>
      </w:r>
      <w:r w:rsidR="009C1E69">
        <w:t xml:space="preserve"> </w:t>
      </w:r>
      <w:r w:rsidR="00BE26CA">
        <w:t>developed increasing antibody responses</w:t>
      </w:r>
      <w:r w:rsidR="009C1E69">
        <w:t xml:space="preserve">, while no proteins </w:t>
      </w:r>
      <w:r w:rsidR="00DF2141">
        <w:t xml:space="preserve">had increasing recognition </w:t>
      </w:r>
      <w:r w:rsidR="009C1E69">
        <w:t xml:space="preserve">over time </w:t>
      </w:r>
      <w:r w:rsidR="00DF2141">
        <w:t xml:space="preserve">by significantly more </w:t>
      </w:r>
      <w:r w:rsidR="009C1E69">
        <w:t>ADT patients</w:t>
      </w:r>
      <w:r w:rsidR="00B03400">
        <w:t xml:space="preserve"> </w:t>
      </w:r>
      <w:r w:rsidR="00022EEA">
        <w:t xml:space="preserve">than vaccine-treated patients </w:t>
      </w:r>
      <w:r w:rsidR="00B03400">
        <w:t>(Supplementary Table 6)</w:t>
      </w:r>
      <w:r w:rsidR="009C1E69">
        <w:t>.</w:t>
      </w:r>
      <w:r w:rsidR="00DF2141">
        <w:t xml:space="preserve"> </w:t>
      </w:r>
      <w:r w:rsidR="00775BF6">
        <w:t>In the most extreme case, 14 of 20 PAP patients had increasing responses to the HMG box transcription factor while only 2 of 2</w:t>
      </w:r>
      <w:r w:rsidR="003159BB">
        <w:t>0</w:t>
      </w:r>
      <w:r w:rsidR="00775BF6">
        <w:t xml:space="preserve"> ADT patients had an increasing response to this same protein</w:t>
      </w:r>
      <w:r w:rsidR="004A1952">
        <w:t xml:space="preserve"> (p=0.0002, Fisher’s exact test)</w:t>
      </w:r>
      <w:r w:rsidR="00775BF6">
        <w:t>.</w:t>
      </w:r>
      <w:r w:rsidR="00890BFA">
        <w:t xml:space="preserve"> </w:t>
      </w:r>
    </w:p>
    <w:p w14:paraId="1A7C6F88" w14:textId="4295D8E8" w:rsidR="00BC62FC" w:rsidRDefault="00695E81" w:rsidP="00AD48D7">
      <w:pPr>
        <w:spacing w:line="480" w:lineRule="auto"/>
        <w:ind w:firstLine="720"/>
      </w:pPr>
      <w:r>
        <w:t>To further characterize which types of proteins</w:t>
      </w:r>
      <w:r w:rsidR="00C3685D">
        <w:t xml:space="preserve"> </w:t>
      </w:r>
      <w:r w:rsidR="00890BFA">
        <w:t xml:space="preserve">vaccine-treated </w:t>
      </w:r>
      <w:r>
        <w:t>patients were developing increased responses to following vaccination, we performed GO analysis</w:t>
      </w:r>
      <w:r w:rsidR="00CE14F4">
        <w:t xml:space="preserve"> on</w:t>
      </w:r>
      <w:r w:rsidR="00C45E1F">
        <w:t xml:space="preserve"> this set of 177 proteins</w:t>
      </w:r>
      <w:r>
        <w:t xml:space="preserve">. </w:t>
      </w:r>
      <w:r w:rsidR="00CE14F4">
        <w:t xml:space="preserve">We found that a significantly enriched set of these antibodies were </w:t>
      </w:r>
      <w:r w:rsidR="006508CD">
        <w:t xml:space="preserve">specific to DNA binding proteins and histone binding proteins. There were also more antibodies against ribosomal proteins, nuclear proteins, and nucleosomes than would be expected by chance (Fig </w:t>
      </w:r>
      <w:r w:rsidR="00DE4344">
        <w:t>5</w:t>
      </w:r>
      <w:r w:rsidR="00BE2D82">
        <w:t>d</w:t>
      </w:r>
      <w:r w:rsidR="006508CD">
        <w:t xml:space="preserve">). </w:t>
      </w:r>
      <w:r w:rsidR="009F126F">
        <w:t>Many of the</w:t>
      </w:r>
      <w:r w:rsidR="00F77E25">
        <w:t xml:space="preserve"> proteins were involved in regulation of translation and chromatin organization. </w:t>
      </w:r>
      <w:r w:rsidR="00BC62FC">
        <w:rPr>
          <w:i/>
          <w:iCs/>
        </w:rPr>
        <w:br w:type="page"/>
      </w:r>
    </w:p>
    <w:p w14:paraId="68F1641D" w14:textId="0C3E6143" w:rsidR="00F86EB8" w:rsidRPr="00D40C1D" w:rsidRDefault="00C45E1F" w:rsidP="00D40C1D">
      <w:pPr>
        <w:rPr>
          <w:b/>
          <w:bCs/>
        </w:rPr>
      </w:pPr>
      <w:r>
        <w:rPr>
          <w:b/>
          <w:bCs/>
          <w:noProof/>
        </w:rPr>
        <w:lastRenderedPageBreak/>
        <w:drawing>
          <wp:inline distT="0" distB="0" distL="0" distR="0" wp14:anchorId="074DEEA5" wp14:editId="4AB7E7A4">
            <wp:extent cx="5943600" cy="4951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51730"/>
                    </a:xfrm>
                    <a:prstGeom prst="rect">
                      <a:avLst/>
                    </a:prstGeom>
                    <a:noFill/>
                    <a:ln>
                      <a:noFill/>
                    </a:ln>
                  </pic:spPr>
                </pic:pic>
              </a:graphicData>
            </a:graphic>
          </wp:inline>
        </w:drawing>
      </w:r>
    </w:p>
    <w:p w14:paraId="19CD8D65" w14:textId="0FF8DAD5" w:rsidR="00F86EB8" w:rsidRDefault="00F86EB8" w:rsidP="00F86EB8">
      <w:pPr>
        <w:keepNext/>
      </w:pPr>
      <w:r w:rsidRPr="00EF689C">
        <w:rPr>
          <w:b/>
          <w:bCs/>
        </w:rPr>
        <w:t xml:space="preserve">Figure </w:t>
      </w:r>
      <w:r w:rsidR="006F0A48">
        <w:rPr>
          <w:b/>
          <w:bCs/>
        </w:rPr>
        <w:t>5</w:t>
      </w:r>
      <w:r>
        <w:rPr>
          <w:b/>
          <w:bCs/>
        </w:rPr>
        <w:t>.</w:t>
      </w:r>
      <w:r w:rsidR="00546B2A">
        <w:rPr>
          <w:b/>
          <w:bCs/>
        </w:rPr>
        <w:t xml:space="preserve"> </w:t>
      </w:r>
      <w:r w:rsidR="00546B2A">
        <w:t>Antigen-specific vaccination elicits greater increases in antibody responses over time than hormonal therapy does.</w:t>
      </w:r>
      <w:r w:rsidR="00061480">
        <w:t xml:space="preserve"> </w:t>
      </w:r>
      <w:r w:rsidR="00D31F14">
        <w:t xml:space="preserve"> </w:t>
      </w:r>
      <w:r>
        <w:rPr>
          <w:b/>
          <w:bCs/>
        </w:rPr>
        <w:t>a)</w:t>
      </w:r>
      <w:r>
        <w:t xml:space="preserve"> </w:t>
      </w:r>
      <w:r w:rsidR="008404F8">
        <w:t>The mean correlation coefficient</w:t>
      </w:r>
      <w:r w:rsidR="00AD48D7">
        <w:t xml:space="preserve"> among</w:t>
      </w:r>
      <w:r w:rsidR="008404F8">
        <w:t xml:space="preserve"> all pairs of different individuals (</w:t>
      </w:r>
      <w:r w:rsidR="008404F8" w:rsidRPr="008404F8">
        <w:rPr>
          <w:i/>
          <w:iCs/>
        </w:rPr>
        <w:t>Average Pair</w:t>
      </w:r>
      <w:r w:rsidR="008404F8">
        <w:t>) compared to the average correlation coefficient</w:t>
      </w:r>
      <w:r w:rsidR="004406F0">
        <w:t xml:space="preserve"> among</w:t>
      </w:r>
      <w:r w:rsidR="008404F8">
        <w:t xml:space="preserve"> all technical replicates (</w:t>
      </w:r>
      <w:r w:rsidR="008404F8" w:rsidRPr="008404F8">
        <w:rPr>
          <w:i/>
          <w:iCs/>
        </w:rPr>
        <w:t>Replicate</w:t>
      </w:r>
      <w:r w:rsidR="008404F8">
        <w:t>) and the average correlation</w:t>
      </w:r>
      <w:r w:rsidR="000E7E34">
        <w:t xml:space="preserve"> among</w:t>
      </w:r>
      <w:r w:rsidR="008404F8">
        <w:t xml:space="preserve"> samples collected from the same patient at different time points (</w:t>
      </w:r>
      <w:r w:rsidR="008404F8">
        <w:rPr>
          <w:i/>
          <w:iCs/>
        </w:rPr>
        <w:t>Same patient</w:t>
      </w:r>
      <w:r w:rsidR="008404F8" w:rsidRPr="008404F8">
        <w:t>)</w:t>
      </w:r>
      <w:r w:rsidR="008404F8">
        <w:t xml:space="preserve">. Error bars represent standard deviation. </w:t>
      </w:r>
      <w:r w:rsidR="00637B46">
        <w:rPr>
          <w:b/>
          <w:bCs/>
        </w:rPr>
        <w:t xml:space="preserve">b) </w:t>
      </w:r>
      <w:r w:rsidR="00637B46">
        <w:t>Volcano plot of the results of a linear model fit</w:t>
      </w:r>
      <w:r w:rsidR="00BC62FC">
        <w:t xml:space="preserve"> to each epitope</w:t>
      </w:r>
      <w:r w:rsidR="00EE090C">
        <w:t xml:space="preserve"> for each patient.</w:t>
      </w:r>
      <w:r w:rsidR="00BC62FC">
        <w:t xml:space="preserve"> </w:t>
      </w:r>
      <w:r w:rsidR="00963032">
        <w:t>The vertical line represents an estimate of 0.33</w:t>
      </w:r>
      <w:r w:rsidR="00E7175C">
        <w:t xml:space="preserve"> (peptides that have a two-fold increase in signal every 3 months) and the horizontal line represents a p value of 0.05. </w:t>
      </w:r>
      <w:r w:rsidR="00C50D54">
        <w:t xml:space="preserve">The red dots correspond to ADT patient response to a given peptide, while blue dots represent vaccine-treated patients. </w:t>
      </w:r>
      <w:r>
        <w:rPr>
          <w:b/>
          <w:bCs/>
        </w:rPr>
        <w:t xml:space="preserve">c) </w:t>
      </w:r>
      <w:r w:rsidR="00AA3ECC">
        <w:t>Scatterplot in which each point represents a</w:t>
      </w:r>
      <w:r w:rsidR="00BC62FC">
        <w:t xml:space="preserve"> protein</w:t>
      </w:r>
      <w:r w:rsidR="00AA3ECC">
        <w:t xml:space="preserve">. The x-axis indicates how many PAP patients developed increasing response to a given </w:t>
      </w:r>
      <w:r w:rsidR="00BC62FC">
        <w:t xml:space="preserve">protein </w:t>
      </w:r>
      <w:r w:rsidR="00AA3ECC">
        <w:t>over time, while the y-axis indicates how many ADT patients developed increasing response to the same</w:t>
      </w:r>
      <w:r w:rsidR="00C150E3">
        <w:t xml:space="preserve"> protein</w:t>
      </w:r>
      <w:r w:rsidR="00AA3ECC">
        <w:t>.</w:t>
      </w:r>
      <w:r w:rsidR="00565646">
        <w:t xml:space="preserve"> </w:t>
      </w:r>
      <w:r w:rsidR="004266B7">
        <w:t xml:space="preserve">The dashed line corresponds to y = x. </w:t>
      </w:r>
      <w:r w:rsidR="00EE090C">
        <w:rPr>
          <w:b/>
          <w:bCs/>
        </w:rPr>
        <w:t>d)</w:t>
      </w:r>
      <w:r w:rsidR="00EE090C">
        <w:t xml:space="preserve"> </w:t>
      </w:r>
      <w:r w:rsidR="00565646">
        <w:t>GO</w:t>
      </w:r>
      <w:r w:rsidR="00EE090C">
        <w:t xml:space="preserve"> </w:t>
      </w:r>
      <w:r w:rsidR="00565646">
        <w:t xml:space="preserve">cellular component results using </w:t>
      </w:r>
      <w:r w:rsidR="006723A0">
        <w:t xml:space="preserve">proteins that </w:t>
      </w:r>
      <w:r w:rsidR="00715594">
        <w:t xml:space="preserve">significantly more </w:t>
      </w:r>
      <w:r w:rsidR="006723A0">
        <w:t xml:space="preserve">PAP patients </w:t>
      </w:r>
      <w:r w:rsidR="00715594">
        <w:t xml:space="preserve">than ADT patients </w:t>
      </w:r>
      <w:r w:rsidR="006723A0">
        <w:t xml:space="preserve">developed increasing responses to </w:t>
      </w:r>
      <w:r w:rsidR="00565646">
        <w:t xml:space="preserve">as the target set and the full list of proteins on the array as the background set. </w:t>
      </w:r>
      <w:r>
        <w:t xml:space="preserve"> </w:t>
      </w:r>
    </w:p>
    <w:p w14:paraId="0F9AA4CC" w14:textId="7DB60D97" w:rsidR="00F86EB8" w:rsidRDefault="00F86EB8" w:rsidP="00F86EB8">
      <w:pPr>
        <w:pStyle w:val="Caption"/>
      </w:pPr>
    </w:p>
    <w:p w14:paraId="7256E572" w14:textId="4DFC73C0" w:rsidR="00742AD6" w:rsidRDefault="00742AD6">
      <w:pPr>
        <w:rPr>
          <w:b/>
          <w:bCs/>
        </w:rPr>
      </w:pPr>
      <w:r>
        <w:rPr>
          <w:b/>
          <w:bCs/>
        </w:rPr>
        <w:br w:type="page"/>
      </w:r>
    </w:p>
    <w:p w14:paraId="2DB4DA05" w14:textId="77777777" w:rsidR="00D165F4" w:rsidRDefault="00D165F4" w:rsidP="000B1EA0">
      <w:pPr>
        <w:pStyle w:val="Bibliography"/>
        <w:rPr>
          <w:b/>
          <w:bCs/>
        </w:rPr>
      </w:pPr>
    </w:p>
    <w:p w14:paraId="091BB39C" w14:textId="77777777" w:rsidR="00ED26A9" w:rsidRPr="00ED26A9" w:rsidRDefault="006B5665" w:rsidP="00ED26A9">
      <w:pPr>
        <w:pStyle w:val="Bibliography"/>
        <w:rPr>
          <w:rFonts w:ascii="Calibri" w:hAnsi="Calibri" w:cs="Calibri"/>
        </w:rPr>
      </w:pPr>
      <w:r>
        <w:rPr>
          <w:b/>
          <w:bCs/>
        </w:rPr>
        <w:fldChar w:fldCharType="begin"/>
      </w:r>
      <w:r>
        <w:rPr>
          <w:b/>
          <w:bCs/>
        </w:rPr>
        <w:instrText xml:space="preserve"> ADDIN ZOTERO_BIBL {"uncited":[],"omitted":[],"custom":[]} CSL_BIBLIOGRAPHY </w:instrText>
      </w:r>
      <w:r>
        <w:rPr>
          <w:b/>
          <w:bCs/>
        </w:rPr>
        <w:fldChar w:fldCharType="separate"/>
      </w:r>
      <w:r w:rsidR="00ED26A9" w:rsidRPr="00ED26A9">
        <w:rPr>
          <w:rFonts w:ascii="Calibri" w:hAnsi="Calibri" w:cs="Calibri"/>
        </w:rPr>
        <w:t>1.</w:t>
      </w:r>
      <w:r w:rsidR="00ED26A9" w:rsidRPr="00ED26A9">
        <w:rPr>
          <w:rFonts w:ascii="Calibri" w:hAnsi="Calibri" w:cs="Calibri"/>
        </w:rPr>
        <w:tab/>
        <w:t xml:space="preserve">Ha, S. </w:t>
      </w:r>
      <w:r w:rsidR="00ED26A9" w:rsidRPr="00ED26A9">
        <w:rPr>
          <w:rFonts w:ascii="Calibri" w:hAnsi="Calibri" w:cs="Calibri"/>
          <w:i/>
          <w:iCs/>
        </w:rPr>
        <w:t>et al.</w:t>
      </w:r>
      <w:r w:rsidR="00ED26A9" w:rsidRPr="00ED26A9">
        <w:rPr>
          <w:rFonts w:ascii="Calibri" w:hAnsi="Calibri" w:cs="Calibri"/>
        </w:rPr>
        <w:t xml:space="preserve"> IgG responses to tissue-associated antigens as biomarkers of immunological treatment efficacy. </w:t>
      </w:r>
      <w:r w:rsidR="00ED26A9" w:rsidRPr="00ED26A9">
        <w:rPr>
          <w:rFonts w:ascii="Calibri" w:hAnsi="Calibri" w:cs="Calibri"/>
          <w:i/>
          <w:iCs/>
        </w:rPr>
        <w:t xml:space="preserve">J Biomed </w:t>
      </w:r>
      <w:proofErr w:type="spellStart"/>
      <w:r w:rsidR="00ED26A9" w:rsidRPr="00ED26A9">
        <w:rPr>
          <w:rFonts w:ascii="Calibri" w:hAnsi="Calibri" w:cs="Calibri"/>
          <w:i/>
          <w:iCs/>
        </w:rPr>
        <w:t>Biotechnol</w:t>
      </w:r>
      <w:proofErr w:type="spellEnd"/>
      <w:r w:rsidR="00ED26A9" w:rsidRPr="00ED26A9">
        <w:rPr>
          <w:rFonts w:ascii="Calibri" w:hAnsi="Calibri" w:cs="Calibri"/>
        </w:rPr>
        <w:t xml:space="preserve"> </w:t>
      </w:r>
      <w:r w:rsidR="00ED26A9" w:rsidRPr="00ED26A9">
        <w:rPr>
          <w:rFonts w:ascii="Calibri" w:hAnsi="Calibri" w:cs="Calibri"/>
          <w:b/>
          <w:bCs/>
        </w:rPr>
        <w:t>2011</w:t>
      </w:r>
      <w:r w:rsidR="00ED26A9" w:rsidRPr="00ED26A9">
        <w:rPr>
          <w:rFonts w:ascii="Calibri" w:hAnsi="Calibri" w:cs="Calibri"/>
        </w:rPr>
        <w:t>, 454861–454861 (2010).</w:t>
      </w:r>
    </w:p>
    <w:p w14:paraId="06C6177B" w14:textId="77777777" w:rsidR="00ED26A9" w:rsidRPr="00ED26A9" w:rsidRDefault="00ED26A9" w:rsidP="00ED26A9">
      <w:pPr>
        <w:pStyle w:val="Bibliography"/>
        <w:rPr>
          <w:rFonts w:ascii="Calibri" w:hAnsi="Calibri" w:cs="Calibri"/>
        </w:rPr>
      </w:pPr>
      <w:r w:rsidRPr="00ED26A9">
        <w:rPr>
          <w:rFonts w:ascii="Calibri" w:hAnsi="Calibri" w:cs="Calibri"/>
        </w:rPr>
        <w:t>2.</w:t>
      </w:r>
      <w:r w:rsidRPr="00ED26A9">
        <w:rPr>
          <w:rFonts w:ascii="Calibri" w:hAnsi="Calibri" w:cs="Calibri"/>
        </w:rPr>
        <w:tab/>
      </w:r>
      <w:proofErr w:type="spellStart"/>
      <w:r w:rsidRPr="00ED26A9">
        <w:rPr>
          <w:rFonts w:ascii="Calibri" w:hAnsi="Calibri" w:cs="Calibri"/>
        </w:rPr>
        <w:t>Maricque</w:t>
      </w:r>
      <w:proofErr w:type="spellEnd"/>
      <w:r w:rsidRPr="00ED26A9">
        <w:rPr>
          <w:rFonts w:ascii="Calibri" w:hAnsi="Calibri" w:cs="Calibri"/>
        </w:rPr>
        <w:t xml:space="preserve">, B. B., Eickhoff, J. C. &amp; </w:t>
      </w:r>
      <w:proofErr w:type="spellStart"/>
      <w:r w:rsidRPr="00ED26A9">
        <w:rPr>
          <w:rFonts w:ascii="Calibri" w:hAnsi="Calibri" w:cs="Calibri"/>
        </w:rPr>
        <w:t>McNeel</w:t>
      </w:r>
      <w:proofErr w:type="spellEnd"/>
      <w:r w:rsidRPr="00ED26A9">
        <w:rPr>
          <w:rFonts w:ascii="Calibri" w:hAnsi="Calibri" w:cs="Calibri"/>
        </w:rPr>
        <w:t xml:space="preserve">, D. G. Antibody responses to prostate-associated antigens in patients with prostatitis and prostate cancer. </w:t>
      </w:r>
      <w:r w:rsidRPr="00ED26A9">
        <w:rPr>
          <w:rFonts w:ascii="Calibri" w:hAnsi="Calibri" w:cs="Calibri"/>
          <w:i/>
          <w:iCs/>
        </w:rPr>
        <w:t>Prostate</w:t>
      </w:r>
      <w:r w:rsidRPr="00ED26A9">
        <w:rPr>
          <w:rFonts w:ascii="Calibri" w:hAnsi="Calibri" w:cs="Calibri"/>
        </w:rPr>
        <w:t xml:space="preserve"> </w:t>
      </w:r>
      <w:r w:rsidRPr="00ED26A9">
        <w:rPr>
          <w:rFonts w:ascii="Calibri" w:hAnsi="Calibri" w:cs="Calibri"/>
          <w:b/>
          <w:bCs/>
        </w:rPr>
        <w:t>71</w:t>
      </w:r>
      <w:r w:rsidRPr="00ED26A9">
        <w:rPr>
          <w:rFonts w:ascii="Calibri" w:hAnsi="Calibri" w:cs="Calibri"/>
        </w:rPr>
        <w:t>, 134–146 (2011).</w:t>
      </w:r>
    </w:p>
    <w:p w14:paraId="787F78CF" w14:textId="77777777" w:rsidR="00ED26A9" w:rsidRPr="00ED26A9" w:rsidRDefault="00ED26A9" w:rsidP="00ED26A9">
      <w:pPr>
        <w:pStyle w:val="Bibliography"/>
        <w:rPr>
          <w:rFonts w:ascii="Calibri" w:hAnsi="Calibri" w:cs="Calibri"/>
        </w:rPr>
      </w:pPr>
      <w:r w:rsidRPr="00ED26A9">
        <w:rPr>
          <w:rFonts w:ascii="Calibri" w:hAnsi="Calibri" w:cs="Calibri"/>
        </w:rPr>
        <w:t>3.</w:t>
      </w:r>
      <w:r w:rsidRPr="00ED26A9">
        <w:rPr>
          <w:rFonts w:ascii="Calibri" w:hAnsi="Calibri" w:cs="Calibri"/>
        </w:rPr>
        <w:tab/>
        <w:t xml:space="preserve">Guo, Z.-W. </w:t>
      </w:r>
      <w:r w:rsidRPr="00ED26A9">
        <w:rPr>
          <w:rFonts w:ascii="Calibri" w:hAnsi="Calibri" w:cs="Calibri"/>
          <w:i/>
          <w:iCs/>
        </w:rPr>
        <w:t>et al.</w:t>
      </w:r>
      <w:r w:rsidRPr="00ED26A9">
        <w:rPr>
          <w:rFonts w:ascii="Calibri" w:hAnsi="Calibri" w:cs="Calibri"/>
        </w:rPr>
        <w:t xml:space="preserve"> Translated Long Non-Coding Ribonucleic Acid ZFAS1 Promotes Cancer Cell Migration by Elevating Reactive Oxygen Species Production in Hepatocellular Carcinoma. </w:t>
      </w:r>
      <w:r w:rsidRPr="00ED26A9">
        <w:rPr>
          <w:rFonts w:ascii="Calibri" w:hAnsi="Calibri" w:cs="Calibri"/>
          <w:i/>
          <w:iCs/>
        </w:rPr>
        <w:t>Front Genet</w:t>
      </w:r>
      <w:r w:rsidRPr="00ED26A9">
        <w:rPr>
          <w:rFonts w:ascii="Calibri" w:hAnsi="Calibri" w:cs="Calibri"/>
        </w:rPr>
        <w:t xml:space="preserve"> </w:t>
      </w:r>
      <w:r w:rsidRPr="00ED26A9">
        <w:rPr>
          <w:rFonts w:ascii="Calibri" w:hAnsi="Calibri" w:cs="Calibri"/>
          <w:b/>
          <w:bCs/>
        </w:rPr>
        <w:t>10</w:t>
      </w:r>
      <w:r w:rsidRPr="00ED26A9">
        <w:rPr>
          <w:rFonts w:ascii="Calibri" w:hAnsi="Calibri" w:cs="Calibri"/>
        </w:rPr>
        <w:t>, (2019).</w:t>
      </w:r>
    </w:p>
    <w:p w14:paraId="4D4AA711" w14:textId="77777777" w:rsidR="00ED26A9" w:rsidRPr="00ED26A9" w:rsidRDefault="00ED26A9" w:rsidP="00ED26A9">
      <w:pPr>
        <w:pStyle w:val="Bibliography"/>
        <w:rPr>
          <w:rFonts w:ascii="Calibri" w:hAnsi="Calibri" w:cs="Calibri"/>
        </w:rPr>
      </w:pPr>
      <w:r w:rsidRPr="00ED26A9">
        <w:rPr>
          <w:rFonts w:ascii="Calibri" w:hAnsi="Calibri" w:cs="Calibri"/>
        </w:rPr>
        <w:t>4.</w:t>
      </w:r>
      <w:r w:rsidRPr="00ED26A9">
        <w:rPr>
          <w:rFonts w:ascii="Calibri" w:hAnsi="Calibri" w:cs="Calibri"/>
        </w:rPr>
        <w:tab/>
        <w:t xml:space="preserve">Ji, Z., Song, R., Regev, A. &amp; </w:t>
      </w:r>
      <w:proofErr w:type="spellStart"/>
      <w:r w:rsidRPr="00ED26A9">
        <w:rPr>
          <w:rFonts w:ascii="Calibri" w:hAnsi="Calibri" w:cs="Calibri"/>
        </w:rPr>
        <w:t>Struhl</w:t>
      </w:r>
      <w:proofErr w:type="spellEnd"/>
      <w:r w:rsidRPr="00ED26A9">
        <w:rPr>
          <w:rFonts w:ascii="Calibri" w:hAnsi="Calibri" w:cs="Calibri"/>
        </w:rPr>
        <w:t xml:space="preserve">, K. Many </w:t>
      </w:r>
      <w:proofErr w:type="spellStart"/>
      <w:r w:rsidRPr="00ED26A9">
        <w:rPr>
          <w:rFonts w:ascii="Calibri" w:hAnsi="Calibri" w:cs="Calibri"/>
        </w:rPr>
        <w:t>lncRNAs</w:t>
      </w:r>
      <w:proofErr w:type="spellEnd"/>
      <w:r w:rsidRPr="00ED26A9">
        <w:rPr>
          <w:rFonts w:ascii="Calibri" w:hAnsi="Calibri" w:cs="Calibri"/>
        </w:rPr>
        <w:t xml:space="preserve">, 5’UTRs, and pseudogenes are </w:t>
      </w:r>
      <w:proofErr w:type="gramStart"/>
      <w:r w:rsidRPr="00ED26A9">
        <w:rPr>
          <w:rFonts w:ascii="Calibri" w:hAnsi="Calibri" w:cs="Calibri"/>
        </w:rPr>
        <w:t>translated</w:t>
      </w:r>
      <w:proofErr w:type="gramEnd"/>
      <w:r w:rsidRPr="00ED26A9">
        <w:rPr>
          <w:rFonts w:ascii="Calibri" w:hAnsi="Calibri" w:cs="Calibri"/>
        </w:rPr>
        <w:t xml:space="preserve"> and some are likely to express functional proteins. </w:t>
      </w:r>
      <w:proofErr w:type="spellStart"/>
      <w:r w:rsidRPr="00ED26A9">
        <w:rPr>
          <w:rFonts w:ascii="Calibri" w:hAnsi="Calibri" w:cs="Calibri"/>
          <w:i/>
          <w:iCs/>
        </w:rPr>
        <w:t>eLife</w:t>
      </w:r>
      <w:proofErr w:type="spellEnd"/>
      <w:r w:rsidRPr="00ED26A9">
        <w:rPr>
          <w:rFonts w:ascii="Calibri" w:hAnsi="Calibri" w:cs="Calibri"/>
        </w:rPr>
        <w:t xml:space="preserve"> </w:t>
      </w:r>
      <w:proofErr w:type="gramStart"/>
      <w:r w:rsidRPr="00ED26A9">
        <w:rPr>
          <w:rFonts w:ascii="Calibri" w:hAnsi="Calibri" w:cs="Calibri"/>
          <w:b/>
          <w:bCs/>
        </w:rPr>
        <w:t>4</w:t>
      </w:r>
      <w:r w:rsidRPr="00ED26A9">
        <w:rPr>
          <w:rFonts w:ascii="Calibri" w:hAnsi="Calibri" w:cs="Calibri"/>
        </w:rPr>
        <w:t>,.</w:t>
      </w:r>
      <w:proofErr w:type="gramEnd"/>
    </w:p>
    <w:p w14:paraId="43F81968" w14:textId="77777777" w:rsidR="00ED26A9" w:rsidRPr="00ED26A9" w:rsidRDefault="00ED26A9" w:rsidP="00ED26A9">
      <w:pPr>
        <w:pStyle w:val="Bibliography"/>
        <w:rPr>
          <w:rFonts w:ascii="Calibri" w:hAnsi="Calibri" w:cs="Calibri"/>
        </w:rPr>
      </w:pPr>
      <w:r w:rsidRPr="00ED26A9">
        <w:rPr>
          <w:rFonts w:ascii="Calibri" w:hAnsi="Calibri" w:cs="Calibri"/>
        </w:rPr>
        <w:t>5.</w:t>
      </w:r>
      <w:r w:rsidRPr="00ED26A9">
        <w:rPr>
          <w:rFonts w:ascii="Calibri" w:hAnsi="Calibri" w:cs="Calibri"/>
        </w:rPr>
        <w:tab/>
      </w:r>
      <w:proofErr w:type="spellStart"/>
      <w:r w:rsidRPr="00ED26A9">
        <w:rPr>
          <w:rFonts w:ascii="Calibri" w:hAnsi="Calibri" w:cs="Calibri"/>
        </w:rPr>
        <w:t>Ingolia</w:t>
      </w:r>
      <w:proofErr w:type="spellEnd"/>
      <w:r w:rsidRPr="00ED26A9">
        <w:rPr>
          <w:rFonts w:ascii="Calibri" w:hAnsi="Calibri" w:cs="Calibri"/>
        </w:rPr>
        <w:t xml:space="preserve">, N. T., Lareau, L. F. &amp; Weissman, J. S. Ribosome Profiling of Mouse Embryonic Stem Cells Reveals the Complexity of Mammalian Proteomes. </w:t>
      </w:r>
      <w:r w:rsidRPr="00ED26A9">
        <w:rPr>
          <w:rFonts w:ascii="Calibri" w:hAnsi="Calibri" w:cs="Calibri"/>
          <w:i/>
          <w:iCs/>
        </w:rPr>
        <w:t>Cell</w:t>
      </w:r>
      <w:r w:rsidRPr="00ED26A9">
        <w:rPr>
          <w:rFonts w:ascii="Calibri" w:hAnsi="Calibri" w:cs="Calibri"/>
        </w:rPr>
        <w:t xml:space="preserve"> </w:t>
      </w:r>
      <w:r w:rsidRPr="00ED26A9">
        <w:rPr>
          <w:rFonts w:ascii="Calibri" w:hAnsi="Calibri" w:cs="Calibri"/>
          <w:b/>
          <w:bCs/>
        </w:rPr>
        <w:t>147</w:t>
      </w:r>
      <w:r w:rsidRPr="00ED26A9">
        <w:rPr>
          <w:rFonts w:ascii="Calibri" w:hAnsi="Calibri" w:cs="Calibri"/>
        </w:rPr>
        <w:t>, 789–802 (2011).</w:t>
      </w:r>
    </w:p>
    <w:p w14:paraId="1FF389A5" w14:textId="77777777" w:rsidR="00ED26A9" w:rsidRPr="00ED26A9" w:rsidRDefault="00ED26A9" w:rsidP="00ED26A9">
      <w:pPr>
        <w:pStyle w:val="Bibliography"/>
        <w:rPr>
          <w:rFonts w:ascii="Calibri" w:hAnsi="Calibri" w:cs="Calibri"/>
        </w:rPr>
      </w:pPr>
      <w:r w:rsidRPr="00ED26A9">
        <w:rPr>
          <w:rFonts w:ascii="Calibri" w:hAnsi="Calibri" w:cs="Calibri"/>
        </w:rPr>
        <w:t>6.</w:t>
      </w:r>
      <w:r w:rsidRPr="00ED26A9">
        <w:rPr>
          <w:rFonts w:ascii="Calibri" w:hAnsi="Calibri" w:cs="Calibri"/>
        </w:rPr>
        <w:tab/>
        <w:t xml:space="preserve">Yan, Y. </w:t>
      </w:r>
      <w:r w:rsidRPr="00ED26A9">
        <w:rPr>
          <w:rFonts w:ascii="Calibri" w:hAnsi="Calibri" w:cs="Calibri"/>
          <w:i/>
          <w:iCs/>
        </w:rPr>
        <w:t>et al.</w:t>
      </w:r>
      <w:r w:rsidRPr="00ED26A9">
        <w:rPr>
          <w:rFonts w:ascii="Calibri" w:hAnsi="Calibri" w:cs="Calibri"/>
        </w:rPr>
        <w:t xml:space="preserve"> Whole Genome-Derived Tiled Peptide Arrays Detect </w:t>
      </w:r>
      <w:proofErr w:type="spellStart"/>
      <w:r w:rsidRPr="00ED26A9">
        <w:rPr>
          <w:rFonts w:ascii="Calibri" w:hAnsi="Calibri" w:cs="Calibri"/>
        </w:rPr>
        <w:t>Prediagnostic</w:t>
      </w:r>
      <w:proofErr w:type="spellEnd"/>
      <w:r w:rsidRPr="00ED26A9">
        <w:rPr>
          <w:rFonts w:ascii="Calibri" w:hAnsi="Calibri" w:cs="Calibri"/>
        </w:rPr>
        <w:t xml:space="preserve"> Autoantibody Signatures in Non-Small-Cell Lung Cancer. </w:t>
      </w:r>
      <w:r w:rsidRPr="00ED26A9">
        <w:rPr>
          <w:rFonts w:ascii="Calibri" w:hAnsi="Calibri" w:cs="Calibri"/>
          <w:i/>
          <w:iCs/>
        </w:rPr>
        <w:t>Cancer Res.</w:t>
      </w:r>
      <w:r w:rsidRPr="00ED26A9">
        <w:rPr>
          <w:rFonts w:ascii="Calibri" w:hAnsi="Calibri" w:cs="Calibri"/>
        </w:rPr>
        <w:t xml:space="preserve"> </w:t>
      </w:r>
      <w:r w:rsidRPr="00ED26A9">
        <w:rPr>
          <w:rFonts w:ascii="Calibri" w:hAnsi="Calibri" w:cs="Calibri"/>
          <w:b/>
          <w:bCs/>
        </w:rPr>
        <w:t>79</w:t>
      </w:r>
      <w:r w:rsidRPr="00ED26A9">
        <w:rPr>
          <w:rFonts w:ascii="Calibri" w:hAnsi="Calibri" w:cs="Calibri"/>
        </w:rPr>
        <w:t>, 1549–1557 (2019).</w:t>
      </w:r>
    </w:p>
    <w:p w14:paraId="5CF430C4" w14:textId="77777777" w:rsidR="00ED26A9" w:rsidRPr="00ED26A9" w:rsidRDefault="00ED26A9" w:rsidP="00ED26A9">
      <w:pPr>
        <w:pStyle w:val="Bibliography"/>
        <w:rPr>
          <w:rFonts w:ascii="Calibri" w:hAnsi="Calibri" w:cs="Calibri"/>
        </w:rPr>
      </w:pPr>
      <w:r w:rsidRPr="00ED26A9">
        <w:rPr>
          <w:rFonts w:ascii="Calibri" w:hAnsi="Calibri" w:cs="Calibri"/>
        </w:rPr>
        <w:t>7.</w:t>
      </w:r>
      <w:r w:rsidRPr="00ED26A9">
        <w:rPr>
          <w:rFonts w:ascii="Calibri" w:hAnsi="Calibri" w:cs="Calibri"/>
        </w:rPr>
        <w:tab/>
      </w:r>
      <w:proofErr w:type="spellStart"/>
      <w:r w:rsidRPr="00ED26A9">
        <w:rPr>
          <w:rFonts w:ascii="Calibri" w:hAnsi="Calibri" w:cs="Calibri"/>
        </w:rPr>
        <w:t>UniProt</w:t>
      </w:r>
      <w:proofErr w:type="spellEnd"/>
      <w:r w:rsidRPr="00ED26A9">
        <w:rPr>
          <w:rFonts w:ascii="Calibri" w:hAnsi="Calibri" w:cs="Calibri"/>
        </w:rPr>
        <w:t xml:space="preserve">: a worldwide hub of protein knowledge. </w:t>
      </w:r>
      <w:r w:rsidRPr="00ED26A9">
        <w:rPr>
          <w:rFonts w:ascii="Calibri" w:hAnsi="Calibri" w:cs="Calibri"/>
          <w:i/>
          <w:iCs/>
        </w:rPr>
        <w:t>Nucleic Acids Res</w:t>
      </w:r>
      <w:r w:rsidRPr="00ED26A9">
        <w:rPr>
          <w:rFonts w:ascii="Calibri" w:hAnsi="Calibri" w:cs="Calibri"/>
        </w:rPr>
        <w:t xml:space="preserve"> </w:t>
      </w:r>
      <w:r w:rsidRPr="00ED26A9">
        <w:rPr>
          <w:rFonts w:ascii="Calibri" w:hAnsi="Calibri" w:cs="Calibri"/>
          <w:b/>
          <w:bCs/>
        </w:rPr>
        <w:t>47</w:t>
      </w:r>
      <w:r w:rsidRPr="00ED26A9">
        <w:rPr>
          <w:rFonts w:ascii="Calibri" w:hAnsi="Calibri" w:cs="Calibri"/>
        </w:rPr>
        <w:t>, D506–D515 (2019).</w:t>
      </w:r>
    </w:p>
    <w:p w14:paraId="1EFFC764" w14:textId="77777777" w:rsidR="00ED26A9" w:rsidRPr="00ED26A9" w:rsidRDefault="00ED26A9" w:rsidP="00ED26A9">
      <w:pPr>
        <w:pStyle w:val="Bibliography"/>
        <w:rPr>
          <w:rFonts w:ascii="Calibri" w:hAnsi="Calibri" w:cs="Calibri"/>
        </w:rPr>
      </w:pPr>
      <w:r w:rsidRPr="00ED26A9">
        <w:rPr>
          <w:rFonts w:ascii="Calibri" w:hAnsi="Calibri" w:cs="Calibri"/>
        </w:rPr>
        <w:t>8.</w:t>
      </w:r>
      <w:r w:rsidRPr="00ED26A9">
        <w:rPr>
          <w:rFonts w:ascii="Calibri" w:hAnsi="Calibri" w:cs="Calibri"/>
        </w:rPr>
        <w:tab/>
      </w:r>
      <w:proofErr w:type="spellStart"/>
      <w:r w:rsidRPr="00ED26A9">
        <w:rPr>
          <w:rFonts w:ascii="Calibri" w:hAnsi="Calibri" w:cs="Calibri"/>
        </w:rPr>
        <w:t>McNeel</w:t>
      </w:r>
      <w:proofErr w:type="spellEnd"/>
      <w:r w:rsidRPr="00ED26A9">
        <w:rPr>
          <w:rFonts w:ascii="Calibri" w:hAnsi="Calibri" w:cs="Calibri"/>
        </w:rPr>
        <w:t xml:space="preserve">, D. G. </w:t>
      </w:r>
      <w:r w:rsidRPr="00ED26A9">
        <w:rPr>
          <w:rFonts w:ascii="Calibri" w:hAnsi="Calibri" w:cs="Calibri"/>
          <w:i/>
          <w:iCs/>
        </w:rPr>
        <w:t>et al.</w:t>
      </w:r>
      <w:r w:rsidRPr="00ED26A9">
        <w:rPr>
          <w:rFonts w:ascii="Calibri" w:hAnsi="Calibri" w:cs="Calibri"/>
        </w:rPr>
        <w:t xml:space="preserve"> Antibody immunity to prostate cancer associated antigens can be detected in the serum of patients with prostate cancer. </w:t>
      </w:r>
      <w:r w:rsidRPr="00ED26A9">
        <w:rPr>
          <w:rFonts w:ascii="Calibri" w:hAnsi="Calibri" w:cs="Calibri"/>
          <w:i/>
          <w:iCs/>
        </w:rPr>
        <w:t>J. Urol.</w:t>
      </w:r>
      <w:r w:rsidRPr="00ED26A9">
        <w:rPr>
          <w:rFonts w:ascii="Calibri" w:hAnsi="Calibri" w:cs="Calibri"/>
        </w:rPr>
        <w:t xml:space="preserve"> </w:t>
      </w:r>
      <w:r w:rsidRPr="00ED26A9">
        <w:rPr>
          <w:rFonts w:ascii="Calibri" w:hAnsi="Calibri" w:cs="Calibri"/>
          <w:b/>
          <w:bCs/>
        </w:rPr>
        <w:t>164</w:t>
      </w:r>
      <w:r w:rsidRPr="00ED26A9">
        <w:rPr>
          <w:rFonts w:ascii="Calibri" w:hAnsi="Calibri" w:cs="Calibri"/>
        </w:rPr>
        <w:t>, 1825–1829 (2000).</w:t>
      </w:r>
    </w:p>
    <w:p w14:paraId="5591084A" w14:textId="77777777" w:rsidR="00ED26A9" w:rsidRPr="00ED26A9" w:rsidRDefault="00ED26A9" w:rsidP="00ED26A9">
      <w:pPr>
        <w:pStyle w:val="Bibliography"/>
        <w:rPr>
          <w:rFonts w:ascii="Calibri" w:hAnsi="Calibri" w:cs="Calibri"/>
        </w:rPr>
      </w:pPr>
      <w:r w:rsidRPr="00ED26A9">
        <w:rPr>
          <w:rFonts w:ascii="Calibri" w:hAnsi="Calibri" w:cs="Calibri"/>
        </w:rPr>
        <w:t>9.</w:t>
      </w:r>
      <w:r w:rsidRPr="00ED26A9">
        <w:rPr>
          <w:rFonts w:ascii="Calibri" w:hAnsi="Calibri" w:cs="Calibri"/>
        </w:rPr>
        <w:tab/>
        <w:t xml:space="preserve">Olson, B. M. &amp; </w:t>
      </w:r>
      <w:proofErr w:type="spellStart"/>
      <w:r w:rsidRPr="00ED26A9">
        <w:rPr>
          <w:rFonts w:ascii="Calibri" w:hAnsi="Calibri" w:cs="Calibri"/>
        </w:rPr>
        <w:t>McNeel</w:t>
      </w:r>
      <w:proofErr w:type="spellEnd"/>
      <w:r w:rsidRPr="00ED26A9">
        <w:rPr>
          <w:rFonts w:ascii="Calibri" w:hAnsi="Calibri" w:cs="Calibri"/>
        </w:rPr>
        <w:t xml:space="preserve">, D. G. Antibody and T-cell responses specific for the androgen receptor in patients with prostate cancer. </w:t>
      </w:r>
      <w:r w:rsidRPr="00ED26A9">
        <w:rPr>
          <w:rFonts w:ascii="Calibri" w:hAnsi="Calibri" w:cs="Calibri"/>
          <w:i/>
          <w:iCs/>
        </w:rPr>
        <w:t>The Prostate</w:t>
      </w:r>
      <w:r w:rsidRPr="00ED26A9">
        <w:rPr>
          <w:rFonts w:ascii="Calibri" w:hAnsi="Calibri" w:cs="Calibri"/>
        </w:rPr>
        <w:t xml:space="preserve"> </w:t>
      </w:r>
      <w:r w:rsidRPr="00ED26A9">
        <w:rPr>
          <w:rFonts w:ascii="Calibri" w:hAnsi="Calibri" w:cs="Calibri"/>
          <w:b/>
          <w:bCs/>
        </w:rPr>
        <w:t>67</w:t>
      </w:r>
      <w:r w:rsidRPr="00ED26A9">
        <w:rPr>
          <w:rFonts w:ascii="Calibri" w:hAnsi="Calibri" w:cs="Calibri"/>
        </w:rPr>
        <w:t>, 1729–1739 (2007).</w:t>
      </w:r>
    </w:p>
    <w:p w14:paraId="37F7EB3B" w14:textId="77777777" w:rsidR="00ED26A9" w:rsidRPr="00ED26A9" w:rsidRDefault="00ED26A9" w:rsidP="00ED26A9">
      <w:pPr>
        <w:pStyle w:val="Bibliography"/>
        <w:rPr>
          <w:rFonts w:ascii="Calibri" w:hAnsi="Calibri" w:cs="Calibri"/>
        </w:rPr>
      </w:pPr>
      <w:r w:rsidRPr="00ED26A9">
        <w:rPr>
          <w:rFonts w:ascii="Calibri" w:hAnsi="Calibri" w:cs="Calibri"/>
        </w:rPr>
        <w:t>10.</w:t>
      </w:r>
      <w:r w:rsidRPr="00ED26A9">
        <w:rPr>
          <w:rFonts w:ascii="Calibri" w:hAnsi="Calibri" w:cs="Calibri"/>
        </w:rPr>
        <w:tab/>
        <w:t xml:space="preserve">Lo, K. C. </w:t>
      </w:r>
      <w:r w:rsidRPr="00ED26A9">
        <w:rPr>
          <w:rFonts w:ascii="Calibri" w:hAnsi="Calibri" w:cs="Calibri"/>
          <w:i/>
          <w:iCs/>
        </w:rPr>
        <w:t>et al.</w:t>
      </w:r>
      <w:r w:rsidRPr="00ED26A9">
        <w:rPr>
          <w:rFonts w:ascii="Calibri" w:hAnsi="Calibri" w:cs="Calibri"/>
        </w:rPr>
        <w:t xml:space="preserve"> Comprehensive Profiling of the Rheumatoid Arthritis Antibody Repertoire. </w:t>
      </w:r>
      <w:r w:rsidRPr="00ED26A9">
        <w:rPr>
          <w:rFonts w:ascii="Calibri" w:hAnsi="Calibri" w:cs="Calibri"/>
          <w:i/>
          <w:iCs/>
        </w:rPr>
        <w:t>Arthritis &amp; Rheumatology</w:t>
      </w:r>
      <w:r w:rsidRPr="00ED26A9">
        <w:rPr>
          <w:rFonts w:ascii="Calibri" w:hAnsi="Calibri" w:cs="Calibri"/>
        </w:rPr>
        <w:t xml:space="preserve"> </w:t>
      </w:r>
      <w:r w:rsidRPr="00ED26A9">
        <w:rPr>
          <w:rFonts w:ascii="Calibri" w:hAnsi="Calibri" w:cs="Calibri"/>
          <w:b/>
          <w:bCs/>
        </w:rPr>
        <w:t>72</w:t>
      </w:r>
      <w:r w:rsidRPr="00ED26A9">
        <w:rPr>
          <w:rFonts w:ascii="Calibri" w:hAnsi="Calibri" w:cs="Calibri"/>
        </w:rPr>
        <w:t>, 242–250 (2020).</w:t>
      </w:r>
    </w:p>
    <w:p w14:paraId="3D0802F0" w14:textId="77777777" w:rsidR="00ED26A9" w:rsidRPr="00ED26A9" w:rsidRDefault="00ED26A9" w:rsidP="00ED26A9">
      <w:pPr>
        <w:pStyle w:val="Bibliography"/>
        <w:rPr>
          <w:rFonts w:ascii="Calibri" w:hAnsi="Calibri" w:cs="Calibri"/>
        </w:rPr>
      </w:pPr>
      <w:r w:rsidRPr="00ED26A9">
        <w:rPr>
          <w:rFonts w:ascii="Calibri" w:hAnsi="Calibri" w:cs="Calibri"/>
        </w:rPr>
        <w:t>11.</w:t>
      </w:r>
      <w:r w:rsidRPr="00ED26A9">
        <w:rPr>
          <w:rFonts w:ascii="Calibri" w:hAnsi="Calibri" w:cs="Calibri"/>
        </w:rPr>
        <w:tab/>
        <w:t xml:space="preserve">Lang, J. M. </w:t>
      </w:r>
      <w:r w:rsidRPr="00ED26A9">
        <w:rPr>
          <w:rFonts w:ascii="Calibri" w:hAnsi="Calibri" w:cs="Calibri"/>
          <w:i/>
          <w:iCs/>
        </w:rPr>
        <w:t>et al.</w:t>
      </w:r>
      <w:r w:rsidRPr="00ED26A9">
        <w:rPr>
          <w:rFonts w:ascii="Calibri" w:hAnsi="Calibri" w:cs="Calibri"/>
        </w:rPr>
        <w:t xml:space="preserve"> A Randomized Phase II Trial Evaluating Different Schedules of Zoledronic Acid on Bone Mineral Density in Patients </w:t>
      </w:r>
      <w:proofErr w:type="gramStart"/>
      <w:r w:rsidRPr="00ED26A9">
        <w:rPr>
          <w:rFonts w:ascii="Calibri" w:hAnsi="Calibri" w:cs="Calibri"/>
        </w:rPr>
        <w:t>With</w:t>
      </w:r>
      <w:proofErr w:type="gramEnd"/>
      <w:r w:rsidRPr="00ED26A9">
        <w:rPr>
          <w:rFonts w:ascii="Calibri" w:hAnsi="Calibri" w:cs="Calibri"/>
        </w:rPr>
        <w:t xml:space="preserve"> Prostate Cancer Beginning Androgen Deprivation Therapy. </w:t>
      </w:r>
      <w:r w:rsidRPr="00ED26A9">
        <w:rPr>
          <w:rFonts w:ascii="Calibri" w:hAnsi="Calibri" w:cs="Calibri"/>
          <w:i/>
          <w:iCs/>
        </w:rPr>
        <w:t xml:space="preserve">Clin </w:t>
      </w:r>
      <w:proofErr w:type="spellStart"/>
      <w:r w:rsidRPr="00ED26A9">
        <w:rPr>
          <w:rFonts w:ascii="Calibri" w:hAnsi="Calibri" w:cs="Calibri"/>
          <w:i/>
          <w:iCs/>
        </w:rPr>
        <w:t>Genitourin</w:t>
      </w:r>
      <w:proofErr w:type="spellEnd"/>
      <w:r w:rsidRPr="00ED26A9">
        <w:rPr>
          <w:rFonts w:ascii="Calibri" w:hAnsi="Calibri" w:cs="Calibri"/>
          <w:i/>
          <w:iCs/>
        </w:rPr>
        <w:t xml:space="preserve"> Cancer</w:t>
      </w:r>
      <w:r w:rsidRPr="00ED26A9">
        <w:rPr>
          <w:rFonts w:ascii="Calibri" w:hAnsi="Calibri" w:cs="Calibri"/>
        </w:rPr>
        <w:t xml:space="preserve"> </w:t>
      </w:r>
      <w:r w:rsidRPr="00ED26A9">
        <w:rPr>
          <w:rFonts w:ascii="Calibri" w:hAnsi="Calibri" w:cs="Calibri"/>
          <w:b/>
          <w:bCs/>
        </w:rPr>
        <w:t>11</w:t>
      </w:r>
      <w:r w:rsidRPr="00ED26A9">
        <w:rPr>
          <w:rFonts w:ascii="Calibri" w:hAnsi="Calibri" w:cs="Calibri"/>
        </w:rPr>
        <w:t>, (2013).</w:t>
      </w:r>
    </w:p>
    <w:p w14:paraId="7765761E" w14:textId="77777777" w:rsidR="00ED26A9" w:rsidRPr="00ED26A9" w:rsidRDefault="00ED26A9" w:rsidP="00ED26A9">
      <w:pPr>
        <w:pStyle w:val="Bibliography"/>
        <w:rPr>
          <w:rFonts w:ascii="Calibri" w:hAnsi="Calibri" w:cs="Calibri"/>
        </w:rPr>
      </w:pPr>
      <w:r w:rsidRPr="00ED26A9">
        <w:rPr>
          <w:rFonts w:ascii="Calibri" w:hAnsi="Calibri" w:cs="Calibri"/>
        </w:rPr>
        <w:lastRenderedPageBreak/>
        <w:t>12.</w:t>
      </w:r>
      <w:r w:rsidRPr="00ED26A9">
        <w:rPr>
          <w:rFonts w:ascii="Calibri" w:hAnsi="Calibri" w:cs="Calibri"/>
        </w:rPr>
        <w:tab/>
      </w:r>
      <w:proofErr w:type="spellStart"/>
      <w:r w:rsidRPr="00ED26A9">
        <w:rPr>
          <w:rFonts w:ascii="Calibri" w:hAnsi="Calibri" w:cs="Calibri"/>
        </w:rPr>
        <w:t>McNeel</w:t>
      </w:r>
      <w:proofErr w:type="spellEnd"/>
      <w:r w:rsidRPr="00ED26A9">
        <w:rPr>
          <w:rFonts w:ascii="Calibri" w:hAnsi="Calibri" w:cs="Calibri"/>
        </w:rPr>
        <w:t xml:space="preserve">, D. G. </w:t>
      </w:r>
      <w:r w:rsidRPr="00ED26A9">
        <w:rPr>
          <w:rFonts w:ascii="Calibri" w:hAnsi="Calibri" w:cs="Calibri"/>
          <w:i/>
          <w:iCs/>
        </w:rPr>
        <w:t>et al.</w:t>
      </w:r>
      <w:r w:rsidRPr="00ED26A9">
        <w:rPr>
          <w:rFonts w:ascii="Calibri" w:hAnsi="Calibri" w:cs="Calibri"/>
        </w:rPr>
        <w:t xml:space="preserve"> Safety and Immunological Efficacy of a DNA Vaccine Encoding Prostatic Acid Phosphatase in Patients </w:t>
      </w:r>
      <w:proofErr w:type="gramStart"/>
      <w:r w:rsidRPr="00ED26A9">
        <w:rPr>
          <w:rFonts w:ascii="Calibri" w:hAnsi="Calibri" w:cs="Calibri"/>
        </w:rPr>
        <w:t>With</w:t>
      </w:r>
      <w:proofErr w:type="gramEnd"/>
      <w:r w:rsidRPr="00ED26A9">
        <w:rPr>
          <w:rFonts w:ascii="Calibri" w:hAnsi="Calibri" w:cs="Calibri"/>
        </w:rPr>
        <w:t xml:space="preserve"> Stage D0 Prostate Cancer. </w:t>
      </w:r>
      <w:r w:rsidRPr="00ED26A9">
        <w:rPr>
          <w:rFonts w:ascii="Calibri" w:hAnsi="Calibri" w:cs="Calibri"/>
          <w:i/>
          <w:iCs/>
        </w:rPr>
        <w:t>J Clin Oncol</w:t>
      </w:r>
      <w:r w:rsidRPr="00ED26A9">
        <w:rPr>
          <w:rFonts w:ascii="Calibri" w:hAnsi="Calibri" w:cs="Calibri"/>
        </w:rPr>
        <w:t xml:space="preserve"> </w:t>
      </w:r>
      <w:r w:rsidRPr="00ED26A9">
        <w:rPr>
          <w:rFonts w:ascii="Calibri" w:hAnsi="Calibri" w:cs="Calibri"/>
          <w:b/>
          <w:bCs/>
        </w:rPr>
        <w:t>27</w:t>
      </w:r>
      <w:r w:rsidRPr="00ED26A9">
        <w:rPr>
          <w:rFonts w:ascii="Calibri" w:hAnsi="Calibri" w:cs="Calibri"/>
        </w:rPr>
        <w:t>, 4047–4054 (2009).</w:t>
      </w:r>
    </w:p>
    <w:p w14:paraId="60E19349" w14:textId="0A71614D" w:rsidR="00F12FEB" w:rsidRDefault="006B5665" w:rsidP="00886FF0">
      <w:pPr>
        <w:keepNext/>
        <w:rPr>
          <w:b/>
          <w:bCs/>
        </w:rPr>
      </w:pPr>
      <w:r>
        <w:rPr>
          <w:b/>
          <w:bCs/>
        </w:rPr>
        <w:fldChar w:fldCharType="end"/>
      </w:r>
    </w:p>
    <w:p w14:paraId="504065F6" w14:textId="77777777" w:rsidR="00F12FEB" w:rsidRDefault="00F12FEB">
      <w:pPr>
        <w:rPr>
          <w:b/>
          <w:bCs/>
        </w:rPr>
      </w:pPr>
      <w:r>
        <w:rPr>
          <w:b/>
          <w:bCs/>
        </w:rPr>
        <w:br w:type="page"/>
      </w:r>
    </w:p>
    <w:p w14:paraId="69724167" w14:textId="7F0A39E6" w:rsidR="0022499D" w:rsidRDefault="00F12FEB" w:rsidP="00886FF0">
      <w:pPr>
        <w:keepNext/>
      </w:pPr>
      <w:r>
        <w:lastRenderedPageBreak/>
        <w:t>Things for discussion:</w:t>
      </w:r>
    </w:p>
    <w:p w14:paraId="465C23D7" w14:textId="3BE18CE5" w:rsidR="00F12FEB" w:rsidRDefault="00F12FEB" w:rsidP="00886FF0">
      <w:pPr>
        <w:keepNext/>
      </w:pPr>
      <w:r>
        <w:t xml:space="preserve">All proteins are </w:t>
      </w:r>
      <w:proofErr w:type="gramStart"/>
      <w:r>
        <w:t>fairly highly</w:t>
      </w:r>
      <w:proofErr w:type="gramEnd"/>
      <w:r>
        <w:t xml:space="preserve"> expressed in both benign, metastatic adenocarcinoma, and neuroendocrine cancer because we chose the most highly expressed prostate cancer associated proteins</w:t>
      </w:r>
    </w:p>
    <w:p w14:paraId="56E6FD97" w14:textId="3AC001BB" w:rsidR="00F12FEB" w:rsidRDefault="009D15C8" w:rsidP="00886FF0">
      <w:pPr>
        <w:keepNext/>
      </w:pPr>
      <w:r>
        <w:t>There are many more cancer proteins than normal proteins</w:t>
      </w:r>
    </w:p>
    <w:p w14:paraId="730F361A" w14:textId="271C45DE" w:rsidR="00EC3A8F" w:rsidRDefault="00EC3A8F" w:rsidP="00886FF0">
      <w:pPr>
        <w:keepNext/>
      </w:pPr>
      <w:r>
        <w:t>How do we interpret the fact that supposedly non-coding RNAs have protein products that are recognized?</w:t>
      </w:r>
    </w:p>
    <w:p w14:paraId="02B1205B" w14:textId="3B407E21" w:rsidR="004B6C79" w:rsidRDefault="004B6C79" w:rsidP="00886FF0">
      <w:pPr>
        <w:keepNext/>
      </w:pPr>
      <w:r>
        <w:t>Ribosomal proteins are recognized at high rates: maybe since cancer upregulates translational machinery</w:t>
      </w:r>
    </w:p>
    <w:p w14:paraId="343381A5" w14:textId="459D74F3" w:rsidR="00EA7397" w:rsidRDefault="00EA7397" w:rsidP="00886FF0">
      <w:pPr>
        <w:keepNext/>
      </w:pPr>
      <w:r>
        <w:t>PAP/PSA/AR data agrees with literature</w:t>
      </w:r>
    </w:p>
    <w:p w14:paraId="449C566F" w14:textId="1A71F9E3" w:rsidR="00EA7397" w:rsidRDefault="00EA7397" w:rsidP="00886FF0">
      <w:pPr>
        <w:keepNext/>
      </w:pPr>
      <w:r>
        <w:t>Specific proteins recognized by PAP patients could be biomarkers of response</w:t>
      </w:r>
    </w:p>
    <w:p w14:paraId="2228234F" w14:textId="78DF64B0" w:rsidR="009D15C8" w:rsidRDefault="009D15C8" w:rsidP="00886FF0">
      <w:pPr>
        <w:keepNext/>
      </w:pPr>
    </w:p>
    <w:p w14:paraId="2D26AFB8" w14:textId="3E8AECC4" w:rsidR="009D15C8" w:rsidRDefault="009D15C8" w:rsidP="00886FF0">
      <w:pPr>
        <w:keepNext/>
      </w:pPr>
      <w:r>
        <w:t>Questions for statistician:</w:t>
      </w:r>
    </w:p>
    <w:p w14:paraId="382CD6A0" w14:textId="705607B4" w:rsidR="009D15C8" w:rsidRDefault="009D15C8" w:rsidP="00886FF0">
      <w:pPr>
        <w:keepNext/>
      </w:pPr>
      <w:r>
        <w:t>Is averaging correlation coefficients using fisher’s Z valid? Is there a different way of summarizing parts of the correlation matrix?</w:t>
      </w:r>
    </w:p>
    <w:p w14:paraId="2F7283D6" w14:textId="59507E57" w:rsidR="009D15C8" w:rsidRDefault="009D15C8" w:rsidP="00886FF0">
      <w:pPr>
        <w:keepNext/>
      </w:pPr>
      <w:r>
        <w:t>Is correlation the best metric of reproducibility?</w:t>
      </w:r>
    </w:p>
    <w:p w14:paraId="5CA34982" w14:textId="24E12F2C" w:rsidR="009D15C8" w:rsidRDefault="00EF7FB8" w:rsidP="00886FF0">
      <w:pPr>
        <w:keepNext/>
      </w:pPr>
      <w:r>
        <w:t>Do we need to adjust for multiple testing?</w:t>
      </w:r>
    </w:p>
    <w:p w14:paraId="0ECF48A9" w14:textId="45F638E8" w:rsidR="00EF7FB8" w:rsidRDefault="0006321D" w:rsidP="00886FF0">
      <w:pPr>
        <w:keepNext/>
      </w:pPr>
      <w:r>
        <w:t>Is there a way to statistically test if a cancer-exclusive protein appears more often than expected?</w:t>
      </w:r>
    </w:p>
    <w:p w14:paraId="11F1E87D" w14:textId="11F349DD" w:rsidR="0006321D" w:rsidRPr="00F12FEB" w:rsidRDefault="0006321D" w:rsidP="00886FF0">
      <w:pPr>
        <w:keepNext/>
      </w:pPr>
      <w:r>
        <w:t xml:space="preserve">Is there a way to statistically test if there are more mitochondrial proteins in the </w:t>
      </w:r>
      <w:proofErr w:type="spellStart"/>
      <w:r>
        <w:t>mCRPC</w:t>
      </w:r>
      <w:proofErr w:type="spellEnd"/>
      <w:r>
        <w:t xml:space="preserve"> enriched proteins than overall?</w:t>
      </w:r>
    </w:p>
    <w:sectPr w:rsidR="0006321D" w:rsidRPr="00F12F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emanth Potluri" w:date="2020-02-19T16:48:00Z" w:initials="HKP">
    <w:p w14:paraId="43FB8BD8" w14:textId="49FF33A9" w:rsidR="00332E52" w:rsidRDefault="00332E52">
      <w:pPr>
        <w:pStyle w:val="CommentText"/>
      </w:pPr>
      <w:r>
        <w:rPr>
          <w:rStyle w:val="CommentReference"/>
        </w:rPr>
        <w:annotationRef/>
      </w:r>
      <w:r>
        <w:t>Mention binding buffer control results</w:t>
      </w:r>
    </w:p>
  </w:comment>
  <w:comment w:id="1" w:author="Douglas G. McNeel" w:date="2020-03-27T12:32:00Z" w:initials="DGM">
    <w:p w14:paraId="04CD5B98" w14:textId="4CB89794" w:rsidR="005014B2" w:rsidRDefault="005014B2">
      <w:pPr>
        <w:pStyle w:val="CommentText"/>
      </w:pPr>
      <w:r>
        <w:rPr>
          <w:rStyle w:val="CommentReference"/>
        </w:rPr>
        <w:annotationRef/>
      </w:r>
      <w:r>
        <w:t xml:space="preserve">Yes, good to mention.  I don’t </w:t>
      </w:r>
      <w:proofErr w:type="gramStart"/>
      <w:r>
        <w:t>actually know</w:t>
      </w:r>
      <w:proofErr w:type="gramEnd"/>
      <w:r>
        <w:t xml:space="preserve"> if the results were “corrected” for background binding.  Probably irrelevant for individuals where one looks over </w:t>
      </w:r>
      <w:proofErr w:type="gramStart"/>
      <w:r>
        <w:t>time, but</w:t>
      </w:r>
      <w:proofErr w:type="gramEnd"/>
      <w:r>
        <w:t xml:space="preserve"> may be relevant across different individuals.  </w:t>
      </w:r>
    </w:p>
  </w:comment>
  <w:comment w:id="2" w:author="Hemanth Potluri" w:date="2020-03-06T13:27:00Z" w:initials="HKP">
    <w:p w14:paraId="15234152" w14:textId="58A8DCF9" w:rsidR="00D90A34" w:rsidRDefault="00D90A34">
      <w:pPr>
        <w:pStyle w:val="CommentText"/>
      </w:pPr>
      <w:r>
        <w:rPr>
          <w:rStyle w:val="CommentReference"/>
        </w:rPr>
        <w:annotationRef/>
      </w:r>
      <w:r>
        <w:t>Looks like neither of these are on the array. Are there other proteins with literature I could refer to?</w:t>
      </w:r>
    </w:p>
  </w:comment>
  <w:comment w:id="3" w:author="Douglas G. McNeel" w:date="2020-03-18T07:58:00Z" w:initials="DGM">
    <w:p w14:paraId="13E00675" w14:textId="552E5F3F" w:rsidR="005728D8" w:rsidRDefault="005728D8">
      <w:pPr>
        <w:pStyle w:val="CommentText"/>
      </w:pPr>
      <w:r>
        <w:rPr>
          <w:rStyle w:val="CommentReference"/>
        </w:rPr>
        <w:annotationRef/>
      </w:r>
      <w:r>
        <w:t xml:space="preserve">The androgen receptor was included on the array.  I believe it was protein #2!  Our evaluation of antibody responses was restricted to the LBD.  But it may be a close enough approximation.  I am not sure if p53 was included in the array.  We have data about antibody responses to that.  And I think someone has looked for antibody responses to PSMA.  Would lit search the author </w:t>
      </w:r>
      <w:proofErr w:type="spellStart"/>
      <w:r>
        <w:t>Salgaller</w:t>
      </w:r>
      <w:proofErr w:type="spellEnd"/>
      <w:r>
        <w:t xml:space="preserve"> M.  </w:t>
      </w:r>
    </w:p>
  </w:comment>
  <w:comment w:id="4" w:author="Hemanth Potluri [2]" w:date="2020-03-30T13:54:00Z" w:initials="HP">
    <w:p w14:paraId="2DCD2854" w14:textId="7C6405F2" w:rsidR="00D71710" w:rsidRDefault="00D71710">
      <w:pPr>
        <w:pStyle w:val="CommentText"/>
      </w:pPr>
      <w:r>
        <w:rPr>
          <w:rStyle w:val="CommentReference"/>
        </w:rPr>
        <w:annotationRef/>
      </w:r>
      <w:r>
        <w:t>I don’t think p53 is on the array. I haven’t found any papers so far measuring anti-PSMA antibodies.</w:t>
      </w:r>
    </w:p>
  </w:comment>
  <w:comment w:id="6" w:author="Douglas G. McNeel" w:date="2020-03-18T08:55:00Z" w:initials="DGM">
    <w:p w14:paraId="7E63502F" w14:textId="78D2F06E" w:rsidR="00AE3C6D" w:rsidRDefault="00AE3C6D">
      <w:pPr>
        <w:pStyle w:val="CommentText"/>
      </w:pPr>
      <w:r>
        <w:rPr>
          <w:rStyle w:val="CommentReference"/>
        </w:rPr>
        <w:annotationRef/>
      </w:r>
      <w:r>
        <w:t>Does D represent something different from B?  If not, I think B may be more easily understood</w:t>
      </w:r>
    </w:p>
  </w:comment>
  <w:comment w:id="7" w:author="Hemanth Potluri [2]" w:date="2020-03-18T15:34:00Z" w:initials="HP">
    <w:p w14:paraId="189D195C" w14:textId="49028B42" w:rsidR="00C272B1" w:rsidRDefault="00C272B1">
      <w:pPr>
        <w:pStyle w:val="CommentText"/>
      </w:pPr>
      <w:r>
        <w:rPr>
          <w:rStyle w:val="CommentReference"/>
        </w:rPr>
        <w:annotationRef/>
      </w:r>
      <w:r>
        <w:t>D represents significant GO Process terms, while B is significant GO Cellular Component terms. I’m not sure this is the best way to represent it either, but there are so many significant process terms that I couldn’t fit a graph like B in this figure. D was an attempt to condense it down.</w:t>
      </w:r>
      <w:r w:rsidR="008F00C4">
        <w:t xml:space="preserve"> Any other ideas?</w:t>
      </w:r>
    </w:p>
  </w:comment>
  <w:comment w:id="8" w:author="Douglas G. McNeel" w:date="2020-03-27T12:54:00Z" w:initials="DGM">
    <w:p w14:paraId="1012713B" w14:textId="029783FA" w:rsidR="004A1952" w:rsidRDefault="004A1952">
      <w:pPr>
        <w:pStyle w:val="CommentText"/>
      </w:pPr>
      <w:r>
        <w:rPr>
          <w:rStyle w:val="CommentReference"/>
        </w:rPr>
        <w:annotationRef/>
      </w:r>
      <w:r>
        <w:t>Not really – I think “semantic space X” will lose many readers … but I suppose the information is complementary</w:t>
      </w:r>
    </w:p>
  </w:comment>
  <w:comment w:id="9" w:author="Hemanth Potluri [2]" w:date="2020-03-30T14:47:00Z" w:initials="HP">
    <w:p w14:paraId="3FC678DA" w14:textId="09961CD4" w:rsidR="00D65D4B" w:rsidRDefault="00D65D4B">
      <w:pPr>
        <w:pStyle w:val="CommentText"/>
      </w:pPr>
      <w:r>
        <w:rPr>
          <w:rStyle w:val="CommentReference"/>
        </w:rPr>
        <w:annotationRef/>
      </w:r>
      <w:r>
        <w:t>How about just removing the axis labels to emphasize that they are arbitrary?</w:t>
      </w:r>
    </w:p>
  </w:comment>
  <w:comment w:id="10" w:author="Douglas G. McNeel" w:date="2020-03-18T10:36:00Z" w:initials="DGM">
    <w:p w14:paraId="669E9D34" w14:textId="64966160" w:rsidR="00F94093" w:rsidRDefault="00F94093">
      <w:pPr>
        <w:pStyle w:val="CommentText"/>
      </w:pPr>
      <w:r>
        <w:rPr>
          <w:rStyle w:val="CommentReference"/>
        </w:rPr>
        <w:annotationRef/>
      </w:r>
      <w:r>
        <w:t xml:space="preserve">This was as part of a trial – Lang and </w:t>
      </w:r>
      <w:proofErr w:type="spellStart"/>
      <w:r>
        <w:t>McNeel</w:t>
      </w:r>
      <w:proofErr w:type="spellEnd"/>
      <w:r>
        <w:t xml:space="preserve">~ 2011/2012.  </w:t>
      </w:r>
    </w:p>
  </w:comment>
  <w:comment w:id="11" w:author="Hemanth Potluri [2]" w:date="2020-03-18T15:50:00Z" w:initials="HP">
    <w:p w14:paraId="5DEB875C" w14:textId="23E2A5AB" w:rsidR="000D6212" w:rsidRDefault="000D6212">
      <w:pPr>
        <w:pStyle w:val="CommentText"/>
      </w:pPr>
      <w:r>
        <w:rPr>
          <w:rStyle w:val="CommentReference"/>
        </w:rPr>
        <w:annotationRef/>
      </w:r>
      <w:r>
        <w:t>Did I find the right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FB8BD8" w15:done="0"/>
  <w15:commentEx w15:paraId="04CD5B98" w15:paraIdParent="43FB8BD8" w15:done="0"/>
  <w15:commentEx w15:paraId="15234152" w15:done="0"/>
  <w15:commentEx w15:paraId="13E00675" w15:paraIdParent="15234152" w15:done="0"/>
  <w15:commentEx w15:paraId="2DCD2854" w15:paraIdParent="15234152" w15:done="0"/>
  <w15:commentEx w15:paraId="7E63502F" w15:done="0"/>
  <w15:commentEx w15:paraId="189D195C" w15:paraIdParent="7E63502F" w15:done="0"/>
  <w15:commentEx w15:paraId="1012713B" w15:paraIdParent="7E63502F" w15:done="0"/>
  <w15:commentEx w15:paraId="3FC678DA" w15:paraIdParent="7E63502F" w15:done="0"/>
  <w15:commentEx w15:paraId="669E9D34" w15:done="0"/>
  <w15:commentEx w15:paraId="5DEB875C" w15:paraIdParent="669E9D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FB8BD8" w16cid:durableId="21F7E553"/>
  <w16cid:commentId w16cid:paraId="04CD5B98" w16cid:durableId="22288B30"/>
  <w16cid:commentId w16cid:paraId="15234152" w16cid:durableId="220CCE50"/>
  <w16cid:commentId w16cid:paraId="13E00675" w16cid:durableId="221C8132"/>
  <w16cid:commentId w16cid:paraId="2DCD2854" w16cid:durableId="222C789E"/>
  <w16cid:commentId w16cid:paraId="7E63502F" w16cid:durableId="221C8153"/>
  <w16cid:commentId w16cid:paraId="189D195C" w16cid:durableId="221CBDEC"/>
  <w16cid:commentId w16cid:paraId="1012713B" w16cid:durableId="22288B58"/>
  <w16cid:commentId w16cid:paraId="3FC678DA" w16cid:durableId="222C8500"/>
  <w16cid:commentId w16cid:paraId="669E9D34" w16cid:durableId="221F0E95"/>
  <w16cid:commentId w16cid:paraId="5DEB875C" w16cid:durableId="221CC1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manth Potluri">
    <w15:presenceInfo w15:providerId="AD" w15:userId="S::hpotluri@wisc.edu::93db075b-6c99-41e2-9bff-c31564f61be4"/>
  </w15:person>
  <w15:person w15:author="Douglas G. McNeel">
    <w15:presenceInfo w15:providerId="AD" w15:userId="S-1-5-21-3656170845-484873548-599093109-4765"/>
  </w15:person>
  <w15:person w15:author="Hemanth Potluri [2]">
    <w15:presenceInfo w15:providerId="Windows Live" w15:userId="b5347bc1516832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FFC"/>
    <w:rsid w:val="00000F5A"/>
    <w:rsid w:val="00004768"/>
    <w:rsid w:val="000048FF"/>
    <w:rsid w:val="00010EBD"/>
    <w:rsid w:val="000123B3"/>
    <w:rsid w:val="00022EEA"/>
    <w:rsid w:val="00025D6E"/>
    <w:rsid w:val="000366B2"/>
    <w:rsid w:val="00043A77"/>
    <w:rsid w:val="00043D5B"/>
    <w:rsid w:val="00047AEB"/>
    <w:rsid w:val="00047E87"/>
    <w:rsid w:val="00050E3C"/>
    <w:rsid w:val="00056BA7"/>
    <w:rsid w:val="00056FC1"/>
    <w:rsid w:val="00061480"/>
    <w:rsid w:val="0006321D"/>
    <w:rsid w:val="00066198"/>
    <w:rsid w:val="00066D95"/>
    <w:rsid w:val="000676DE"/>
    <w:rsid w:val="00071BDA"/>
    <w:rsid w:val="00073F7C"/>
    <w:rsid w:val="00084B05"/>
    <w:rsid w:val="00084FEE"/>
    <w:rsid w:val="00087440"/>
    <w:rsid w:val="000874A2"/>
    <w:rsid w:val="000A2C8D"/>
    <w:rsid w:val="000A6757"/>
    <w:rsid w:val="000B1C34"/>
    <w:rsid w:val="000B1EA0"/>
    <w:rsid w:val="000B3034"/>
    <w:rsid w:val="000B6E47"/>
    <w:rsid w:val="000D4EBF"/>
    <w:rsid w:val="000D6212"/>
    <w:rsid w:val="000E151C"/>
    <w:rsid w:val="000E67E1"/>
    <w:rsid w:val="000E6D77"/>
    <w:rsid w:val="000E7E34"/>
    <w:rsid w:val="000E7F90"/>
    <w:rsid w:val="000F266E"/>
    <w:rsid w:val="000F3B95"/>
    <w:rsid w:val="00100FF8"/>
    <w:rsid w:val="00117117"/>
    <w:rsid w:val="00123578"/>
    <w:rsid w:val="00132015"/>
    <w:rsid w:val="00133BC7"/>
    <w:rsid w:val="00140BA1"/>
    <w:rsid w:val="00144346"/>
    <w:rsid w:val="001446C0"/>
    <w:rsid w:val="001509A8"/>
    <w:rsid w:val="001548CB"/>
    <w:rsid w:val="00157F93"/>
    <w:rsid w:val="00166B90"/>
    <w:rsid w:val="001776D8"/>
    <w:rsid w:val="001805DC"/>
    <w:rsid w:val="001807B0"/>
    <w:rsid w:val="00181E0D"/>
    <w:rsid w:val="00184592"/>
    <w:rsid w:val="00186D84"/>
    <w:rsid w:val="001908D8"/>
    <w:rsid w:val="00192AAC"/>
    <w:rsid w:val="001A0431"/>
    <w:rsid w:val="001A182D"/>
    <w:rsid w:val="001C51B1"/>
    <w:rsid w:val="001C6031"/>
    <w:rsid w:val="001C749F"/>
    <w:rsid w:val="001C7D0A"/>
    <w:rsid w:val="001C7F0B"/>
    <w:rsid w:val="001E0277"/>
    <w:rsid w:val="001F027D"/>
    <w:rsid w:val="001F16AC"/>
    <w:rsid w:val="001F515C"/>
    <w:rsid w:val="001F5FFD"/>
    <w:rsid w:val="00202C1C"/>
    <w:rsid w:val="00205191"/>
    <w:rsid w:val="00207FA3"/>
    <w:rsid w:val="002141B0"/>
    <w:rsid w:val="00222A79"/>
    <w:rsid w:val="0022499D"/>
    <w:rsid w:val="00230DB6"/>
    <w:rsid w:val="0023375F"/>
    <w:rsid w:val="002407F1"/>
    <w:rsid w:val="00244E8D"/>
    <w:rsid w:val="00246899"/>
    <w:rsid w:val="00250283"/>
    <w:rsid w:val="00252088"/>
    <w:rsid w:val="002557F4"/>
    <w:rsid w:val="00261DC0"/>
    <w:rsid w:val="002623B6"/>
    <w:rsid w:val="00262533"/>
    <w:rsid w:val="0026514F"/>
    <w:rsid w:val="00267976"/>
    <w:rsid w:val="00274DBF"/>
    <w:rsid w:val="0029141B"/>
    <w:rsid w:val="002928EC"/>
    <w:rsid w:val="00293945"/>
    <w:rsid w:val="00293A19"/>
    <w:rsid w:val="0029713D"/>
    <w:rsid w:val="002A035A"/>
    <w:rsid w:val="002A5A68"/>
    <w:rsid w:val="002B64ED"/>
    <w:rsid w:val="002C1DDE"/>
    <w:rsid w:val="002C66BC"/>
    <w:rsid w:val="002C732F"/>
    <w:rsid w:val="002E25E6"/>
    <w:rsid w:val="002E4174"/>
    <w:rsid w:val="002E5747"/>
    <w:rsid w:val="002E67E8"/>
    <w:rsid w:val="002F3014"/>
    <w:rsid w:val="00304054"/>
    <w:rsid w:val="003042EE"/>
    <w:rsid w:val="00311FBE"/>
    <w:rsid w:val="003159BB"/>
    <w:rsid w:val="003323AD"/>
    <w:rsid w:val="00332E52"/>
    <w:rsid w:val="00334A65"/>
    <w:rsid w:val="0033657B"/>
    <w:rsid w:val="003452A3"/>
    <w:rsid w:val="0036321B"/>
    <w:rsid w:val="00377FD0"/>
    <w:rsid w:val="0038029F"/>
    <w:rsid w:val="00383115"/>
    <w:rsid w:val="00385F1D"/>
    <w:rsid w:val="00394071"/>
    <w:rsid w:val="003955CF"/>
    <w:rsid w:val="003A36D9"/>
    <w:rsid w:val="003A79E5"/>
    <w:rsid w:val="003C261C"/>
    <w:rsid w:val="003C73E6"/>
    <w:rsid w:val="003D04DE"/>
    <w:rsid w:val="003D113D"/>
    <w:rsid w:val="003E1B2B"/>
    <w:rsid w:val="003E46B1"/>
    <w:rsid w:val="003E6B8F"/>
    <w:rsid w:val="003F1504"/>
    <w:rsid w:val="003F47C5"/>
    <w:rsid w:val="003F7308"/>
    <w:rsid w:val="00401F7D"/>
    <w:rsid w:val="00404C38"/>
    <w:rsid w:val="00405732"/>
    <w:rsid w:val="00407FED"/>
    <w:rsid w:val="00411A7E"/>
    <w:rsid w:val="00415236"/>
    <w:rsid w:val="00416B99"/>
    <w:rsid w:val="00420712"/>
    <w:rsid w:val="00420F97"/>
    <w:rsid w:val="00424646"/>
    <w:rsid w:val="004251FF"/>
    <w:rsid w:val="004266B7"/>
    <w:rsid w:val="004307DB"/>
    <w:rsid w:val="004406F0"/>
    <w:rsid w:val="00442323"/>
    <w:rsid w:val="0044544C"/>
    <w:rsid w:val="00447EC0"/>
    <w:rsid w:val="00451F7F"/>
    <w:rsid w:val="004544AD"/>
    <w:rsid w:val="004571C3"/>
    <w:rsid w:val="00474EB3"/>
    <w:rsid w:val="00476FFC"/>
    <w:rsid w:val="004842BD"/>
    <w:rsid w:val="00492012"/>
    <w:rsid w:val="004920EE"/>
    <w:rsid w:val="004A1952"/>
    <w:rsid w:val="004B3EC1"/>
    <w:rsid w:val="004B6C79"/>
    <w:rsid w:val="004C6E8E"/>
    <w:rsid w:val="004D176E"/>
    <w:rsid w:val="004D49B6"/>
    <w:rsid w:val="004E0C78"/>
    <w:rsid w:val="004E26DB"/>
    <w:rsid w:val="004E31B8"/>
    <w:rsid w:val="004E53DA"/>
    <w:rsid w:val="004F437A"/>
    <w:rsid w:val="004F5579"/>
    <w:rsid w:val="004F5650"/>
    <w:rsid w:val="004F7919"/>
    <w:rsid w:val="005014B2"/>
    <w:rsid w:val="00506861"/>
    <w:rsid w:val="00506C01"/>
    <w:rsid w:val="00511313"/>
    <w:rsid w:val="00511FDB"/>
    <w:rsid w:val="00520216"/>
    <w:rsid w:val="00520DB6"/>
    <w:rsid w:val="005220B6"/>
    <w:rsid w:val="005228DF"/>
    <w:rsid w:val="0052327F"/>
    <w:rsid w:val="005232F4"/>
    <w:rsid w:val="00527B97"/>
    <w:rsid w:val="0053305A"/>
    <w:rsid w:val="00535185"/>
    <w:rsid w:val="00541841"/>
    <w:rsid w:val="005428CF"/>
    <w:rsid w:val="00544946"/>
    <w:rsid w:val="00545C23"/>
    <w:rsid w:val="00546B2A"/>
    <w:rsid w:val="00547250"/>
    <w:rsid w:val="00563E11"/>
    <w:rsid w:val="005655E6"/>
    <w:rsid w:val="00565646"/>
    <w:rsid w:val="005728D8"/>
    <w:rsid w:val="005748D9"/>
    <w:rsid w:val="005822DE"/>
    <w:rsid w:val="00582E78"/>
    <w:rsid w:val="00586A60"/>
    <w:rsid w:val="00587723"/>
    <w:rsid w:val="00590F25"/>
    <w:rsid w:val="005924C9"/>
    <w:rsid w:val="00592894"/>
    <w:rsid w:val="00594293"/>
    <w:rsid w:val="005A5D29"/>
    <w:rsid w:val="005A7161"/>
    <w:rsid w:val="005B0350"/>
    <w:rsid w:val="005C3861"/>
    <w:rsid w:val="005C6313"/>
    <w:rsid w:val="005C63F4"/>
    <w:rsid w:val="005C67B9"/>
    <w:rsid w:val="005C6BD0"/>
    <w:rsid w:val="005D1074"/>
    <w:rsid w:val="005D1BE8"/>
    <w:rsid w:val="005D5838"/>
    <w:rsid w:val="005D77F6"/>
    <w:rsid w:val="005E644C"/>
    <w:rsid w:val="005F2EFD"/>
    <w:rsid w:val="005F4ECB"/>
    <w:rsid w:val="00611385"/>
    <w:rsid w:val="006125D0"/>
    <w:rsid w:val="00615BFC"/>
    <w:rsid w:val="00617AEA"/>
    <w:rsid w:val="006216C4"/>
    <w:rsid w:val="00630E6E"/>
    <w:rsid w:val="00631E19"/>
    <w:rsid w:val="00637B46"/>
    <w:rsid w:val="00646536"/>
    <w:rsid w:val="006478DA"/>
    <w:rsid w:val="006505C8"/>
    <w:rsid w:val="006508CD"/>
    <w:rsid w:val="00651137"/>
    <w:rsid w:val="006570C6"/>
    <w:rsid w:val="0065759D"/>
    <w:rsid w:val="006723A0"/>
    <w:rsid w:val="00673C90"/>
    <w:rsid w:val="006745B0"/>
    <w:rsid w:val="00676667"/>
    <w:rsid w:val="0068169B"/>
    <w:rsid w:val="006816A0"/>
    <w:rsid w:val="006869BA"/>
    <w:rsid w:val="006906E1"/>
    <w:rsid w:val="00690C22"/>
    <w:rsid w:val="00693CA6"/>
    <w:rsid w:val="00695E81"/>
    <w:rsid w:val="00695FC1"/>
    <w:rsid w:val="00697CCA"/>
    <w:rsid w:val="006A023C"/>
    <w:rsid w:val="006A6D9B"/>
    <w:rsid w:val="006B1CD7"/>
    <w:rsid w:val="006B3DEF"/>
    <w:rsid w:val="006B5665"/>
    <w:rsid w:val="006B7746"/>
    <w:rsid w:val="006C0884"/>
    <w:rsid w:val="006C5250"/>
    <w:rsid w:val="006D4057"/>
    <w:rsid w:val="006D4769"/>
    <w:rsid w:val="006D62AC"/>
    <w:rsid w:val="006E2D1D"/>
    <w:rsid w:val="006E6684"/>
    <w:rsid w:val="006F051B"/>
    <w:rsid w:val="006F0A48"/>
    <w:rsid w:val="006F6007"/>
    <w:rsid w:val="00702472"/>
    <w:rsid w:val="007070C6"/>
    <w:rsid w:val="00707929"/>
    <w:rsid w:val="007104A6"/>
    <w:rsid w:val="00710643"/>
    <w:rsid w:val="00710B2D"/>
    <w:rsid w:val="0071213F"/>
    <w:rsid w:val="00715594"/>
    <w:rsid w:val="00723DCE"/>
    <w:rsid w:val="00726364"/>
    <w:rsid w:val="007265A0"/>
    <w:rsid w:val="00727C0C"/>
    <w:rsid w:val="00733385"/>
    <w:rsid w:val="00740E3B"/>
    <w:rsid w:val="007416E8"/>
    <w:rsid w:val="00742AD6"/>
    <w:rsid w:val="00743200"/>
    <w:rsid w:val="00743CEC"/>
    <w:rsid w:val="007469B9"/>
    <w:rsid w:val="007540D9"/>
    <w:rsid w:val="0075419A"/>
    <w:rsid w:val="0075578F"/>
    <w:rsid w:val="0075656D"/>
    <w:rsid w:val="00756A0C"/>
    <w:rsid w:val="0075749A"/>
    <w:rsid w:val="0076154B"/>
    <w:rsid w:val="00770BFF"/>
    <w:rsid w:val="00773345"/>
    <w:rsid w:val="00775394"/>
    <w:rsid w:val="00775BF6"/>
    <w:rsid w:val="007833AD"/>
    <w:rsid w:val="00784FFA"/>
    <w:rsid w:val="007908FD"/>
    <w:rsid w:val="00791CF8"/>
    <w:rsid w:val="00793AD1"/>
    <w:rsid w:val="00795384"/>
    <w:rsid w:val="00796304"/>
    <w:rsid w:val="007A4502"/>
    <w:rsid w:val="007A7180"/>
    <w:rsid w:val="007C56C3"/>
    <w:rsid w:val="007D6B87"/>
    <w:rsid w:val="007E10D9"/>
    <w:rsid w:val="007E598E"/>
    <w:rsid w:val="007F4754"/>
    <w:rsid w:val="007F6392"/>
    <w:rsid w:val="007F6BED"/>
    <w:rsid w:val="007F746B"/>
    <w:rsid w:val="00807D54"/>
    <w:rsid w:val="008104B6"/>
    <w:rsid w:val="00815708"/>
    <w:rsid w:val="00820318"/>
    <w:rsid w:val="008246E8"/>
    <w:rsid w:val="00825854"/>
    <w:rsid w:val="00825EA6"/>
    <w:rsid w:val="00827E71"/>
    <w:rsid w:val="0084006E"/>
    <w:rsid w:val="008404F8"/>
    <w:rsid w:val="0084267D"/>
    <w:rsid w:val="00842B6D"/>
    <w:rsid w:val="00846B92"/>
    <w:rsid w:val="008551C5"/>
    <w:rsid w:val="00855E0D"/>
    <w:rsid w:val="00860C5A"/>
    <w:rsid w:val="008679D1"/>
    <w:rsid w:val="008773FB"/>
    <w:rsid w:val="00885D0F"/>
    <w:rsid w:val="008861CD"/>
    <w:rsid w:val="00886709"/>
    <w:rsid w:val="00886FF0"/>
    <w:rsid w:val="00887F7C"/>
    <w:rsid w:val="0089078B"/>
    <w:rsid w:val="00890BFA"/>
    <w:rsid w:val="00892E6D"/>
    <w:rsid w:val="00896817"/>
    <w:rsid w:val="008A1C15"/>
    <w:rsid w:val="008A41FD"/>
    <w:rsid w:val="008C715F"/>
    <w:rsid w:val="008D06CF"/>
    <w:rsid w:val="008D45F6"/>
    <w:rsid w:val="008E24AA"/>
    <w:rsid w:val="008E31E8"/>
    <w:rsid w:val="008F00C4"/>
    <w:rsid w:val="008F4BBA"/>
    <w:rsid w:val="008F626E"/>
    <w:rsid w:val="008F6A4C"/>
    <w:rsid w:val="0090461A"/>
    <w:rsid w:val="00906862"/>
    <w:rsid w:val="00913C24"/>
    <w:rsid w:val="00914A95"/>
    <w:rsid w:val="009200C7"/>
    <w:rsid w:val="00923709"/>
    <w:rsid w:val="00925F75"/>
    <w:rsid w:val="00927B98"/>
    <w:rsid w:val="00930CA0"/>
    <w:rsid w:val="00932C33"/>
    <w:rsid w:val="00936D4D"/>
    <w:rsid w:val="00937C70"/>
    <w:rsid w:val="00947BC5"/>
    <w:rsid w:val="009511DC"/>
    <w:rsid w:val="009529A7"/>
    <w:rsid w:val="0096021A"/>
    <w:rsid w:val="00962CF1"/>
    <w:rsid w:val="00963032"/>
    <w:rsid w:val="009748E5"/>
    <w:rsid w:val="0097545E"/>
    <w:rsid w:val="00981025"/>
    <w:rsid w:val="009926AD"/>
    <w:rsid w:val="009941FE"/>
    <w:rsid w:val="009A0307"/>
    <w:rsid w:val="009A1566"/>
    <w:rsid w:val="009A202B"/>
    <w:rsid w:val="009B33BC"/>
    <w:rsid w:val="009B7024"/>
    <w:rsid w:val="009C0965"/>
    <w:rsid w:val="009C1E69"/>
    <w:rsid w:val="009C21A7"/>
    <w:rsid w:val="009C4300"/>
    <w:rsid w:val="009C5011"/>
    <w:rsid w:val="009D15C8"/>
    <w:rsid w:val="009E6B2E"/>
    <w:rsid w:val="009E7742"/>
    <w:rsid w:val="009F0EAF"/>
    <w:rsid w:val="009F126F"/>
    <w:rsid w:val="009F2D21"/>
    <w:rsid w:val="00A02FD6"/>
    <w:rsid w:val="00A06748"/>
    <w:rsid w:val="00A06D8C"/>
    <w:rsid w:val="00A0770A"/>
    <w:rsid w:val="00A104C1"/>
    <w:rsid w:val="00A110F0"/>
    <w:rsid w:val="00A11D47"/>
    <w:rsid w:val="00A11DB7"/>
    <w:rsid w:val="00A1244F"/>
    <w:rsid w:val="00A12752"/>
    <w:rsid w:val="00A13E0C"/>
    <w:rsid w:val="00A205E9"/>
    <w:rsid w:val="00A20EEE"/>
    <w:rsid w:val="00A25670"/>
    <w:rsid w:val="00A263B9"/>
    <w:rsid w:val="00A26C9B"/>
    <w:rsid w:val="00A33CE7"/>
    <w:rsid w:val="00A34893"/>
    <w:rsid w:val="00A40BE2"/>
    <w:rsid w:val="00A46754"/>
    <w:rsid w:val="00A57B73"/>
    <w:rsid w:val="00A7393C"/>
    <w:rsid w:val="00A743B4"/>
    <w:rsid w:val="00A8049E"/>
    <w:rsid w:val="00A84C10"/>
    <w:rsid w:val="00A86D64"/>
    <w:rsid w:val="00AA1844"/>
    <w:rsid w:val="00AA3ECC"/>
    <w:rsid w:val="00AB0BC5"/>
    <w:rsid w:val="00AB3331"/>
    <w:rsid w:val="00AB5799"/>
    <w:rsid w:val="00AC2140"/>
    <w:rsid w:val="00AC2495"/>
    <w:rsid w:val="00AC7551"/>
    <w:rsid w:val="00AD1504"/>
    <w:rsid w:val="00AD17FE"/>
    <w:rsid w:val="00AD3CC2"/>
    <w:rsid w:val="00AD41B4"/>
    <w:rsid w:val="00AD44FA"/>
    <w:rsid w:val="00AD48D7"/>
    <w:rsid w:val="00AD60E6"/>
    <w:rsid w:val="00AE3C6D"/>
    <w:rsid w:val="00AE750B"/>
    <w:rsid w:val="00AE79A1"/>
    <w:rsid w:val="00AF529B"/>
    <w:rsid w:val="00B01524"/>
    <w:rsid w:val="00B02556"/>
    <w:rsid w:val="00B03400"/>
    <w:rsid w:val="00B04547"/>
    <w:rsid w:val="00B0456B"/>
    <w:rsid w:val="00B05CC8"/>
    <w:rsid w:val="00B13575"/>
    <w:rsid w:val="00B22C62"/>
    <w:rsid w:val="00B25D77"/>
    <w:rsid w:val="00B3095A"/>
    <w:rsid w:val="00B34AA5"/>
    <w:rsid w:val="00B37188"/>
    <w:rsid w:val="00B4306E"/>
    <w:rsid w:val="00B457FC"/>
    <w:rsid w:val="00B52728"/>
    <w:rsid w:val="00B54012"/>
    <w:rsid w:val="00B5463E"/>
    <w:rsid w:val="00B56D12"/>
    <w:rsid w:val="00B66C25"/>
    <w:rsid w:val="00B673EA"/>
    <w:rsid w:val="00B67554"/>
    <w:rsid w:val="00B71AF8"/>
    <w:rsid w:val="00B7359F"/>
    <w:rsid w:val="00B7510A"/>
    <w:rsid w:val="00B81D42"/>
    <w:rsid w:val="00B847A9"/>
    <w:rsid w:val="00B96363"/>
    <w:rsid w:val="00B97AD1"/>
    <w:rsid w:val="00BA0178"/>
    <w:rsid w:val="00BA7BED"/>
    <w:rsid w:val="00BB1ABB"/>
    <w:rsid w:val="00BC43A2"/>
    <w:rsid w:val="00BC62FC"/>
    <w:rsid w:val="00BE26CA"/>
    <w:rsid w:val="00BE2D82"/>
    <w:rsid w:val="00BE3813"/>
    <w:rsid w:val="00BE664B"/>
    <w:rsid w:val="00BF24FA"/>
    <w:rsid w:val="00BF6173"/>
    <w:rsid w:val="00C008D5"/>
    <w:rsid w:val="00C1138A"/>
    <w:rsid w:val="00C14602"/>
    <w:rsid w:val="00C14B8B"/>
    <w:rsid w:val="00C150E3"/>
    <w:rsid w:val="00C1714B"/>
    <w:rsid w:val="00C1783F"/>
    <w:rsid w:val="00C2137F"/>
    <w:rsid w:val="00C240A7"/>
    <w:rsid w:val="00C255DD"/>
    <w:rsid w:val="00C272B1"/>
    <w:rsid w:val="00C31FEC"/>
    <w:rsid w:val="00C3685D"/>
    <w:rsid w:val="00C37182"/>
    <w:rsid w:val="00C45E1F"/>
    <w:rsid w:val="00C50D54"/>
    <w:rsid w:val="00C53F8B"/>
    <w:rsid w:val="00C55CD6"/>
    <w:rsid w:val="00C70331"/>
    <w:rsid w:val="00C71C83"/>
    <w:rsid w:val="00C737FF"/>
    <w:rsid w:val="00C742B2"/>
    <w:rsid w:val="00C74F93"/>
    <w:rsid w:val="00C755CB"/>
    <w:rsid w:val="00C7653C"/>
    <w:rsid w:val="00C81BD3"/>
    <w:rsid w:val="00C85F82"/>
    <w:rsid w:val="00C9164E"/>
    <w:rsid w:val="00C92DE3"/>
    <w:rsid w:val="00C93ABD"/>
    <w:rsid w:val="00C9452E"/>
    <w:rsid w:val="00CA5410"/>
    <w:rsid w:val="00CC130F"/>
    <w:rsid w:val="00CC3B8B"/>
    <w:rsid w:val="00CC3E36"/>
    <w:rsid w:val="00CC5942"/>
    <w:rsid w:val="00CC5A23"/>
    <w:rsid w:val="00CD2440"/>
    <w:rsid w:val="00CE14F4"/>
    <w:rsid w:val="00CE340E"/>
    <w:rsid w:val="00CE5317"/>
    <w:rsid w:val="00CF40E4"/>
    <w:rsid w:val="00CF42CC"/>
    <w:rsid w:val="00CF5508"/>
    <w:rsid w:val="00D0204A"/>
    <w:rsid w:val="00D02380"/>
    <w:rsid w:val="00D05AE5"/>
    <w:rsid w:val="00D0784D"/>
    <w:rsid w:val="00D165F4"/>
    <w:rsid w:val="00D21AD5"/>
    <w:rsid w:val="00D24564"/>
    <w:rsid w:val="00D26327"/>
    <w:rsid w:val="00D27BA3"/>
    <w:rsid w:val="00D30EB7"/>
    <w:rsid w:val="00D31F14"/>
    <w:rsid w:val="00D339A9"/>
    <w:rsid w:val="00D40C1D"/>
    <w:rsid w:val="00D41129"/>
    <w:rsid w:val="00D413BE"/>
    <w:rsid w:val="00D4792C"/>
    <w:rsid w:val="00D57679"/>
    <w:rsid w:val="00D61598"/>
    <w:rsid w:val="00D63685"/>
    <w:rsid w:val="00D65CF4"/>
    <w:rsid w:val="00D65D4B"/>
    <w:rsid w:val="00D71710"/>
    <w:rsid w:val="00D75ABC"/>
    <w:rsid w:val="00D76F47"/>
    <w:rsid w:val="00D8203B"/>
    <w:rsid w:val="00D82FA8"/>
    <w:rsid w:val="00D90A34"/>
    <w:rsid w:val="00D915B3"/>
    <w:rsid w:val="00DA6CAA"/>
    <w:rsid w:val="00DB134A"/>
    <w:rsid w:val="00DB6B0A"/>
    <w:rsid w:val="00DC20B1"/>
    <w:rsid w:val="00DC32F4"/>
    <w:rsid w:val="00DC5BC0"/>
    <w:rsid w:val="00DC6A87"/>
    <w:rsid w:val="00DD448E"/>
    <w:rsid w:val="00DD6463"/>
    <w:rsid w:val="00DE2A21"/>
    <w:rsid w:val="00DE31F3"/>
    <w:rsid w:val="00DE4344"/>
    <w:rsid w:val="00DF2141"/>
    <w:rsid w:val="00DF29F9"/>
    <w:rsid w:val="00E04875"/>
    <w:rsid w:val="00E04980"/>
    <w:rsid w:val="00E04D9A"/>
    <w:rsid w:val="00E068CC"/>
    <w:rsid w:val="00E2122F"/>
    <w:rsid w:val="00E2583F"/>
    <w:rsid w:val="00E3023B"/>
    <w:rsid w:val="00E31BE5"/>
    <w:rsid w:val="00E31C3C"/>
    <w:rsid w:val="00E41C00"/>
    <w:rsid w:val="00E50CC4"/>
    <w:rsid w:val="00E52ACD"/>
    <w:rsid w:val="00E714A3"/>
    <w:rsid w:val="00E7175C"/>
    <w:rsid w:val="00E719CB"/>
    <w:rsid w:val="00E732DB"/>
    <w:rsid w:val="00E75A8F"/>
    <w:rsid w:val="00E81ED8"/>
    <w:rsid w:val="00E84A66"/>
    <w:rsid w:val="00E95C58"/>
    <w:rsid w:val="00E95FC2"/>
    <w:rsid w:val="00EA0600"/>
    <w:rsid w:val="00EA2EF5"/>
    <w:rsid w:val="00EA7397"/>
    <w:rsid w:val="00EB0B2C"/>
    <w:rsid w:val="00EB7010"/>
    <w:rsid w:val="00EC136B"/>
    <w:rsid w:val="00EC3104"/>
    <w:rsid w:val="00EC3A8F"/>
    <w:rsid w:val="00ED26A9"/>
    <w:rsid w:val="00ED3217"/>
    <w:rsid w:val="00ED5C26"/>
    <w:rsid w:val="00EE090C"/>
    <w:rsid w:val="00EF5A64"/>
    <w:rsid w:val="00EF689C"/>
    <w:rsid w:val="00EF7FB8"/>
    <w:rsid w:val="00F05028"/>
    <w:rsid w:val="00F12FEB"/>
    <w:rsid w:val="00F13ED0"/>
    <w:rsid w:val="00F14864"/>
    <w:rsid w:val="00F164FB"/>
    <w:rsid w:val="00F222AD"/>
    <w:rsid w:val="00F27CB7"/>
    <w:rsid w:val="00F30269"/>
    <w:rsid w:val="00F422AD"/>
    <w:rsid w:val="00F47B8F"/>
    <w:rsid w:val="00F527BD"/>
    <w:rsid w:val="00F56692"/>
    <w:rsid w:val="00F57545"/>
    <w:rsid w:val="00F66F26"/>
    <w:rsid w:val="00F7635A"/>
    <w:rsid w:val="00F77E25"/>
    <w:rsid w:val="00F86EB8"/>
    <w:rsid w:val="00F90A27"/>
    <w:rsid w:val="00F93657"/>
    <w:rsid w:val="00F94093"/>
    <w:rsid w:val="00F9707A"/>
    <w:rsid w:val="00FA1076"/>
    <w:rsid w:val="00FA153F"/>
    <w:rsid w:val="00FA51A2"/>
    <w:rsid w:val="00FA5C5F"/>
    <w:rsid w:val="00FA67F2"/>
    <w:rsid w:val="00FA7379"/>
    <w:rsid w:val="00FA7995"/>
    <w:rsid w:val="00FB0041"/>
    <w:rsid w:val="00FB3994"/>
    <w:rsid w:val="00FB5BBB"/>
    <w:rsid w:val="00FC70B6"/>
    <w:rsid w:val="00FE01FB"/>
    <w:rsid w:val="00FE1DD5"/>
    <w:rsid w:val="00FE62B5"/>
    <w:rsid w:val="00FE7D3B"/>
    <w:rsid w:val="00FF4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47DEB"/>
  <w15:chartTrackingRefBased/>
  <w15:docId w15:val="{46151120-254F-4A03-92A8-CF434E28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76FFC"/>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95FC1"/>
    <w:rPr>
      <w:sz w:val="16"/>
      <w:szCs w:val="16"/>
    </w:rPr>
  </w:style>
  <w:style w:type="paragraph" w:styleId="CommentText">
    <w:name w:val="annotation text"/>
    <w:basedOn w:val="Normal"/>
    <w:link w:val="CommentTextChar"/>
    <w:uiPriority w:val="99"/>
    <w:semiHidden/>
    <w:unhideWhenUsed/>
    <w:rsid w:val="00695FC1"/>
    <w:pPr>
      <w:spacing w:line="240" w:lineRule="auto"/>
    </w:pPr>
    <w:rPr>
      <w:sz w:val="20"/>
      <w:szCs w:val="20"/>
    </w:rPr>
  </w:style>
  <w:style w:type="character" w:customStyle="1" w:styleId="CommentTextChar">
    <w:name w:val="Comment Text Char"/>
    <w:basedOn w:val="DefaultParagraphFont"/>
    <w:link w:val="CommentText"/>
    <w:uiPriority w:val="99"/>
    <w:semiHidden/>
    <w:rsid w:val="00695FC1"/>
    <w:rPr>
      <w:sz w:val="20"/>
      <w:szCs w:val="20"/>
    </w:rPr>
  </w:style>
  <w:style w:type="paragraph" w:styleId="CommentSubject">
    <w:name w:val="annotation subject"/>
    <w:basedOn w:val="CommentText"/>
    <w:next w:val="CommentText"/>
    <w:link w:val="CommentSubjectChar"/>
    <w:uiPriority w:val="99"/>
    <w:semiHidden/>
    <w:unhideWhenUsed/>
    <w:rsid w:val="00695FC1"/>
    <w:rPr>
      <w:b/>
      <w:bCs/>
    </w:rPr>
  </w:style>
  <w:style w:type="character" w:customStyle="1" w:styleId="CommentSubjectChar">
    <w:name w:val="Comment Subject Char"/>
    <w:basedOn w:val="CommentTextChar"/>
    <w:link w:val="CommentSubject"/>
    <w:uiPriority w:val="99"/>
    <w:semiHidden/>
    <w:rsid w:val="00695FC1"/>
    <w:rPr>
      <w:b/>
      <w:bCs/>
      <w:sz w:val="20"/>
      <w:szCs w:val="20"/>
    </w:rPr>
  </w:style>
  <w:style w:type="paragraph" w:styleId="BalloonText">
    <w:name w:val="Balloon Text"/>
    <w:basedOn w:val="Normal"/>
    <w:link w:val="BalloonTextChar"/>
    <w:uiPriority w:val="99"/>
    <w:semiHidden/>
    <w:unhideWhenUsed/>
    <w:rsid w:val="00695F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5FC1"/>
    <w:rPr>
      <w:rFonts w:ascii="Segoe UI" w:hAnsi="Segoe UI" w:cs="Segoe UI"/>
      <w:sz w:val="18"/>
      <w:szCs w:val="18"/>
    </w:rPr>
  </w:style>
  <w:style w:type="paragraph" w:styleId="Bibliography">
    <w:name w:val="Bibliography"/>
    <w:basedOn w:val="Normal"/>
    <w:next w:val="Normal"/>
    <w:uiPriority w:val="37"/>
    <w:unhideWhenUsed/>
    <w:rsid w:val="006B5665"/>
    <w:pPr>
      <w:tabs>
        <w:tab w:val="left" w:pos="264"/>
      </w:tabs>
      <w:spacing w:after="0" w:line="48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16926">
      <w:bodyDiv w:val="1"/>
      <w:marLeft w:val="0"/>
      <w:marRight w:val="0"/>
      <w:marTop w:val="0"/>
      <w:marBottom w:val="0"/>
      <w:divBdr>
        <w:top w:val="none" w:sz="0" w:space="0" w:color="auto"/>
        <w:left w:val="none" w:sz="0" w:space="0" w:color="auto"/>
        <w:bottom w:val="none" w:sz="0" w:space="0" w:color="auto"/>
        <w:right w:val="none" w:sz="0" w:space="0" w:color="auto"/>
      </w:divBdr>
    </w:div>
    <w:div w:id="659701855">
      <w:bodyDiv w:val="1"/>
      <w:marLeft w:val="0"/>
      <w:marRight w:val="0"/>
      <w:marTop w:val="0"/>
      <w:marBottom w:val="0"/>
      <w:divBdr>
        <w:top w:val="none" w:sz="0" w:space="0" w:color="auto"/>
        <w:left w:val="none" w:sz="0" w:space="0" w:color="auto"/>
        <w:bottom w:val="none" w:sz="0" w:space="0" w:color="auto"/>
        <w:right w:val="none" w:sz="0" w:space="0" w:color="auto"/>
      </w:divBdr>
    </w:div>
    <w:div w:id="102236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1A31C-8E7E-4006-9FCB-C5382B5B0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15</Pages>
  <Words>7148</Words>
  <Characters>40749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K Potluri</dc:creator>
  <cp:keywords/>
  <dc:description/>
  <cp:lastModifiedBy>Hemanth Potluri</cp:lastModifiedBy>
  <cp:revision>86</cp:revision>
  <dcterms:created xsi:type="dcterms:W3CDTF">2020-03-27T17:44:00Z</dcterms:created>
  <dcterms:modified xsi:type="dcterms:W3CDTF">2020-04-01T16:00:00Z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id="75EzCGjj"/&gt;&lt;style id="http://www.zotero.org/styles/nature" hasBibliography="1" bibliographyStyleHasBeenSet="1"/&gt;&lt;prefs&gt;&lt;pref name="fieldType" value="Field"/&gt;&lt;/prefs&gt;&lt;/data&gt;</vt:lpwstr>
  </property>
</Properties>
</file>