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49520" w14:textId="139F146B"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Presentation to Nestlé Management: Insights from Revenue Analysis</w:t>
      </w:r>
    </w:p>
    <w:p w14:paraId="3F79D394" w14:textId="77777777" w:rsidR="00CD2D71" w:rsidRPr="00CD2D71" w:rsidRDefault="00CD2D71" w:rsidP="00CD2D71">
      <w:pPr>
        <w:rPr>
          <w:rFonts w:ascii="Segoe UI Emoji" w:hAnsi="Segoe UI Emoji"/>
          <w:sz w:val="28"/>
          <w:szCs w:val="28"/>
        </w:rPr>
      </w:pPr>
    </w:p>
    <w:p w14:paraId="3FB69E45" w14:textId="626C226F" w:rsidR="00CD2D71" w:rsidRPr="00CD2D71" w:rsidRDefault="00CD2D71" w:rsidP="00CD2D71">
      <w:pPr>
        <w:rPr>
          <w:rFonts w:ascii="Segoe UI Emoji" w:hAnsi="Segoe UI Emoji"/>
          <w:sz w:val="28"/>
          <w:szCs w:val="28"/>
        </w:rPr>
      </w:pPr>
      <w:r w:rsidRPr="00CD2D71">
        <w:rPr>
          <w:rFonts w:ascii="Segoe UI Emoji" w:hAnsi="Segoe UI Emoji"/>
          <w:sz w:val="28"/>
          <w:szCs w:val="28"/>
        </w:rPr>
        <w:t xml:space="preserve"> Introduction</w:t>
      </w:r>
    </w:p>
    <w:p w14:paraId="1FDAE769" w14:textId="313DD33D" w:rsidR="00CD2D71" w:rsidRPr="00CD2D71" w:rsidRDefault="00CD2D71" w:rsidP="00CD2D71">
      <w:pPr>
        <w:rPr>
          <w:rFonts w:ascii="Segoe UI Emoji" w:hAnsi="Segoe UI Emoji"/>
          <w:sz w:val="28"/>
          <w:szCs w:val="28"/>
        </w:rPr>
      </w:pPr>
      <w:r w:rsidRPr="00CD2D71">
        <w:rPr>
          <w:rFonts w:ascii="Segoe UI Emoji" w:hAnsi="Segoe UI Emoji"/>
          <w:sz w:val="28"/>
          <w:szCs w:val="28"/>
        </w:rPr>
        <w:t>Good morning</w:t>
      </w:r>
      <w:r w:rsidRPr="00CD2D71">
        <w:rPr>
          <w:rFonts w:ascii="Segoe UI Emoji" w:hAnsi="Segoe UI Emoji"/>
          <w:sz w:val="28"/>
          <w:szCs w:val="28"/>
        </w:rPr>
        <w:t xml:space="preserve"> esteemed members of the Nestlé management team. Today, we'll delve into key insights extracted from our revenue analysis. As we know, Nestlé's commitment to delivering quality products to customers worldwide is unwavering. Our analysis sheds light on the distribution of revenue by sales medium, revenue generated per product, yearly and monthly sales trends, and the highest and lowest sales locations. Let's explore these insights together.</w:t>
      </w:r>
    </w:p>
    <w:p w14:paraId="2BEC706D" w14:textId="38EAAA66"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Distribution of Revenue by Sales Medium</w:t>
      </w:r>
    </w:p>
    <w:p w14:paraId="62FA74E5" w14:textId="6505F967" w:rsidR="00CD2D71" w:rsidRPr="00CD2D71" w:rsidRDefault="00CD2D71" w:rsidP="00CD2D71">
      <w:pPr>
        <w:rPr>
          <w:rFonts w:ascii="Segoe UI Emoji" w:hAnsi="Segoe UI Emoji"/>
          <w:sz w:val="28"/>
          <w:szCs w:val="28"/>
        </w:rPr>
      </w:pPr>
      <w:r w:rsidRPr="00CD2D71">
        <w:rPr>
          <w:rFonts w:ascii="Segoe UI Emoji" w:hAnsi="Segoe UI Emoji"/>
          <w:sz w:val="28"/>
          <w:szCs w:val="28"/>
        </w:rPr>
        <w:t>We observe that our sales are predominantly driven by direct purchases, accounting for 67.93% of revenue. Online sales make up the remaining 32.07%. This distribution highlights the significance of both our traditional and digital sales channels. It's vital that our strategies align with this distribution to optimize revenue.</w:t>
      </w:r>
    </w:p>
    <w:p w14:paraId="3D6363B6" w14:textId="506D6A94"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Revenue Generated per Product</w:t>
      </w:r>
    </w:p>
    <w:p w14:paraId="5D08ABFA" w14:textId="37F59FF3" w:rsidR="00CD2D71" w:rsidRPr="00CD2D71" w:rsidRDefault="00CD2D71" w:rsidP="00CD2D71">
      <w:pPr>
        <w:rPr>
          <w:rFonts w:ascii="Segoe UI Emoji" w:hAnsi="Segoe UI Emoji"/>
          <w:sz w:val="28"/>
          <w:szCs w:val="28"/>
        </w:rPr>
      </w:pPr>
      <w:proofErr w:type="spellStart"/>
      <w:r w:rsidRPr="00CD2D71">
        <w:rPr>
          <w:rFonts w:ascii="Segoe UI Emoji" w:hAnsi="Segoe UI Emoji"/>
          <w:sz w:val="28"/>
          <w:szCs w:val="28"/>
        </w:rPr>
        <w:t>Analyzing</w:t>
      </w:r>
      <w:proofErr w:type="spellEnd"/>
      <w:r w:rsidRPr="00CD2D71">
        <w:rPr>
          <w:rFonts w:ascii="Segoe UI Emoji" w:hAnsi="Segoe UI Emoji"/>
          <w:sz w:val="28"/>
          <w:szCs w:val="28"/>
        </w:rPr>
        <w:t xml:space="preserve"> revenue across our 9 product names unveils intriguing insights. Our product range's revenue spans from an average of $870.12 to $4,215.94. Notably, Nesquik Duo commands the highest average revenue, 384.52% higher than Nescafe, which records the lowest average revenue at $870.12. The significant disparity emphasizes the potential of certain products to drive revenue growth.</w:t>
      </w:r>
    </w:p>
    <w:p w14:paraId="30BA7EB9" w14:textId="11C17108"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Yearly Trend of Total Sales per Product</w:t>
      </w:r>
    </w:p>
    <w:p w14:paraId="7D9C3E12" w14:textId="77777777" w:rsidR="00CD2D71" w:rsidRPr="00CD2D71" w:rsidRDefault="00CD2D71" w:rsidP="00CD2D71">
      <w:pPr>
        <w:rPr>
          <w:rFonts w:ascii="Segoe UI Emoji" w:hAnsi="Segoe UI Emoji"/>
          <w:sz w:val="28"/>
          <w:szCs w:val="28"/>
        </w:rPr>
      </w:pPr>
      <w:r w:rsidRPr="00CD2D71">
        <w:rPr>
          <w:rFonts w:ascii="Segoe UI Emoji" w:hAnsi="Segoe UI Emoji"/>
          <w:sz w:val="28"/>
          <w:szCs w:val="28"/>
        </w:rPr>
        <w:t>Our products' yearly trends indicate diverse performance. Between 2018 and 2020, Smarties experienced a remarkable 73.55% increase in average total revenue, while Nes Cau witnessed the largest decrease at 56.20%. Smarties' upward trajectory signifies its appeal to consumers and opens avenues for strategic growth.</w:t>
      </w:r>
    </w:p>
    <w:p w14:paraId="6E062196" w14:textId="77777777" w:rsidR="00CD2D71" w:rsidRPr="00CD2D71" w:rsidRDefault="00CD2D71" w:rsidP="00CD2D71">
      <w:pPr>
        <w:rPr>
          <w:rFonts w:ascii="Segoe UI Emoji" w:hAnsi="Segoe UI Emoji"/>
          <w:sz w:val="28"/>
          <w:szCs w:val="28"/>
        </w:rPr>
      </w:pPr>
    </w:p>
    <w:p w14:paraId="7C436ACE" w14:textId="117512F0"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lastRenderedPageBreak/>
        <w:t>Monthly Trend of Total Sales</w:t>
      </w:r>
    </w:p>
    <w:p w14:paraId="66ADAC62" w14:textId="7A2CDFA1" w:rsidR="00CD2D71" w:rsidRPr="00CD2D71" w:rsidRDefault="00CD2D71" w:rsidP="00CD2D71">
      <w:pPr>
        <w:rPr>
          <w:rFonts w:ascii="Segoe UI Emoji" w:hAnsi="Segoe UI Emoji"/>
          <w:sz w:val="28"/>
          <w:szCs w:val="28"/>
        </w:rPr>
      </w:pPr>
      <w:r w:rsidRPr="00CD2D71">
        <w:rPr>
          <w:rFonts w:ascii="Segoe UI Emoji" w:hAnsi="Segoe UI Emoji"/>
          <w:sz w:val="28"/>
          <w:szCs w:val="28"/>
        </w:rPr>
        <w:t>Monthly trends provide valuable insights. December, characterized by festive seasonality, accounts for 11.13% of average total revenue, contributing significantly to our year-end performance. Identifying the lowest-performing months enables us to target strategies to bolster sales during these periods.</w:t>
      </w:r>
    </w:p>
    <w:p w14:paraId="2FBB08F7" w14:textId="47C93DF8"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Minimum &amp; Maximum Revenue Generated per Product</w:t>
      </w:r>
    </w:p>
    <w:p w14:paraId="65ECB075" w14:textId="14049C49" w:rsidR="00CD2D71" w:rsidRPr="00CD2D71" w:rsidRDefault="00CD2D71" w:rsidP="00CD2D71">
      <w:pPr>
        <w:rPr>
          <w:rFonts w:ascii="Segoe UI Emoji" w:hAnsi="Segoe UI Emoji"/>
          <w:sz w:val="28"/>
          <w:szCs w:val="28"/>
        </w:rPr>
      </w:pPr>
      <w:r w:rsidRPr="00CD2D71">
        <w:rPr>
          <w:rFonts w:ascii="Segoe UI Emoji" w:hAnsi="Segoe UI Emoji"/>
          <w:sz w:val="28"/>
          <w:szCs w:val="28"/>
        </w:rPr>
        <w:t>Our analysis reinforces the importance of product diversity. Nesquik Duo leads with an average revenue of $4,215.94, underscoring its market impact. In contrast, Nescafe records an average revenue of $870.12. This range guides us to allocate resources strategically across products.</w:t>
      </w:r>
    </w:p>
    <w:p w14:paraId="443A5856" w14:textId="5DA35E4B"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Location with the Highest and Lowest Sales</w:t>
      </w:r>
    </w:p>
    <w:p w14:paraId="14134339" w14:textId="0FEC6008" w:rsidR="00CD2D71" w:rsidRPr="00CD2D71" w:rsidRDefault="00CD2D71" w:rsidP="00CD2D71">
      <w:pPr>
        <w:rPr>
          <w:rFonts w:ascii="Segoe UI Emoji" w:hAnsi="Segoe UI Emoji"/>
          <w:sz w:val="28"/>
          <w:szCs w:val="28"/>
        </w:rPr>
      </w:pPr>
      <w:r w:rsidRPr="00CD2D71">
        <w:rPr>
          <w:rFonts w:ascii="Segoe UI Emoji" w:hAnsi="Segoe UI Emoji"/>
          <w:sz w:val="28"/>
          <w:szCs w:val="28"/>
        </w:rPr>
        <w:t>Geographic segmentation plays a pivotal role. Western Australia leads with an average total revenue of $1,790.20, surpassing Australian Capital Territory by 10.68%. This disparity signifies distinct market dynamics and aids in targeting efforts for balanced growth.</w:t>
      </w:r>
    </w:p>
    <w:p w14:paraId="4206A78A" w14:textId="4B46D6C2" w:rsidR="00CD2D71" w:rsidRPr="00CD2D71" w:rsidRDefault="00CD2D71" w:rsidP="00CD2D71">
      <w:pPr>
        <w:rPr>
          <w:rFonts w:ascii="Segoe UI Emoji" w:hAnsi="Segoe UI Emoji"/>
          <w:b/>
          <w:bCs/>
          <w:sz w:val="28"/>
          <w:szCs w:val="28"/>
        </w:rPr>
      </w:pPr>
      <w:r w:rsidRPr="00CD2D71">
        <w:rPr>
          <w:rFonts w:ascii="Segoe UI Emoji" w:hAnsi="Segoe UI Emoji"/>
          <w:b/>
          <w:bCs/>
          <w:sz w:val="28"/>
          <w:szCs w:val="28"/>
        </w:rPr>
        <w:t>Conclusion</w:t>
      </w:r>
    </w:p>
    <w:p w14:paraId="6B0AAFBB" w14:textId="77777777" w:rsidR="00CD2D71" w:rsidRDefault="00CD2D71" w:rsidP="00CD2D71">
      <w:pPr>
        <w:rPr>
          <w:rFonts w:ascii="Segoe UI Emoji" w:hAnsi="Segoe UI Emoji"/>
          <w:sz w:val="28"/>
          <w:szCs w:val="28"/>
        </w:rPr>
      </w:pPr>
      <w:r w:rsidRPr="00CD2D71">
        <w:rPr>
          <w:rFonts w:ascii="Segoe UI Emoji" w:hAnsi="Segoe UI Emoji"/>
          <w:sz w:val="28"/>
          <w:szCs w:val="28"/>
        </w:rPr>
        <w:t>In conclusion, our revenue analysis illuminates valuable insights to drive strategic decisions. The distribution of revenue by sales medium, product performance disparities, and regional variations all contribute to a comprehensive understanding of our business landscape. These insights equip us to channel resources efficiently, capitalize on growth opportunities, and ensure Nestlé remains at the forefront of the global food industry.</w:t>
      </w:r>
    </w:p>
    <w:p w14:paraId="44685BFD" w14:textId="2A96821F" w:rsidR="009746F1" w:rsidRPr="00CD2D71" w:rsidRDefault="00CD2D71" w:rsidP="00CD2D71">
      <w:pPr>
        <w:rPr>
          <w:rFonts w:ascii="Segoe UI Emoji" w:hAnsi="Segoe UI Emoji"/>
          <w:sz w:val="28"/>
          <w:szCs w:val="28"/>
        </w:rPr>
      </w:pPr>
      <w:r w:rsidRPr="00CD2D71">
        <w:rPr>
          <w:rFonts w:ascii="Segoe UI Emoji" w:hAnsi="Segoe UI Emoji"/>
          <w:sz w:val="28"/>
          <w:szCs w:val="28"/>
        </w:rPr>
        <w:t>Thank you for your attention. We encourage further discussion and collaboration to harness these insights for our shared success.</w:t>
      </w:r>
    </w:p>
    <w:sectPr w:rsidR="009746F1" w:rsidRPr="00CD2D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D71"/>
    <w:rsid w:val="009746F1"/>
    <w:rsid w:val="00CD2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2CEBE"/>
  <w15:chartTrackingRefBased/>
  <w15:docId w15:val="{030EBED6-ED2F-4ED4-A85C-841008C7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ngufan gbaa</dc:creator>
  <cp:keywords/>
  <dc:description/>
  <cp:lastModifiedBy>ngufan gbaa</cp:lastModifiedBy>
  <cp:revision>1</cp:revision>
  <dcterms:created xsi:type="dcterms:W3CDTF">2023-08-22T17:02:00Z</dcterms:created>
  <dcterms:modified xsi:type="dcterms:W3CDTF">2023-08-22T17:11:00Z</dcterms:modified>
</cp:coreProperties>
</file>