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936" w:rsidRPr="00EB5ACF" w:rsidRDefault="00EF5936" w:rsidP="00EB5ACF">
      <w:pPr>
        <w:spacing w:line="240" w:lineRule="auto"/>
        <w:jc w:val="center"/>
        <w:rPr>
          <w:rFonts w:ascii="Times New Roman" w:hAnsi="Times New Roman" w:cs="Times New Roman"/>
          <w:sz w:val="20"/>
          <w:szCs w:val="20"/>
        </w:rPr>
      </w:pPr>
    </w:p>
    <w:p w:rsidR="005C0653" w:rsidRPr="00EB5ACF" w:rsidRDefault="0008192A" w:rsidP="00EB5ACF">
      <w:pPr>
        <w:spacing w:line="240" w:lineRule="auto"/>
        <w:jc w:val="center"/>
        <w:rPr>
          <w:rFonts w:ascii="Times New Roman" w:hAnsi="Times New Roman" w:cs="Times New Roman"/>
          <w:sz w:val="20"/>
          <w:szCs w:val="20"/>
        </w:rPr>
      </w:pPr>
      <w:r w:rsidRPr="00EB5ACF">
        <w:rPr>
          <w:rFonts w:ascii="Times New Roman" w:hAnsi="Times New Roman" w:cs="Times New Roman"/>
          <w:sz w:val="20"/>
          <w:szCs w:val="20"/>
        </w:rPr>
        <w:t>FINANCIAL MANAGEMENT</w:t>
      </w:r>
    </w:p>
    <w:p w:rsidR="004910D9" w:rsidRPr="00EB5ACF" w:rsidRDefault="004910D9" w:rsidP="00EB5ACF">
      <w:pPr>
        <w:spacing w:line="240" w:lineRule="auto"/>
        <w:jc w:val="center"/>
        <w:rPr>
          <w:rFonts w:ascii="Times New Roman" w:hAnsi="Times New Roman" w:cs="Times New Roman"/>
          <w:color w:val="000000"/>
          <w:sz w:val="20"/>
          <w:szCs w:val="20"/>
        </w:rPr>
      </w:pPr>
    </w:p>
    <w:p w:rsidR="004910D9" w:rsidRPr="00EB5ACF" w:rsidRDefault="004910D9" w:rsidP="00EB5ACF">
      <w:pPr>
        <w:spacing w:line="240" w:lineRule="auto"/>
        <w:jc w:val="center"/>
        <w:rPr>
          <w:rFonts w:ascii="Times New Roman" w:hAnsi="Times New Roman" w:cs="Times New Roman"/>
          <w:sz w:val="20"/>
          <w:szCs w:val="20"/>
        </w:rPr>
      </w:pPr>
    </w:p>
    <w:p w:rsidR="004910D9" w:rsidRPr="00EB5ACF" w:rsidRDefault="004910D9" w:rsidP="00EB5ACF">
      <w:pPr>
        <w:spacing w:line="240" w:lineRule="auto"/>
        <w:rPr>
          <w:rFonts w:ascii="Times New Roman" w:hAnsi="Times New Roman" w:cs="Times New Roman"/>
          <w:color w:val="000000"/>
          <w:sz w:val="20"/>
          <w:szCs w:val="20"/>
        </w:rPr>
      </w:pPr>
    </w:p>
    <w:p w:rsidR="004910D9" w:rsidRPr="00EB5ACF" w:rsidRDefault="004910D9" w:rsidP="00EB5ACF">
      <w:pPr>
        <w:spacing w:line="240" w:lineRule="auto"/>
        <w:jc w:val="center"/>
        <w:rPr>
          <w:rFonts w:ascii="Times New Roman" w:hAnsi="Times New Roman" w:cs="Times New Roman"/>
          <w:color w:val="000000"/>
          <w:sz w:val="20"/>
          <w:szCs w:val="20"/>
        </w:rPr>
      </w:pPr>
    </w:p>
    <w:p w:rsidR="004910D9" w:rsidRPr="00EB5ACF" w:rsidRDefault="004910D9" w:rsidP="00EB5ACF">
      <w:pPr>
        <w:spacing w:line="240" w:lineRule="auto"/>
        <w:jc w:val="center"/>
        <w:rPr>
          <w:rFonts w:ascii="Times New Roman" w:hAnsi="Times New Roman" w:cs="Times New Roman"/>
          <w:color w:val="000000"/>
          <w:sz w:val="20"/>
          <w:szCs w:val="20"/>
        </w:rPr>
      </w:pPr>
    </w:p>
    <w:p w:rsidR="004910D9" w:rsidRPr="00EB5ACF" w:rsidRDefault="004910D9" w:rsidP="00EB5ACF">
      <w:pPr>
        <w:spacing w:line="240" w:lineRule="auto"/>
        <w:jc w:val="center"/>
        <w:rPr>
          <w:rFonts w:ascii="Times New Roman" w:hAnsi="Times New Roman" w:cs="Times New Roman"/>
          <w:color w:val="000000"/>
          <w:sz w:val="20"/>
          <w:szCs w:val="20"/>
        </w:rPr>
      </w:pPr>
    </w:p>
    <w:p w:rsidR="004910D9" w:rsidRPr="00EB5ACF" w:rsidRDefault="004910D9" w:rsidP="00EB5ACF">
      <w:pPr>
        <w:spacing w:line="240" w:lineRule="auto"/>
        <w:jc w:val="center"/>
        <w:rPr>
          <w:rFonts w:ascii="Times New Roman" w:hAnsi="Times New Roman" w:cs="Times New Roman"/>
          <w:color w:val="000000"/>
          <w:sz w:val="20"/>
          <w:szCs w:val="20"/>
        </w:rPr>
      </w:pPr>
      <w:r w:rsidRPr="00EB5ACF">
        <w:rPr>
          <w:rFonts w:ascii="Times New Roman" w:hAnsi="Times New Roman" w:cs="Times New Roman"/>
          <w:color w:val="000000"/>
          <w:sz w:val="20"/>
          <w:szCs w:val="20"/>
        </w:rPr>
        <w:t>By Student’s Name</w:t>
      </w:r>
    </w:p>
    <w:p w:rsidR="004910D9" w:rsidRPr="00EB5ACF" w:rsidRDefault="004910D9" w:rsidP="00EB5ACF">
      <w:pPr>
        <w:spacing w:line="240" w:lineRule="auto"/>
        <w:jc w:val="center"/>
        <w:rPr>
          <w:rFonts w:ascii="Times New Roman" w:hAnsi="Times New Roman" w:cs="Times New Roman"/>
          <w:color w:val="000000"/>
          <w:sz w:val="20"/>
          <w:szCs w:val="20"/>
        </w:rPr>
      </w:pPr>
    </w:p>
    <w:p w:rsidR="004910D9" w:rsidRPr="00EB5ACF" w:rsidRDefault="004910D9" w:rsidP="00EB5ACF">
      <w:pPr>
        <w:spacing w:line="240" w:lineRule="auto"/>
        <w:jc w:val="center"/>
        <w:rPr>
          <w:rFonts w:ascii="Times New Roman" w:hAnsi="Times New Roman" w:cs="Times New Roman"/>
          <w:color w:val="000000"/>
          <w:sz w:val="20"/>
          <w:szCs w:val="20"/>
        </w:rPr>
      </w:pPr>
    </w:p>
    <w:p w:rsidR="004910D9" w:rsidRPr="00EB5ACF" w:rsidRDefault="004910D9" w:rsidP="00EB5ACF">
      <w:pPr>
        <w:spacing w:line="240" w:lineRule="auto"/>
        <w:jc w:val="center"/>
        <w:rPr>
          <w:rFonts w:ascii="Times New Roman" w:hAnsi="Times New Roman" w:cs="Times New Roman"/>
          <w:color w:val="000000"/>
          <w:sz w:val="20"/>
          <w:szCs w:val="20"/>
        </w:rPr>
      </w:pPr>
    </w:p>
    <w:p w:rsidR="004910D9" w:rsidRPr="00EB5ACF" w:rsidRDefault="004910D9" w:rsidP="00EB5ACF">
      <w:pPr>
        <w:tabs>
          <w:tab w:val="left" w:pos="1875"/>
        </w:tabs>
        <w:spacing w:line="240" w:lineRule="auto"/>
        <w:jc w:val="center"/>
        <w:rPr>
          <w:rFonts w:ascii="Times New Roman" w:hAnsi="Times New Roman" w:cs="Times New Roman"/>
          <w:color w:val="000000"/>
          <w:sz w:val="20"/>
          <w:szCs w:val="20"/>
        </w:rPr>
      </w:pPr>
    </w:p>
    <w:p w:rsidR="004910D9" w:rsidRPr="00EB5ACF" w:rsidRDefault="004910D9" w:rsidP="00EB5ACF">
      <w:pPr>
        <w:tabs>
          <w:tab w:val="left" w:pos="1875"/>
        </w:tabs>
        <w:spacing w:line="240" w:lineRule="auto"/>
        <w:jc w:val="center"/>
        <w:rPr>
          <w:rFonts w:ascii="Times New Roman" w:hAnsi="Times New Roman" w:cs="Times New Roman"/>
          <w:color w:val="000000"/>
          <w:sz w:val="20"/>
          <w:szCs w:val="20"/>
        </w:rPr>
      </w:pPr>
    </w:p>
    <w:p w:rsidR="004910D9" w:rsidRPr="00EB5ACF" w:rsidRDefault="004910D9" w:rsidP="00EB5ACF">
      <w:pPr>
        <w:tabs>
          <w:tab w:val="left" w:pos="1875"/>
        </w:tabs>
        <w:spacing w:line="240" w:lineRule="auto"/>
        <w:jc w:val="center"/>
        <w:rPr>
          <w:rFonts w:ascii="Times New Roman" w:hAnsi="Times New Roman" w:cs="Times New Roman"/>
          <w:color w:val="000000"/>
          <w:sz w:val="20"/>
          <w:szCs w:val="20"/>
        </w:rPr>
      </w:pPr>
      <w:r w:rsidRPr="00EB5ACF">
        <w:rPr>
          <w:rFonts w:ascii="Times New Roman" w:hAnsi="Times New Roman" w:cs="Times New Roman"/>
          <w:color w:val="000000"/>
          <w:sz w:val="20"/>
          <w:szCs w:val="20"/>
        </w:rPr>
        <w:t>Code + Course Name</w:t>
      </w:r>
    </w:p>
    <w:p w:rsidR="004910D9" w:rsidRPr="00EB5ACF" w:rsidRDefault="004910D9" w:rsidP="00EB5ACF">
      <w:pPr>
        <w:tabs>
          <w:tab w:val="left" w:pos="1875"/>
        </w:tabs>
        <w:spacing w:line="240" w:lineRule="auto"/>
        <w:jc w:val="center"/>
        <w:rPr>
          <w:rFonts w:ascii="Times New Roman" w:hAnsi="Times New Roman" w:cs="Times New Roman"/>
          <w:color w:val="000000"/>
          <w:sz w:val="20"/>
          <w:szCs w:val="20"/>
        </w:rPr>
      </w:pPr>
      <w:r w:rsidRPr="00EB5ACF">
        <w:rPr>
          <w:rFonts w:ascii="Times New Roman" w:hAnsi="Times New Roman" w:cs="Times New Roman"/>
          <w:noProof/>
          <w:color w:val="000000"/>
          <w:sz w:val="20"/>
          <w:szCs w:val="20"/>
        </w:rPr>
        <w:t>Professor’s</w:t>
      </w:r>
      <w:r w:rsidRPr="00EB5ACF">
        <w:rPr>
          <w:rFonts w:ascii="Times New Roman" w:hAnsi="Times New Roman" w:cs="Times New Roman"/>
          <w:color w:val="000000"/>
          <w:sz w:val="20"/>
          <w:szCs w:val="20"/>
        </w:rPr>
        <w:t xml:space="preserve"> Name</w:t>
      </w:r>
    </w:p>
    <w:p w:rsidR="004910D9" w:rsidRPr="00EB5ACF" w:rsidRDefault="004910D9" w:rsidP="00EB5ACF">
      <w:pPr>
        <w:tabs>
          <w:tab w:val="left" w:pos="1875"/>
        </w:tabs>
        <w:spacing w:line="240" w:lineRule="auto"/>
        <w:jc w:val="center"/>
        <w:rPr>
          <w:rFonts w:ascii="Times New Roman" w:hAnsi="Times New Roman" w:cs="Times New Roman"/>
          <w:color w:val="000000"/>
          <w:sz w:val="20"/>
          <w:szCs w:val="20"/>
        </w:rPr>
      </w:pPr>
      <w:r w:rsidRPr="00EB5ACF">
        <w:rPr>
          <w:rFonts w:ascii="Times New Roman" w:hAnsi="Times New Roman" w:cs="Times New Roman"/>
          <w:color w:val="000000"/>
          <w:sz w:val="20"/>
          <w:szCs w:val="20"/>
        </w:rPr>
        <w:t>University Name</w:t>
      </w:r>
    </w:p>
    <w:p w:rsidR="004910D9" w:rsidRPr="00EB5ACF" w:rsidRDefault="004910D9" w:rsidP="00EB5ACF">
      <w:pPr>
        <w:tabs>
          <w:tab w:val="left" w:pos="1875"/>
        </w:tabs>
        <w:spacing w:line="240" w:lineRule="auto"/>
        <w:jc w:val="center"/>
        <w:rPr>
          <w:rFonts w:ascii="Times New Roman" w:hAnsi="Times New Roman" w:cs="Times New Roman"/>
          <w:color w:val="000000"/>
          <w:sz w:val="20"/>
          <w:szCs w:val="20"/>
        </w:rPr>
      </w:pPr>
      <w:r w:rsidRPr="00EB5ACF">
        <w:rPr>
          <w:rFonts w:ascii="Times New Roman" w:hAnsi="Times New Roman" w:cs="Times New Roman"/>
          <w:color w:val="000000"/>
          <w:sz w:val="20"/>
          <w:szCs w:val="20"/>
        </w:rPr>
        <w:t>City, State</w:t>
      </w:r>
    </w:p>
    <w:p w:rsidR="004910D9" w:rsidRPr="00EB5ACF" w:rsidRDefault="004910D9" w:rsidP="00EB5ACF">
      <w:pPr>
        <w:spacing w:line="240" w:lineRule="auto"/>
        <w:jc w:val="center"/>
        <w:rPr>
          <w:rFonts w:ascii="Times New Roman" w:hAnsi="Times New Roman" w:cs="Times New Roman"/>
          <w:color w:val="000000"/>
          <w:sz w:val="20"/>
          <w:szCs w:val="20"/>
        </w:rPr>
      </w:pPr>
      <w:r w:rsidRPr="00EB5ACF">
        <w:rPr>
          <w:rFonts w:ascii="Times New Roman" w:hAnsi="Times New Roman" w:cs="Times New Roman"/>
          <w:color w:val="000000"/>
          <w:sz w:val="20"/>
          <w:szCs w:val="20"/>
        </w:rPr>
        <w:t xml:space="preserve">Date </w:t>
      </w:r>
    </w:p>
    <w:p w:rsidR="003D29F6" w:rsidRPr="00EB5ACF" w:rsidRDefault="003D29F6" w:rsidP="00EB5ACF">
      <w:pPr>
        <w:spacing w:line="240" w:lineRule="auto"/>
        <w:jc w:val="center"/>
        <w:rPr>
          <w:rFonts w:ascii="Times New Roman" w:hAnsi="Times New Roman" w:cs="Times New Roman"/>
          <w:color w:val="000000"/>
          <w:sz w:val="20"/>
          <w:szCs w:val="20"/>
        </w:rPr>
      </w:pPr>
    </w:p>
    <w:p w:rsidR="003D29F6" w:rsidRPr="00EB5ACF" w:rsidRDefault="003D29F6" w:rsidP="00EB5ACF">
      <w:pPr>
        <w:spacing w:line="240" w:lineRule="auto"/>
        <w:jc w:val="center"/>
        <w:rPr>
          <w:rFonts w:ascii="Times New Roman" w:hAnsi="Times New Roman" w:cs="Times New Roman"/>
          <w:color w:val="000000"/>
          <w:sz w:val="20"/>
          <w:szCs w:val="20"/>
        </w:rPr>
      </w:pPr>
      <w:r w:rsidRPr="00EB5ACF">
        <w:rPr>
          <w:rFonts w:ascii="Times New Roman" w:hAnsi="Times New Roman" w:cs="Times New Roman"/>
          <w:color w:val="000000"/>
          <w:sz w:val="20"/>
          <w:szCs w:val="20"/>
        </w:rPr>
        <w:t>Financial Management</w:t>
      </w:r>
    </w:p>
    <w:p w:rsidR="00C10C43" w:rsidRPr="00EB5ACF" w:rsidRDefault="00C10C43" w:rsidP="00EB5ACF">
      <w:pPr>
        <w:spacing w:line="240" w:lineRule="auto"/>
        <w:ind w:firstLine="720"/>
        <w:rPr>
          <w:rFonts w:ascii="Times New Roman" w:hAnsi="Times New Roman" w:cs="Times New Roman"/>
          <w:sz w:val="20"/>
          <w:szCs w:val="20"/>
        </w:rPr>
      </w:pPr>
      <w:r w:rsidRPr="00EB5ACF">
        <w:rPr>
          <w:rFonts w:ascii="Times New Roman" w:hAnsi="Times New Roman" w:cs="Times New Roman"/>
          <w:sz w:val="20"/>
          <w:szCs w:val="20"/>
        </w:rPr>
        <w:t xml:space="preserve">The phrase financial management refers to the efficient as well as efficient management of the available funds, </w:t>
      </w:r>
      <w:r w:rsidRPr="00EB5ACF">
        <w:rPr>
          <w:rFonts w:ascii="Times New Roman" w:hAnsi="Times New Roman" w:cs="Times New Roman"/>
          <w:noProof/>
          <w:sz w:val="20"/>
          <w:szCs w:val="20"/>
        </w:rPr>
        <w:t>in order to</w:t>
      </w:r>
      <w:r w:rsidRPr="00EB5ACF">
        <w:rPr>
          <w:rFonts w:ascii="Times New Roman" w:hAnsi="Times New Roman" w:cs="Times New Roman"/>
          <w:sz w:val="20"/>
          <w:szCs w:val="20"/>
        </w:rPr>
        <w:t xml:space="preserve"> accomplish an organization’s goals or objectives efficiently. In most organization, financial management is a specialized function that is directly undertaken by the top management level in an organization. One of the primary </w:t>
      </w:r>
      <w:r w:rsidRPr="00EB5ACF">
        <w:rPr>
          <w:rFonts w:ascii="Times New Roman" w:hAnsi="Times New Roman" w:cs="Times New Roman"/>
          <w:noProof/>
          <w:sz w:val="20"/>
          <w:szCs w:val="20"/>
        </w:rPr>
        <w:t>role</w:t>
      </w:r>
      <w:r w:rsidR="008F600B" w:rsidRPr="00EB5ACF">
        <w:rPr>
          <w:rFonts w:ascii="Times New Roman" w:hAnsi="Times New Roman" w:cs="Times New Roman"/>
          <w:noProof/>
          <w:sz w:val="20"/>
          <w:szCs w:val="20"/>
        </w:rPr>
        <w:t>s</w:t>
      </w:r>
      <w:r w:rsidRPr="00EB5ACF">
        <w:rPr>
          <w:rFonts w:ascii="Times New Roman" w:hAnsi="Times New Roman" w:cs="Times New Roman"/>
          <w:sz w:val="20"/>
          <w:szCs w:val="20"/>
        </w:rPr>
        <w:t xml:space="preserve"> of financial management in an organization is the management of both the receivables or debtors and inventories or stock. This essay will focus on the importance of managing receivables or inventories in an organization through an analysis of the financial statements of the Advanced Medical Solutions Group (AMS) as well as </w:t>
      </w:r>
      <w:r w:rsidR="00317B15" w:rsidRPr="00EB5ACF">
        <w:rPr>
          <w:rFonts w:ascii="Times New Roman" w:hAnsi="Times New Roman" w:cs="Times New Roman"/>
          <w:sz w:val="20"/>
          <w:szCs w:val="20"/>
        </w:rPr>
        <w:t>GlaxoSmithKline PLC (GSK)</w:t>
      </w:r>
      <w:r w:rsidR="007E6135" w:rsidRPr="00EB5ACF">
        <w:rPr>
          <w:rFonts w:ascii="Times New Roman" w:hAnsi="Times New Roman" w:cs="Times New Roman"/>
          <w:sz w:val="20"/>
          <w:szCs w:val="20"/>
        </w:rPr>
        <w:t xml:space="preserve">. </w:t>
      </w:r>
    </w:p>
    <w:p w:rsidR="009B24EB" w:rsidRPr="00EB5ACF" w:rsidRDefault="009B24EB" w:rsidP="00EB5ACF">
      <w:pPr>
        <w:spacing w:line="240" w:lineRule="auto"/>
        <w:jc w:val="center"/>
        <w:rPr>
          <w:rFonts w:ascii="Times New Roman" w:hAnsi="Times New Roman" w:cs="Times New Roman"/>
          <w:sz w:val="20"/>
          <w:szCs w:val="20"/>
        </w:rPr>
      </w:pPr>
      <w:r w:rsidRPr="00EB5ACF">
        <w:rPr>
          <w:rFonts w:ascii="Times New Roman" w:hAnsi="Times New Roman" w:cs="Times New Roman"/>
          <w:sz w:val="20"/>
          <w:szCs w:val="20"/>
        </w:rPr>
        <w:t>Debtors (Receivables) and Stock (Inventories)</w:t>
      </w:r>
    </w:p>
    <w:p w:rsidR="009B24EB" w:rsidRPr="00EB5ACF" w:rsidRDefault="009B24EB" w:rsidP="00EB5ACF">
      <w:pPr>
        <w:spacing w:line="240" w:lineRule="auto"/>
        <w:rPr>
          <w:rFonts w:ascii="Times New Roman" w:hAnsi="Times New Roman" w:cs="Times New Roman"/>
          <w:sz w:val="20"/>
          <w:szCs w:val="20"/>
        </w:rPr>
      </w:pPr>
      <w:r w:rsidRPr="00EB5ACF">
        <w:rPr>
          <w:rFonts w:ascii="Times New Roman" w:hAnsi="Times New Roman" w:cs="Times New Roman"/>
          <w:sz w:val="20"/>
          <w:szCs w:val="20"/>
        </w:rPr>
        <w:tab/>
        <w:t xml:space="preserve">In a business organization, debtors are those persons or entities that owe money to the business. Consequently, when the business attains </w:t>
      </w:r>
      <w:r w:rsidRPr="00EB5ACF">
        <w:rPr>
          <w:rFonts w:ascii="Times New Roman" w:hAnsi="Times New Roman" w:cs="Times New Roman"/>
          <w:noProof/>
          <w:sz w:val="20"/>
          <w:szCs w:val="20"/>
        </w:rPr>
        <w:t>funds</w:t>
      </w:r>
      <w:r w:rsidR="008F600B" w:rsidRPr="00EB5ACF">
        <w:rPr>
          <w:rFonts w:ascii="Times New Roman" w:hAnsi="Times New Roman" w:cs="Times New Roman"/>
          <w:noProof/>
          <w:sz w:val="20"/>
          <w:szCs w:val="20"/>
        </w:rPr>
        <w:t>,</w:t>
      </w:r>
      <w:r w:rsidRPr="00EB5ACF">
        <w:rPr>
          <w:rFonts w:ascii="Times New Roman" w:hAnsi="Times New Roman" w:cs="Times New Roman"/>
          <w:sz w:val="20"/>
          <w:szCs w:val="20"/>
        </w:rPr>
        <w:t xml:space="preserve"> such debtors, it is said to have attained receivables. On the other hand, the term inventories characterize an entity’s raw materials, completed goods as well as work in progress products, which are all parts of a business’ assets and meant for sale. The primary advantage of debtors is that they offer business to an entity by making purchases. </w:t>
      </w:r>
    </w:p>
    <w:p w:rsidR="009B24EB" w:rsidRPr="00EB5ACF" w:rsidRDefault="009B24EB" w:rsidP="00EB5ACF">
      <w:pPr>
        <w:spacing w:line="240" w:lineRule="auto"/>
        <w:ind w:firstLine="720"/>
        <w:rPr>
          <w:rFonts w:ascii="Times New Roman" w:hAnsi="Times New Roman" w:cs="Times New Roman"/>
          <w:sz w:val="20"/>
          <w:szCs w:val="20"/>
        </w:rPr>
      </w:pPr>
      <w:r w:rsidRPr="00EB5ACF">
        <w:rPr>
          <w:rFonts w:ascii="Times New Roman" w:hAnsi="Times New Roman" w:cs="Times New Roman"/>
          <w:sz w:val="20"/>
          <w:szCs w:val="20"/>
        </w:rPr>
        <w:t>However, a lot of debt reduces the working capital of</w:t>
      </w:r>
      <w:r w:rsidRPr="00EB5ACF">
        <w:rPr>
          <w:rFonts w:ascii="Times New Roman" w:hAnsi="Times New Roman" w:cs="Times New Roman"/>
          <w:noProof/>
          <w:sz w:val="20"/>
          <w:szCs w:val="20"/>
        </w:rPr>
        <w:t xml:space="preserve"> business</w:t>
      </w:r>
      <w:r w:rsidR="008F600B" w:rsidRPr="00EB5ACF">
        <w:rPr>
          <w:rFonts w:ascii="Times New Roman" w:hAnsi="Times New Roman" w:cs="Times New Roman"/>
          <w:noProof/>
          <w:sz w:val="20"/>
          <w:szCs w:val="20"/>
        </w:rPr>
        <w:t>,</w:t>
      </w:r>
      <w:r w:rsidRPr="00EB5ACF">
        <w:rPr>
          <w:rFonts w:ascii="Times New Roman" w:hAnsi="Times New Roman" w:cs="Times New Roman"/>
          <w:sz w:val="20"/>
          <w:szCs w:val="20"/>
        </w:rPr>
        <w:t xml:space="preserve"> and this can affect its normal operations. On the other hand,</w:t>
      </w:r>
      <w:r w:rsidR="008F600B" w:rsidRPr="00EB5ACF">
        <w:rPr>
          <w:rFonts w:ascii="Times New Roman" w:hAnsi="Times New Roman" w:cs="Times New Roman"/>
          <w:sz w:val="20"/>
          <w:szCs w:val="20"/>
        </w:rPr>
        <w:t xml:space="preserve"> the</w:t>
      </w:r>
      <w:r w:rsidRPr="00EB5ACF">
        <w:rPr>
          <w:rFonts w:ascii="Times New Roman" w:hAnsi="Times New Roman" w:cs="Times New Roman"/>
          <w:sz w:val="20"/>
          <w:szCs w:val="20"/>
        </w:rPr>
        <w:t xml:space="preserve"> </w:t>
      </w:r>
      <w:r w:rsidRPr="00EB5ACF">
        <w:rPr>
          <w:rFonts w:ascii="Times New Roman" w:hAnsi="Times New Roman" w:cs="Times New Roman"/>
          <w:noProof/>
          <w:sz w:val="20"/>
          <w:szCs w:val="20"/>
        </w:rPr>
        <w:t>stock</w:t>
      </w:r>
      <w:r w:rsidRPr="00EB5ACF">
        <w:rPr>
          <w:rFonts w:ascii="Times New Roman" w:hAnsi="Times New Roman" w:cs="Times New Roman"/>
          <w:sz w:val="20"/>
          <w:szCs w:val="20"/>
        </w:rPr>
        <w:t xml:space="preserve"> is part of an entity’s </w:t>
      </w:r>
      <w:r w:rsidRPr="00EB5ACF">
        <w:rPr>
          <w:rFonts w:ascii="Times New Roman" w:hAnsi="Times New Roman" w:cs="Times New Roman"/>
          <w:noProof/>
          <w:sz w:val="20"/>
          <w:szCs w:val="20"/>
        </w:rPr>
        <w:t>asset</w:t>
      </w:r>
      <w:r w:rsidR="008F600B" w:rsidRPr="00EB5ACF">
        <w:rPr>
          <w:rFonts w:ascii="Times New Roman" w:hAnsi="Times New Roman" w:cs="Times New Roman"/>
          <w:noProof/>
          <w:sz w:val="20"/>
          <w:szCs w:val="20"/>
        </w:rPr>
        <w:t>,</w:t>
      </w:r>
      <w:r w:rsidRPr="00EB5ACF">
        <w:rPr>
          <w:rFonts w:ascii="Times New Roman" w:hAnsi="Times New Roman" w:cs="Times New Roman"/>
          <w:sz w:val="20"/>
          <w:szCs w:val="20"/>
        </w:rPr>
        <w:t xml:space="preserve"> and through its sale, a business can earn profits. Nevertheless, stagnated stock can cause a loss to the business through spoiling, in</w:t>
      </w:r>
      <w:r w:rsidR="008F600B" w:rsidRPr="00EB5ACF">
        <w:rPr>
          <w:rFonts w:ascii="Times New Roman" w:hAnsi="Times New Roman" w:cs="Times New Roman"/>
          <w:sz w:val="20"/>
          <w:szCs w:val="20"/>
        </w:rPr>
        <w:t xml:space="preserve"> the</w:t>
      </w:r>
      <w:r w:rsidRPr="00EB5ACF">
        <w:rPr>
          <w:rFonts w:ascii="Times New Roman" w:hAnsi="Times New Roman" w:cs="Times New Roman"/>
          <w:sz w:val="20"/>
          <w:szCs w:val="20"/>
        </w:rPr>
        <w:t xml:space="preserve"> </w:t>
      </w:r>
      <w:r w:rsidRPr="00EB5ACF">
        <w:rPr>
          <w:rFonts w:ascii="Times New Roman" w:hAnsi="Times New Roman" w:cs="Times New Roman"/>
          <w:noProof/>
          <w:sz w:val="20"/>
          <w:szCs w:val="20"/>
        </w:rPr>
        <w:t>case</w:t>
      </w:r>
      <w:r w:rsidRPr="00EB5ACF">
        <w:rPr>
          <w:rFonts w:ascii="Times New Roman" w:hAnsi="Times New Roman" w:cs="Times New Roman"/>
          <w:sz w:val="20"/>
          <w:szCs w:val="20"/>
        </w:rPr>
        <w:t xml:space="preserve"> of perishable products, or through accrued costs such as storage costs. Nevertheless, there is a close relationship between debtors and stock in that the business must have the two components </w:t>
      </w:r>
      <w:r w:rsidRPr="00EB5ACF">
        <w:rPr>
          <w:rFonts w:ascii="Times New Roman" w:hAnsi="Times New Roman" w:cs="Times New Roman"/>
          <w:noProof/>
          <w:sz w:val="20"/>
          <w:szCs w:val="20"/>
        </w:rPr>
        <w:t>in order to</w:t>
      </w:r>
      <w:r w:rsidRPr="00EB5ACF">
        <w:rPr>
          <w:rFonts w:ascii="Times New Roman" w:hAnsi="Times New Roman" w:cs="Times New Roman"/>
          <w:sz w:val="20"/>
          <w:szCs w:val="20"/>
        </w:rPr>
        <w:t xml:space="preserve"> function effectively. </w:t>
      </w:r>
    </w:p>
    <w:p w:rsidR="00582CAB" w:rsidRPr="00EB5ACF" w:rsidRDefault="00582CAB" w:rsidP="00EB5ACF">
      <w:pPr>
        <w:spacing w:line="240" w:lineRule="auto"/>
        <w:jc w:val="center"/>
        <w:rPr>
          <w:rFonts w:ascii="Times New Roman" w:hAnsi="Times New Roman" w:cs="Times New Roman"/>
          <w:sz w:val="20"/>
          <w:szCs w:val="20"/>
        </w:rPr>
      </w:pPr>
      <w:r w:rsidRPr="00EB5ACF">
        <w:rPr>
          <w:rFonts w:ascii="Times New Roman" w:hAnsi="Times New Roman" w:cs="Times New Roman"/>
          <w:sz w:val="20"/>
          <w:szCs w:val="20"/>
        </w:rPr>
        <w:t>Significance of Managing Receivables and Inventories in the Organization</w:t>
      </w:r>
    </w:p>
    <w:p w:rsidR="00582CAB" w:rsidRPr="00EB5ACF" w:rsidRDefault="00582CAB" w:rsidP="00EB5ACF">
      <w:pPr>
        <w:spacing w:line="240" w:lineRule="auto"/>
        <w:ind w:firstLine="720"/>
        <w:rPr>
          <w:rFonts w:ascii="Times New Roman" w:hAnsi="Times New Roman" w:cs="Times New Roman"/>
          <w:sz w:val="20"/>
          <w:szCs w:val="20"/>
        </w:rPr>
      </w:pPr>
      <w:r w:rsidRPr="00EB5ACF">
        <w:rPr>
          <w:rFonts w:ascii="Times New Roman" w:hAnsi="Times New Roman" w:cs="Times New Roman"/>
          <w:sz w:val="20"/>
          <w:szCs w:val="20"/>
        </w:rPr>
        <w:t xml:space="preserve">Financial management has numerous advantages to the concerned corporations. </w:t>
      </w:r>
      <w:r w:rsidRPr="00EB5ACF">
        <w:rPr>
          <w:rFonts w:ascii="Times New Roman" w:hAnsi="Times New Roman" w:cs="Times New Roman"/>
          <w:noProof/>
          <w:sz w:val="20"/>
          <w:szCs w:val="20"/>
        </w:rPr>
        <w:t>This</w:t>
      </w:r>
      <w:r w:rsidRPr="00EB5ACF">
        <w:rPr>
          <w:rFonts w:ascii="Times New Roman" w:hAnsi="Times New Roman" w:cs="Times New Roman"/>
          <w:sz w:val="20"/>
          <w:szCs w:val="20"/>
        </w:rPr>
        <w:t xml:space="preserve"> is because it facilitates a smooth flow of an institution’s operations by ensuring that there is sufficient operating capital. It </w:t>
      </w:r>
      <w:r w:rsidRPr="00EB5ACF">
        <w:rPr>
          <w:rFonts w:ascii="Times New Roman" w:hAnsi="Times New Roman" w:cs="Times New Roman"/>
          <w:sz w:val="20"/>
          <w:szCs w:val="20"/>
        </w:rPr>
        <w:lastRenderedPageBreak/>
        <w:t xml:space="preserve">also aids the management team in an organization to base all its financial decisions based on the current financial records of the organization. This way, all decisions made are offered sufficient capital resources, which consequently promotes the attainment of the organization’s financial objectives. Ultimately, financial management of receivables and stock enables the management department to measure the performance of the organization. </w:t>
      </w:r>
    </w:p>
    <w:p w:rsidR="002D69AA" w:rsidRPr="00EB5ACF" w:rsidRDefault="002D69AA" w:rsidP="00EB5ACF">
      <w:pPr>
        <w:spacing w:line="240" w:lineRule="auto"/>
        <w:jc w:val="center"/>
        <w:rPr>
          <w:rFonts w:ascii="Times New Roman" w:hAnsi="Times New Roman" w:cs="Times New Roman"/>
          <w:sz w:val="20"/>
          <w:szCs w:val="20"/>
        </w:rPr>
      </w:pPr>
      <w:r w:rsidRPr="00EB5ACF">
        <w:rPr>
          <w:rFonts w:ascii="Times New Roman" w:hAnsi="Times New Roman" w:cs="Times New Roman"/>
          <w:sz w:val="20"/>
          <w:szCs w:val="20"/>
        </w:rPr>
        <w:t xml:space="preserve">AMS and </w:t>
      </w:r>
      <w:r w:rsidR="004E03F2" w:rsidRPr="00EB5ACF">
        <w:rPr>
          <w:rFonts w:ascii="Times New Roman" w:hAnsi="Times New Roman" w:cs="Times New Roman"/>
          <w:sz w:val="20"/>
          <w:szCs w:val="20"/>
        </w:rPr>
        <w:t>GSK</w:t>
      </w:r>
      <w:r w:rsidRPr="00EB5ACF">
        <w:rPr>
          <w:rFonts w:ascii="Times New Roman" w:hAnsi="Times New Roman" w:cs="Times New Roman"/>
          <w:sz w:val="20"/>
          <w:szCs w:val="20"/>
        </w:rPr>
        <w:t xml:space="preserve"> Corporations</w:t>
      </w:r>
    </w:p>
    <w:p w:rsidR="00C47A26" w:rsidRPr="00EB5ACF" w:rsidRDefault="005A1108" w:rsidP="00EB5ACF">
      <w:pPr>
        <w:spacing w:line="240" w:lineRule="auto"/>
        <w:ind w:firstLine="720"/>
        <w:rPr>
          <w:rFonts w:ascii="Times New Roman" w:hAnsi="Times New Roman" w:cs="Times New Roman"/>
          <w:sz w:val="20"/>
          <w:szCs w:val="20"/>
        </w:rPr>
      </w:pPr>
      <w:r w:rsidRPr="00EB5ACF">
        <w:rPr>
          <w:rFonts w:ascii="Times New Roman" w:hAnsi="Times New Roman" w:cs="Times New Roman"/>
          <w:sz w:val="20"/>
          <w:szCs w:val="20"/>
        </w:rPr>
        <w:t xml:space="preserve">This analysis will focus on </w:t>
      </w:r>
      <w:r w:rsidR="00E52F51" w:rsidRPr="00EB5ACF">
        <w:rPr>
          <w:rFonts w:ascii="Times New Roman" w:hAnsi="Times New Roman" w:cs="Times New Roman"/>
          <w:sz w:val="20"/>
          <w:szCs w:val="20"/>
        </w:rPr>
        <w:t xml:space="preserve">the financial statements of AMS and </w:t>
      </w:r>
      <w:r w:rsidR="004408A6" w:rsidRPr="00EB5ACF">
        <w:rPr>
          <w:rFonts w:ascii="Times New Roman" w:hAnsi="Times New Roman" w:cs="Times New Roman"/>
          <w:sz w:val="20"/>
          <w:szCs w:val="20"/>
        </w:rPr>
        <w:t>GSK</w:t>
      </w:r>
      <w:r w:rsidR="00E52F51" w:rsidRPr="00EB5ACF">
        <w:rPr>
          <w:rFonts w:ascii="Times New Roman" w:hAnsi="Times New Roman" w:cs="Times New Roman"/>
          <w:sz w:val="20"/>
          <w:szCs w:val="20"/>
        </w:rPr>
        <w:t xml:space="preserve"> </w:t>
      </w:r>
      <w:r w:rsidR="008334C2" w:rsidRPr="00EB5ACF">
        <w:rPr>
          <w:rFonts w:ascii="Times New Roman" w:hAnsi="Times New Roman" w:cs="Times New Roman"/>
          <w:sz w:val="20"/>
          <w:szCs w:val="20"/>
        </w:rPr>
        <w:t>Cor</w:t>
      </w:r>
      <w:r w:rsidR="00A601DD" w:rsidRPr="00EB5ACF">
        <w:rPr>
          <w:rFonts w:ascii="Times New Roman" w:hAnsi="Times New Roman" w:cs="Times New Roman"/>
          <w:sz w:val="20"/>
          <w:szCs w:val="20"/>
        </w:rPr>
        <w:t xml:space="preserve">porations. The choice of these companies </w:t>
      </w:r>
      <w:r w:rsidR="00A601DD" w:rsidRPr="00EB5ACF">
        <w:rPr>
          <w:rFonts w:ascii="Times New Roman" w:hAnsi="Times New Roman" w:cs="Times New Roman"/>
          <w:noProof/>
          <w:sz w:val="20"/>
          <w:szCs w:val="20"/>
        </w:rPr>
        <w:t>is based</w:t>
      </w:r>
      <w:r w:rsidR="00A601DD" w:rsidRPr="00EB5ACF">
        <w:rPr>
          <w:rFonts w:ascii="Times New Roman" w:hAnsi="Times New Roman" w:cs="Times New Roman"/>
          <w:sz w:val="20"/>
          <w:szCs w:val="20"/>
        </w:rPr>
        <w:t xml:space="preserve"> on</w:t>
      </w:r>
      <w:r w:rsidR="008F600B" w:rsidRPr="00EB5ACF">
        <w:rPr>
          <w:rFonts w:ascii="Times New Roman" w:hAnsi="Times New Roman" w:cs="Times New Roman"/>
          <w:sz w:val="20"/>
          <w:szCs w:val="20"/>
        </w:rPr>
        <w:t xml:space="preserve"> the</w:t>
      </w:r>
      <w:r w:rsidR="00A601DD" w:rsidRPr="00EB5ACF">
        <w:rPr>
          <w:rFonts w:ascii="Times New Roman" w:hAnsi="Times New Roman" w:cs="Times New Roman"/>
          <w:sz w:val="20"/>
          <w:szCs w:val="20"/>
        </w:rPr>
        <w:t xml:space="preserve"> </w:t>
      </w:r>
      <w:r w:rsidR="004049E9" w:rsidRPr="00EB5ACF">
        <w:rPr>
          <w:rFonts w:ascii="Times New Roman" w:hAnsi="Times New Roman" w:cs="Times New Roman"/>
          <w:noProof/>
          <w:sz w:val="20"/>
          <w:szCs w:val="20"/>
        </w:rPr>
        <w:t>reason</w:t>
      </w:r>
      <w:r w:rsidR="004049E9" w:rsidRPr="00EB5ACF">
        <w:rPr>
          <w:rFonts w:ascii="Times New Roman" w:hAnsi="Times New Roman" w:cs="Times New Roman"/>
          <w:sz w:val="20"/>
          <w:szCs w:val="20"/>
        </w:rPr>
        <w:t xml:space="preserve"> that their financial periods cl</w:t>
      </w:r>
      <w:r w:rsidR="00013141" w:rsidRPr="00EB5ACF">
        <w:rPr>
          <w:rFonts w:ascii="Times New Roman" w:hAnsi="Times New Roman" w:cs="Times New Roman"/>
          <w:sz w:val="20"/>
          <w:szCs w:val="20"/>
        </w:rPr>
        <w:t>ose at the same period</w:t>
      </w:r>
      <w:r w:rsidR="0033547E" w:rsidRPr="00EB5ACF">
        <w:rPr>
          <w:rFonts w:ascii="Times New Roman" w:hAnsi="Times New Roman" w:cs="Times New Roman"/>
          <w:sz w:val="20"/>
          <w:szCs w:val="20"/>
        </w:rPr>
        <w:t xml:space="preserve">, which is on </w:t>
      </w:r>
      <w:r w:rsidR="0071337D" w:rsidRPr="00EB5ACF">
        <w:rPr>
          <w:rFonts w:ascii="Times New Roman" w:hAnsi="Times New Roman" w:cs="Times New Roman"/>
          <w:sz w:val="20"/>
          <w:szCs w:val="20"/>
        </w:rPr>
        <w:t>December 31</w:t>
      </w:r>
      <w:r w:rsidR="00E17524" w:rsidRPr="00EB5ACF">
        <w:rPr>
          <w:rFonts w:ascii="Times New Roman" w:hAnsi="Times New Roman" w:cs="Times New Roman"/>
          <w:sz w:val="20"/>
          <w:szCs w:val="20"/>
        </w:rPr>
        <w:t>,</w:t>
      </w:r>
      <w:r w:rsidR="0071337D" w:rsidRPr="00EB5ACF">
        <w:rPr>
          <w:rFonts w:ascii="Times New Roman" w:hAnsi="Times New Roman" w:cs="Times New Roman"/>
          <w:sz w:val="20"/>
          <w:szCs w:val="20"/>
        </w:rPr>
        <w:t xml:space="preserve"> </w:t>
      </w:r>
      <w:r w:rsidR="00E17524" w:rsidRPr="00EB5ACF">
        <w:rPr>
          <w:rFonts w:ascii="Times New Roman" w:hAnsi="Times New Roman" w:cs="Times New Roman"/>
          <w:sz w:val="20"/>
          <w:szCs w:val="20"/>
        </w:rPr>
        <w:t>annually</w:t>
      </w:r>
      <w:r w:rsidR="00013141" w:rsidRPr="00EB5ACF">
        <w:rPr>
          <w:rFonts w:ascii="Times New Roman" w:hAnsi="Times New Roman" w:cs="Times New Roman"/>
          <w:sz w:val="20"/>
          <w:szCs w:val="20"/>
        </w:rPr>
        <w:t xml:space="preserve">. </w:t>
      </w:r>
      <w:r w:rsidR="00FB4D82" w:rsidRPr="00EB5ACF">
        <w:rPr>
          <w:rFonts w:ascii="Times New Roman" w:hAnsi="Times New Roman" w:cs="Times New Roman"/>
          <w:sz w:val="20"/>
          <w:szCs w:val="20"/>
        </w:rPr>
        <w:t>The c</w:t>
      </w:r>
      <w:r w:rsidR="00147834" w:rsidRPr="00EB5ACF">
        <w:rPr>
          <w:rFonts w:ascii="Times New Roman" w:hAnsi="Times New Roman" w:cs="Times New Roman"/>
          <w:sz w:val="20"/>
          <w:szCs w:val="20"/>
        </w:rPr>
        <w:t xml:space="preserve">ompanies </w:t>
      </w:r>
      <w:r w:rsidR="00147834" w:rsidRPr="00EB5ACF">
        <w:rPr>
          <w:rFonts w:ascii="Times New Roman" w:hAnsi="Times New Roman" w:cs="Times New Roman"/>
          <w:noProof/>
          <w:sz w:val="20"/>
          <w:szCs w:val="20"/>
        </w:rPr>
        <w:t>are also listed</w:t>
      </w:r>
      <w:r w:rsidR="00147834" w:rsidRPr="00EB5ACF">
        <w:rPr>
          <w:rFonts w:ascii="Times New Roman" w:hAnsi="Times New Roman" w:cs="Times New Roman"/>
          <w:sz w:val="20"/>
          <w:szCs w:val="20"/>
        </w:rPr>
        <w:t xml:space="preserve"> </w:t>
      </w:r>
      <w:r w:rsidR="008F600B" w:rsidRPr="00EB5ACF">
        <w:rPr>
          <w:rFonts w:ascii="Times New Roman" w:hAnsi="Times New Roman" w:cs="Times New Roman"/>
          <w:noProof/>
          <w:sz w:val="20"/>
          <w:szCs w:val="20"/>
        </w:rPr>
        <w:t>o</w:t>
      </w:r>
      <w:r w:rsidR="00147834" w:rsidRPr="00EB5ACF">
        <w:rPr>
          <w:rFonts w:ascii="Times New Roman" w:hAnsi="Times New Roman" w:cs="Times New Roman"/>
          <w:noProof/>
          <w:sz w:val="20"/>
          <w:szCs w:val="20"/>
        </w:rPr>
        <w:t>n</w:t>
      </w:r>
      <w:r w:rsidR="00147834" w:rsidRPr="00EB5ACF">
        <w:rPr>
          <w:rFonts w:ascii="Times New Roman" w:hAnsi="Times New Roman" w:cs="Times New Roman"/>
          <w:sz w:val="20"/>
          <w:szCs w:val="20"/>
        </w:rPr>
        <w:t xml:space="preserve"> the London Stock Exchange (LSE)</w:t>
      </w:r>
      <w:r w:rsidR="00951D30" w:rsidRPr="00EB5ACF">
        <w:rPr>
          <w:rFonts w:ascii="Times New Roman" w:hAnsi="Times New Roman" w:cs="Times New Roman"/>
          <w:sz w:val="20"/>
          <w:szCs w:val="20"/>
        </w:rPr>
        <w:t xml:space="preserve"> m</w:t>
      </w:r>
      <w:r w:rsidR="00E47DF4" w:rsidRPr="00EB5ACF">
        <w:rPr>
          <w:rFonts w:ascii="Times New Roman" w:hAnsi="Times New Roman" w:cs="Times New Roman"/>
          <w:sz w:val="20"/>
          <w:szCs w:val="20"/>
        </w:rPr>
        <w:t>arket, where th</w:t>
      </w:r>
      <w:r w:rsidR="00F97AED" w:rsidRPr="00EB5ACF">
        <w:rPr>
          <w:rFonts w:ascii="Times New Roman" w:hAnsi="Times New Roman" w:cs="Times New Roman"/>
          <w:sz w:val="20"/>
          <w:szCs w:val="20"/>
        </w:rPr>
        <w:t xml:space="preserve">ey retail their shares publicly. </w:t>
      </w:r>
      <w:r w:rsidR="00D273C3" w:rsidRPr="00EB5ACF">
        <w:rPr>
          <w:rFonts w:ascii="Times New Roman" w:hAnsi="Times New Roman" w:cs="Times New Roman"/>
          <w:sz w:val="20"/>
          <w:szCs w:val="20"/>
        </w:rPr>
        <w:t xml:space="preserve">Also, the </w:t>
      </w:r>
      <w:r w:rsidR="005448F0" w:rsidRPr="00EB5ACF">
        <w:rPr>
          <w:rFonts w:ascii="Times New Roman" w:hAnsi="Times New Roman" w:cs="Times New Roman"/>
          <w:sz w:val="20"/>
          <w:szCs w:val="20"/>
        </w:rPr>
        <w:t>corporations</w:t>
      </w:r>
      <w:r w:rsidR="00D273C3" w:rsidRPr="00EB5ACF">
        <w:rPr>
          <w:rFonts w:ascii="Times New Roman" w:hAnsi="Times New Roman" w:cs="Times New Roman"/>
          <w:sz w:val="20"/>
          <w:szCs w:val="20"/>
        </w:rPr>
        <w:t xml:space="preserve"> operate within the same </w:t>
      </w:r>
      <w:r w:rsidR="006438B0" w:rsidRPr="00EB5ACF">
        <w:rPr>
          <w:rFonts w:ascii="Times New Roman" w:hAnsi="Times New Roman" w:cs="Times New Roman"/>
          <w:sz w:val="20"/>
          <w:szCs w:val="20"/>
        </w:rPr>
        <w:t>indust</w:t>
      </w:r>
      <w:r w:rsidR="00756AE1" w:rsidRPr="00EB5ACF">
        <w:rPr>
          <w:rFonts w:ascii="Times New Roman" w:hAnsi="Times New Roman" w:cs="Times New Roman"/>
          <w:sz w:val="20"/>
          <w:szCs w:val="20"/>
        </w:rPr>
        <w:t xml:space="preserve">ry </w:t>
      </w:r>
      <w:r w:rsidR="005F37D6" w:rsidRPr="00EB5ACF">
        <w:rPr>
          <w:rFonts w:ascii="Times New Roman" w:hAnsi="Times New Roman" w:cs="Times New Roman"/>
          <w:sz w:val="20"/>
          <w:szCs w:val="20"/>
        </w:rPr>
        <w:t xml:space="preserve">of </w:t>
      </w:r>
      <w:r w:rsidR="00EB2BE1" w:rsidRPr="00EB5ACF">
        <w:rPr>
          <w:rFonts w:ascii="Times New Roman" w:hAnsi="Times New Roman" w:cs="Times New Roman"/>
          <w:sz w:val="20"/>
          <w:szCs w:val="20"/>
        </w:rPr>
        <w:t xml:space="preserve">health care services provision to the public. </w:t>
      </w:r>
    </w:p>
    <w:p w:rsidR="00305D37" w:rsidRPr="00EB5ACF" w:rsidRDefault="00E17524" w:rsidP="00EB5ACF">
      <w:pPr>
        <w:spacing w:line="240" w:lineRule="auto"/>
        <w:ind w:firstLine="720"/>
        <w:rPr>
          <w:rFonts w:ascii="Times New Roman" w:hAnsi="Times New Roman" w:cs="Times New Roman"/>
          <w:sz w:val="20"/>
          <w:szCs w:val="20"/>
        </w:rPr>
      </w:pPr>
      <w:r w:rsidRPr="00EB5ACF">
        <w:rPr>
          <w:rFonts w:ascii="Times New Roman" w:hAnsi="Times New Roman" w:cs="Times New Roman"/>
          <w:sz w:val="20"/>
          <w:szCs w:val="20"/>
        </w:rPr>
        <w:t>AMS</w:t>
      </w:r>
      <w:r w:rsidR="00305D37" w:rsidRPr="00EB5ACF">
        <w:rPr>
          <w:rFonts w:ascii="Times New Roman" w:hAnsi="Times New Roman" w:cs="Times New Roman"/>
          <w:sz w:val="20"/>
          <w:szCs w:val="20"/>
        </w:rPr>
        <w:t>, on the other hand, offers develops advanced products for wound care services and surgical equipment meant for wound dressing</w:t>
      </w:r>
      <w:r w:rsidR="00666B28" w:rsidRPr="00EB5ACF">
        <w:rPr>
          <w:rFonts w:ascii="Times New Roman" w:hAnsi="Times New Roman" w:cs="Times New Roman"/>
          <w:sz w:val="20"/>
          <w:szCs w:val="20"/>
        </w:rPr>
        <w:t xml:space="preserve"> </w:t>
      </w:r>
      <w:sdt>
        <w:sdtPr>
          <w:rPr>
            <w:rFonts w:ascii="Times New Roman" w:hAnsi="Times New Roman" w:cs="Times New Roman"/>
            <w:sz w:val="20"/>
            <w:szCs w:val="20"/>
          </w:rPr>
          <w:id w:val="1699503572"/>
          <w:citation/>
        </w:sdtPr>
        <w:sdtEndPr/>
        <w:sdtContent>
          <w:r w:rsidR="00666B28" w:rsidRPr="00EB5ACF">
            <w:rPr>
              <w:rFonts w:ascii="Times New Roman" w:hAnsi="Times New Roman" w:cs="Times New Roman"/>
              <w:sz w:val="20"/>
              <w:szCs w:val="20"/>
            </w:rPr>
            <w:fldChar w:fldCharType="begin"/>
          </w:r>
          <w:r w:rsidR="00666B28" w:rsidRPr="00EB5ACF">
            <w:rPr>
              <w:rFonts w:ascii="Times New Roman" w:hAnsi="Times New Roman" w:cs="Times New Roman"/>
              <w:sz w:val="20"/>
              <w:szCs w:val="20"/>
            </w:rPr>
            <w:instrText xml:space="preserve"> CITATION AMS17 \l 1033 </w:instrText>
          </w:r>
          <w:r w:rsidR="00666B28" w:rsidRPr="00EB5ACF">
            <w:rPr>
              <w:rFonts w:ascii="Times New Roman" w:hAnsi="Times New Roman" w:cs="Times New Roman"/>
              <w:sz w:val="20"/>
              <w:szCs w:val="20"/>
            </w:rPr>
            <w:fldChar w:fldCharType="separate"/>
          </w:r>
          <w:r w:rsidR="00666B28" w:rsidRPr="00EB5ACF">
            <w:rPr>
              <w:rFonts w:ascii="Times New Roman" w:hAnsi="Times New Roman" w:cs="Times New Roman"/>
              <w:noProof/>
              <w:sz w:val="20"/>
              <w:szCs w:val="20"/>
            </w:rPr>
            <w:t>(AMS, 2017)</w:t>
          </w:r>
          <w:r w:rsidR="00666B28" w:rsidRPr="00EB5ACF">
            <w:rPr>
              <w:rFonts w:ascii="Times New Roman" w:hAnsi="Times New Roman" w:cs="Times New Roman"/>
              <w:sz w:val="20"/>
              <w:szCs w:val="20"/>
            </w:rPr>
            <w:fldChar w:fldCharType="end"/>
          </w:r>
        </w:sdtContent>
      </w:sdt>
      <w:r w:rsidR="00305D37" w:rsidRPr="00EB5ACF">
        <w:rPr>
          <w:rFonts w:ascii="Times New Roman" w:hAnsi="Times New Roman" w:cs="Times New Roman"/>
          <w:sz w:val="20"/>
          <w:szCs w:val="20"/>
        </w:rPr>
        <w:t xml:space="preserve">. It is globally renowned for its emphasis on the value for its clients as well as attainment of quality patient outcomes through its services. </w:t>
      </w:r>
      <w:r w:rsidR="00F1486E" w:rsidRPr="00EB5ACF">
        <w:rPr>
          <w:rFonts w:ascii="Times New Roman" w:hAnsi="Times New Roman" w:cs="Times New Roman"/>
          <w:sz w:val="20"/>
          <w:szCs w:val="20"/>
        </w:rPr>
        <w:t xml:space="preserve">GSK produces </w:t>
      </w:r>
      <w:r w:rsidR="0001278C" w:rsidRPr="00EB5ACF">
        <w:rPr>
          <w:rFonts w:ascii="Times New Roman" w:hAnsi="Times New Roman" w:cs="Times New Roman"/>
          <w:sz w:val="20"/>
          <w:szCs w:val="20"/>
        </w:rPr>
        <w:t xml:space="preserve">pharmaceutical products </w:t>
      </w:r>
      <w:r w:rsidR="00B65B69" w:rsidRPr="00EB5ACF">
        <w:rPr>
          <w:rFonts w:ascii="Times New Roman" w:hAnsi="Times New Roman" w:cs="Times New Roman"/>
          <w:sz w:val="20"/>
          <w:szCs w:val="20"/>
        </w:rPr>
        <w:t>for treating various medical conditions</w:t>
      </w:r>
      <w:r w:rsidR="00BA7D1A" w:rsidRPr="00EB5ACF">
        <w:rPr>
          <w:rFonts w:ascii="Times New Roman" w:hAnsi="Times New Roman" w:cs="Times New Roman"/>
          <w:sz w:val="20"/>
          <w:szCs w:val="20"/>
        </w:rPr>
        <w:t xml:space="preserve"> </w:t>
      </w:r>
      <w:sdt>
        <w:sdtPr>
          <w:rPr>
            <w:rFonts w:ascii="Times New Roman" w:hAnsi="Times New Roman" w:cs="Times New Roman"/>
            <w:sz w:val="20"/>
            <w:szCs w:val="20"/>
          </w:rPr>
          <w:id w:val="-270402067"/>
          <w:citation/>
        </w:sdtPr>
        <w:sdtEndPr/>
        <w:sdtContent>
          <w:r w:rsidR="00BA7D1A" w:rsidRPr="00EB5ACF">
            <w:rPr>
              <w:rFonts w:ascii="Times New Roman" w:hAnsi="Times New Roman" w:cs="Times New Roman"/>
              <w:sz w:val="20"/>
              <w:szCs w:val="20"/>
            </w:rPr>
            <w:fldChar w:fldCharType="begin"/>
          </w:r>
          <w:r w:rsidR="00BA7D1A" w:rsidRPr="00EB5ACF">
            <w:rPr>
              <w:rFonts w:ascii="Times New Roman" w:hAnsi="Times New Roman" w:cs="Times New Roman"/>
              <w:sz w:val="20"/>
              <w:szCs w:val="20"/>
            </w:rPr>
            <w:instrText xml:space="preserve"> CITATION GSK17 \l 1033 </w:instrText>
          </w:r>
          <w:r w:rsidR="00BA7D1A" w:rsidRPr="00EB5ACF">
            <w:rPr>
              <w:rFonts w:ascii="Times New Roman" w:hAnsi="Times New Roman" w:cs="Times New Roman"/>
              <w:sz w:val="20"/>
              <w:szCs w:val="20"/>
            </w:rPr>
            <w:fldChar w:fldCharType="separate"/>
          </w:r>
          <w:r w:rsidR="00BA7D1A" w:rsidRPr="00EB5ACF">
            <w:rPr>
              <w:rFonts w:ascii="Times New Roman" w:hAnsi="Times New Roman" w:cs="Times New Roman"/>
              <w:noProof/>
              <w:sz w:val="20"/>
              <w:szCs w:val="20"/>
            </w:rPr>
            <w:t>(GSK, 2017)</w:t>
          </w:r>
          <w:r w:rsidR="00BA7D1A" w:rsidRPr="00EB5ACF">
            <w:rPr>
              <w:rFonts w:ascii="Times New Roman" w:hAnsi="Times New Roman" w:cs="Times New Roman"/>
              <w:sz w:val="20"/>
              <w:szCs w:val="20"/>
            </w:rPr>
            <w:fldChar w:fldCharType="end"/>
          </w:r>
        </w:sdtContent>
      </w:sdt>
      <w:r w:rsidR="00B65B69" w:rsidRPr="00EB5ACF">
        <w:rPr>
          <w:rFonts w:ascii="Times New Roman" w:hAnsi="Times New Roman" w:cs="Times New Roman"/>
          <w:sz w:val="20"/>
          <w:szCs w:val="20"/>
        </w:rPr>
        <w:t xml:space="preserve">. </w:t>
      </w:r>
      <w:r w:rsidR="0009366B" w:rsidRPr="00EB5ACF">
        <w:rPr>
          <w:rFonts w:ascii="Times New Roman" w:hAnsi="Times New Roman" w:cs="Times New Roman"/>
          <w:noProof/>
          <w:sz w:val="20"/>
          <w:szCs w:val="20"/>
        </w:rPr>
        <w:t>It</w:t>
      </w:r>
      <w:r w:rsidR="0009366B" w:rsidRPr="00EB5ACF">
        <w:rPr>
          <w:rFonts w:ascii="Times New Roman" w:hAnsi="Times New Roman" w:cs="Times New Roman"/>
          <w:sz w:val="20"/>
          <w:szCs w:val="20"/>
        </w:rPr>
        <w:t xml:space="preserve"> among the largest pharmaceutical companies in the United Kingdom. </w:t>
      </w:r>
    </w:p>
    <w:p w:rsidR="004A532A" w:rsidRPr="00EB5ACF" w:rsidRDefault="00AF2DB3" w:rsidP="00EB5ACF">
      <w:pPr>
        <w:spacing w:line="240" w:lineRule="auto"/>
        <w:jc w:val="center"/>
        <w:rPr>
          <w:rFonts w:ascii="Times New Roman" w:hAnsi="Times New Roman" w:cs="Times New Roman"/>
          <w:sz w:val="20"/>
          <w:szCs w:val="20"/>
        </w:rPr>
      </w:pPr>
      <w:r w:rsidRPr="00EB5ACF">
        <w:rPr>
          <w:rFonts w:ascii="Times New Roman" w:hAnsi="Times New Roman" w:cs="Times New Roman"/>
          <w:sz w:val="20"/>
          <w:szCs w:val="20"/>
        </w:rPr>
        <w:t>Companies</w:t>
      </w:r>
      <w:r w:rsidR="00046F96" w:rsidRPr="00EB5ACF">
        <w:rPr>
          <w:rFonts w:ascii="Times New Roman" w:hAnsi="Times New Roman" w:cs="Times New Roman"/>
          <w:sz w:val="20"/>
          <w:szCs w:val="20"/>
        </w:rPr>
        <w:t xml:space="preserve"> Analysis</w:t>
      </w:r>
      <w:r w:rsidR="009A1520" w:rsidRPr="00EB5ACF">
        <w:rPr>
          <w:rFonts w:ascii="Times New Roman" w:hAnsi="Times New Roman" w:cs="Times New Roman"/>
          <w:sz w:val="20"/>
          <w:szCs w:val="20"/>
        </w:rPr>
        <w:t xml:space="preserve"> </w:t>
      </w:r>
      <w:r w:rsidR="00996C39" w:rsidRPr="00EB5ACF">
        <w:rPr>
          <w:rFonts w:ascii="Times New Roman" w:hAnsi="Times New Roman" w:cs="Times New Roman"/>
          <w:sz w:val="20"/>
          <w:szCs w:val="20"/>
        </w:rPr>
        <w:t>a</w:t>
      </w:r>
      <w:r w:rsidR="00367058" w:rsidRPr="00EB5ACF">
        <w:rPr>
          <w:rFonts w:ascii="Times New Roman" w:hAnsi="Times New Roman" w:cs="Times New Roman"/>
          <w:sz w:val="20"/>
          <w:szCs w:val="20"/>
        </w:rPr>
        <w:t>nd Comparison</w:t>
      </w:r>
      <w:r w:rsidR="00995EA6" w:rsidRPr="00EB5ACF">
        <w:rPr>
          <w:rFonts w:ascii="Times New Roman" w:hAnsi="Times New Roman" w:cs="Times New Roman"/>
          <w:sz w:val="20"/>
          <w:szCs w:val="20"/>
        </w:rPr>
        <w:t>s</w:t>
      </w:r>
    </w:p>
    <w:p w:rsidR="00AD7903" w:rsidRPr="00EB5ACF" w:rsidRDefault="00AD7903" w:rsidP="00EB5ACF">
      <w:pPr>
        <w:spacing w:line="240" w:lineRule="auto"/>
        <w:ind w:firstLine="720"/>
        <w:rPr>
          <w:rFonts w:ascii="Times New Roman" w:hAnsi="Times New Roman" w:cs="Times New Roman"/>
          <w:sz w:val="20"/>
          <w:szCs w:val="20"/>
        </w:rPr>
      </w:pPr>
      <w:r w:rsidRPr="00EB5ACF">
        <w:rPr>
          <w:rFonts w:ascii="Times New Roman" w:hAnsi="Times New Roman" w:cs="Times New Roman"/>
          <w:sz w:val="20"/>
          <w:szCs w:val="20"/>
        </w:rPr>
        <w:t xml:space="preserve">The company analysis will compare the </w:t>
      </w:r>
      <w:r w:rsidR="00813ACD" w:rsidRPr="00EB5ACF">
        <w:rPr>
          <w:rFonts w:ascii="Times New Roman" w:hAnsi="Times New Roman" w:cs="Times New Roman"/>
          <w:sz w:val="20"/>
          <w:szCs w:val="20"/>
        </w:rPr>
        <w:t>proportion of r</w:t>
      </w:r>
      <w:r w:rsidR="00FB0DB0" w:rsidRPr="00EB5ACF">
        <w:rPr>
          <w:rFonts w:ascii="Times New Roman" w:hAnsi="Times New Roman" w:cs="Times New Roman"/>
          <w:sz w:val="20"/>
          <w:szCs w:val="20"/>
        </w:rPr>
        <w:t>eceivables (d</w:t>
      </w:r>
      <w:r w:rsidR="00213AAB" w:rsidRPr="00EB5ACF">
        <w:rPr>
          <w:rFonts w:ascii="Times New Roman" w:hAnsi="Times New Roman" w:cs="Times New Roman"/>
          <w:sz w:val="20"/>
          <w:szCs w:val="20"/>
        </w:rPr>
        <w:t xml:space="preserve">ebtors) </w:t>
      </w:r>
      <w:r w:rsidR="00DE48DC" w:rsidRPr="00EB5ACF">
        <w:rPr>
          <w:rFonts w:ascii="Times New Roman" w:hAnsi="Times New Roman" w:cs="Times New Roman"/>
          <w:sz w:val="20"/>
          <w:szCs w:val="20"/>
        </w:rPr>
        <w:t>as well as</w:t>
      </w:r>
      <w:r w:rsidR="00E57F88" w:rsidRPr="00EB5ACF">
        <w:rPr>
          <w:rFonts w:ascii="Times New Roman" w:hAnsi="Times New Roman" w:cs="Times New Roman"/>
          <w:sz w:val="20"/>
          <w:szCs w:val="20"/>
        </w:rPr>
        <w:t xml:space="preserve"> i</w:t>
      </w:r>
      <w:r w:rsidR="007B75B8" w:rsidRPr="00EB5ACF">
        <w:rPr>
          <w:rFonts w:ascii="Times New Roman" w:hAnsi="Times New Roman" w:cs="Times New Roman"/>
          <w:sz w:val="20"/>
          <w:szCs w:val="20"/>
        </w:rPr>
        <w:t>nventories (s</w:t>
      </w:r>
      <w:r w:rsidR="00213AAB" w:rsidRPr="00EB5ACF">
        <w:rPr>
          <w:rFonts w:ascii="Times New Roman" w:hAnsi="Times New Roman" w:cs="Times New Roman"/>
          <w:sz w:val="20"/>
          <w:szCs w:val="20"/>
        </w:rPr>
        <w:t>tocks) for each company</w:t>
      </w:r>
      <w:r w:rsidR="00BC3391" w:rsidRPr="00EB5ACF">
        <w:rPr>
          <w:rFonts w:ascii="Times New Roman" w:hAnsi="Times New Roman" w:cs="Times New Roman"/>
          <w:sz w:val="20"/>
          <w:szCs w:val="20"/>
        </w:rPr>
        <w:t xml:space="preserve"> during the last financial period that ended on </w:t>
      </w:r>
      <w:r w:rsidR="00713695" w:rsidRPr="00EB5ACF">
        <w:rPr>
          <w:rFonts w:ascii="Times New Roman" w:hAnsi="Times New Roman" w:cs="Times New Roman"/>
          <w:sz w:val="20"/>
          <w:szCs w:val="20"/>
        </w:rPr>
        <w:t>December 31</w:t>
      </w:r>
      <w:r w:rsidR="006D2F59" w:rsidRPr="00EB5ACF">
        <w:rPr>
          <w:rFonts w:ascii="Times New Roman" w:hAnsi="Times New Roman" w:cs="Times New Roman"/>
          <w:sz w:val="20"/>
          <w:szCs w:val="20"/>
        </w:rPr>
        <w:t>,</w:t>
      </w:r>
      <w:r w:rsidR="00FC490C" w:rsidRPr="00EB5ACF">
        <w:rPr>
          <w:rFonts w:ascii="Times New Roman" w:hAnsi="Times New Roman" w:cs="Times New Roman"/>
          <w:sz w:val="20"/>
          <w:szCs w:val="20"/>
        </w:rPr>
        <w:t xml:space="preserve"> 2016</w:t>
      </w:r>
      <w:r w:rsidR="00F21ED3" w:rsidRPr="00EB5ACF">
        <w:rPr>
          <w:rFonts w:ascii="Times New Roman" w:hAnsi="Times New Roman" w:cs="Times New Roman"/>
          <w:sz w:val="20"/>
          <w:szCs w:val="20"/>
        </w:rPr>
        <w:t xml:space="preserve">. </w:t>
      </w:r>
      <w:r w:rsidR="00601BC1" w:rsidRPr="00EB5ACF">
        <w:rPr>
          <w:rFonts w:ascii="Times New Roman" w:hAnsi="Times New Roman" w:cs="Times New Roman"/>
          <w:sz w:val="20"/>
          <w:szCs w:val="20"/>
        </w:rPr>
        <w:t>Nevertheless</w:t>
      </w:r>
      <w:r w:rsidR="00986CA6" w:rsidRPr="00EB5ACF">
        <w:rPr>
          <w:rFonts w:ascii="Times New Roman" w:hAnsi="Times New Roman" w:cs="Times New Roman"/>
          <w:sz w:val="20"/>
          <w:szCs w:val="20"/>
        </w:rPr>
        <w:t xml:space="preserve">, </w:t>
      </w:r>
      <w:r w:rsidR="00555CA2" w:rsidRPr="00EB5ACF">
        <w:rPr>
          <w:rFonts w:ascii="Times New Roman" w:hAnsi="Times New Roman" w:cs="Times New Roman"/>
          <w:sz w:val="20"/>
          <w:szCs w:val="20"/>
        </w:rPr>
        <w:t>a</w:t>
      </w:r>
      <w:r w:rsidR="00986CA6" w:rsidRPr="00EB5ACF">
        <w:rPr>
          <w:rFonts w:ascii="Times New Roman" w:hAnsi="Times New Roman" w:cs="Times New Roman"/>
          <w:sz w:val="20"/>
          <w:szCs w:val="20"/>
        </w:rPr>
        <w:t xml:space="preserve"> </w:t>
      </w:r>
      <w:r w:rsidR="0097736D" w:rsidRPr="00EB5ACF">
        <w:rPr>
          <w:rFonts w:ascii="Times New Roman" w:hAnsi="Times New Roman" w:cs="Times New Roman"/>
          <w:sz w:val="20"/>
          <w:szCs w:val="20"/>
        </w:rPr>
        <w:t>comparison</w:t>
      </w:r>
      <w:r w:rsidR="00986CA6" w:rsidRPr="00EB5ACF">
        <w:rPr>
          <w:rFonts w:ascii="Times New Roman" w:hAnsi="Times New Roman" w:cs="Times New Roman"/>
          <w:sz w:val="20"/>
          <w:szCs w:val="20"/>
        </w:rPr>
        <w:t xml:space="preserve"> of </w:t>
      </w:r>
      <w:r w:rsidR="008D5CF2" w:rsidRPr="00EB5ACF">
        <w:rPr>
          <w:rFonts w:ascii="Times New Roman" w:hAnsi="Times New Roman" w:cs="Times New Roman"/>
          <w:sz w:val="20"/>
          <w:szCs w:val="20"/>
        </w:rPr>
        <w:t xml:space="preserve">the </w:t>
      </w:r>
      <w:r w:rsidR="00B456D8" w:rsidRPr="00EB5ACF">
        <w:rPr>
          <w:rFonts w:ascii="Times New Roman" w:hAnsi="Times New Roman" w:cs="Times New Roman"/>
          <w:sz w:val="20"/>
          <w:szCs w:val="20"/>
        </w:rPr>
        <w:t>companies’</w:t>
      </w:r>
      <w:r w:rsidR="0053678F" w:rsidRPr="00EB5ACF">
        <w:rPr>
          <w:rFonts w:ascii="Times New Roman" w:hAnsi="Times New Roman" w:cs="Times New Roman"/>
          <w:sz w:val="20"/>
          <w:szCs w:val="20"/>
        </w:rPr>
        <w:t xml:space="preserve"> </w:t>
      </w:r>
      <w:r w:rsidR="008D5CF2" w:rsidRPr="00EB5ACF">
        <w:rPr>
          <w:rFonts w:ascii="Times New Roman" w:hAnsi="Times New Roman" w:cs="Times New Roman"/>
          <w:sz w:val="20"/>
          <w:szCs w:val="20"/>
        </w:rPr>
        <w:t xml:space="preserve">receivables and </w:t>
      </w:r>
      <w:r w:rsidR="00C30D5E" w:rsidRPr="00EB5ACF">
        <w:rPr>
          <w:rFonts w:ascii="Times New Roman" w:hAnsi="Times New Roman" w:cs="Times New Roman"/>
          <w:sz w:val="20"/>
          <w:szCs w:val="20"/>
        </w:rPr>
        <w:t xml:space="preserve">inventories will also </w:t>
      </w:r>
      <w:r w:rsidR="00C30D5E" w:rsidRPr="00EB5ACF">
        <w:rPr>
          <w:rFonts w:ascii="Times New Roman" w:hAnsi="Times New Roman" w:cs="Times New Roman"/>
          <w:noProof/>
          <w:sz w:val="20"/>
          <w:szCs w:val="20"/>
        </w:rPr>
        <w:t>be perform</w:t>
      </w:r>
      <w:r w:rsidR="00E95533" w:rsidRPr="00EB5ACF">
        <w:rPr>
          <w:rFonts w:ascii="Times New Roman" w:hAnsi="Times New Roman" w:cs="Times New Roman"/>
          <w:noProof/>
          <w:sz w:val="20"/>
          <w:szCs w:val="20"/>
        </w:rPr>
        <w:t>ed</w:t>
      </w:r>
      <w:r w:rsidR="00C14F9D" w:rsidRPr="00EB5ACF">
        <w:rPr>
          <w:rFonts w:ascii="Times New Roman" w:hAnsi="Times New Roman" w:cs="Times New Roman"/>
          <w:sz w:val="20"/>
          <w:szCs w:val="20"/>
        </w:rPr>
        <w:t xml:space="preserve"> for the year</w:t>
      </w:r>
      <w:r w:rsidR="007D39C9" w:rsidRPr="00EB5ACF">
        <w:rPr>
          <w:rFonts w:ascii="Times New Roman" w:hAnsi="Times New Roman" w:cs="Times New Roman"/>
          <w:sz w:val="20"/>
          <w:szCs w:val="20"/>
        </w:rPr>
        <w:t xml:space="preserve"> </w:t>
      </w:r>
      <w:r w:rsidR="00836EFF" w:rsidRPr="00EB5ACF">
        <w:rPr>
          <w:rFonts w:ascii="Times New Roman" w:hAnsi="Times New Roman" w:cs="Times New Roman"/>
          <w:sz w:val="20"/>
          <w:szCs w:val="20"/>
        </w:rPr>
        <w:t xml:space="preserve">2012 up to </w:t>
      </w:r>
      <w:r w:rsidR="000553A3" w:rsidRPr="00EB5ACF">
        <w:rPr>
          <w:rFonts w:ascii="Times New Roman" w:hAnsi="Times New Roman" w:cs="Times New Roman"/>
          <w:sz w:val="20"/>
          <w:szCs w:val="20"/>
        </w:rPr>
        <w:t xml:space="preserve">2015. </w:t>
      </w:r>
      <w:r w:rsidR="00594B02" w:rsidRPr="00EB5ACF">
        <w:rPr>
          <w:rFonts w:ascii="Times New Roman" w:hAnsi="Times New Roman" w:cs="Times New Roman"/>
          <w:sz w:val="20"/>
          <w:szCs w:val="20"/>
        </w:rPr>
        <w:t xml:space="preserve">A detailed calculation of </w:t>
      </w:r>
      <w:r w:rsidR="00D266E0" w:rsidRPr="00EB5ACF">
        <w:rPr>
          <w:rFonts w:ascii="Times New Roman" w:hAnsi="Times New Roman" w:cs="Times New Roman"/>
          <w:sz w:val="20"/>
          <w:szCs w:val="20"/>
        </w:rPr>
        <w:t xml:space="preserve">stock and </w:t>
      </w:r>
      <w:r w:rsidR="0097797C" w:rsidRPr="00EB5ACF">
        <w:rPr>
          <w:rFonts w:ascii="Times New Roman" w:hAnsi="Times New Roman" w:cs="Times New Roman"/>
          <w:sz w:val="20"/>
          <w:szCs w:val="20"/>
        </w:rPr>
        <w:t>debtors’</w:t>
      </w:r>
      <w:r w:rsidR="00D266E0" w:rsidRPr="00EB5ACF">
        <w:rPr>
          <w:rFonts w:ascii="Times New Roman" w:hAnsi="Times New Roman" w:cs="Times New Roman"/>
          <w:sz w:val="20"/>
          <w:szCs w:val="20"/>
        </w:rPr>
        <w:t xml:space="preserve"> </w:t>
      </w:r>
      <w:r w:rsidR="00C763B8" w:rsidRPr="00EB5ACF">
        <w:rPr>
          <w:rFonts w:ascii="Times New Roman" w:hAnsi="Times New Roman" w:cs="Times New Roman"/>
          <w:sz w:val="20"/>
          <w:szCs w:val="20"/>
        </w:rPr>
        <w:t>ratios for the co</w:t>
      </w:r>
      <w:r w:rsidR="002D0979" w:rsidRPr="00EB5ACF">
        <w:rPr>
          <w:rFonts w:ascii="Times New Roman" w:hAnsi="Times New Roman" w:cs="Times New Roman"/>
          <w:sz w:val="20"/>
          <w:szCs w:val="20"/>
        </w:rPr>
        <w:t>rporation</w:t>
      </w:r>
      <w:r w:rsidR="0097797C" w:rsidRPr="00EB5ACF">
        <w:rPr>
          <w:rFonts w:ascii="Times New Roman" w:hAnsi="Times New Roman" w:cs="Times New Roman"/>
          <w:sz w:val="20"/>
          <w:szCs w:val="20"/>
        </w:rPr>
        <w:t>s</w:t>
      </w:r>
      <w:r w:rsidR="002D0979" w:rsidRPr="00EB5ACF">
        <w:rPr>
          <w:rFonts w:ascii="Times New Roman" w:hAnsi="Times New Roman" w:cs="Times New Roman"/>
          <w:sz w:val="20"/>
          <w:szCs w:val="20"/>
        </w:rPr>
        <w:t xml:space="preserve"> will also be included</w:t>
      </w:r>
      <w:r w:rsidR="00F70D1E" w:rsidRPr="00EB5ACF">
        <w:rPr>
          <w:rFonts w:ascii="Times New Roman" w:hAnsi="Times New Roman" w:cs="Times New Roman"/>
          <w:sz w:val="20"/>
          <w:szCs w:val="20"/>
        </w:rPr>
        <w:t xml:space="preserve"> together wi</w:t>
      </w:r>
      <w:r w:rsidR="00070A62" w:rsidRPr="00EB5ACF">
        <w:rPr>
          <w:rFonts w:ascii="Times New Roman" w:hAnsi="Times New Roman" w:cs="Times New Roman"/>
          <w:sz w:val="20"/>
          <w:szCs w:val="20"/>
        </w:rPr>
        <w:t>th appropriate financial performance graphs or ch</w:t>
      </w:r>
      <w:r w:rsidR="00B46809" w:rsidRPr="00EB5ACF">
        <w:rPr>
          <w:rFonts w:ascii="Times New Roman" w:hAnsi="Times New Roman" w:cs="Times New Roman"/>
          <w:sz w:val="20"/>
          <w:szCs w:val="20"/>
        </w:rPr>
        <w:t xml:space="preserve">arts for each corporation over the last five years. </w:t>
      </w:r>
    </w:p>
    <w:p w:rsidR="00FE4D3E" w:rsidRPr="00EB5ACF" w:rsidRDefault="00FE4D3E" w:rsidP="00EB5ACF">
      <w:pPr>
        <w:spacing w:line="240" w:lineRule="auto"/>
        <w:rPr>
          <w:rFonts w:ascii="Times New Roman" w:hAnsi="Times New Roman" w:cs="Times New Roman"/>
          <w:sz w:val="20"/>
          <w:szCs w:val="20"/>
        </w:rPr>
      </w:pPr>
      <w:r w:rsidRPr="00EB5ACF">
        <w:rPr>
          <w:rFonts w:ascii="Times New Roman" w:hAnsi="Times New Roman" w:cs="Times New Roman"/>
          <w:sz w:val="20"/>
          <w:szCs w:val="20"/>
        </w:rPr>
        <w:t>Debtors Ratio</w:t>
      </w:r>
    </w:p>
    <w:p w:rsidR="00FE4D3E" w:rsidRPr="00EB5ACF" w:rsidRDefault="00FE4D3E" w:rsidP="00EB5ACF">
      <w:pPr>
        <w:spacing w:line="240" w:lineRule="auto"/>
        <w:jc w:val="center"/>
        <w:rPr>
          <w:rFonts w:ascii="Times New Roman" w:hAnsi="Times New Roman" w:cs="Times New Roman"/>
          <w:sz w:val="20"/>
          <w:szCs w:val="20"/>
        </w:rPr>
      </w:pPr>
      <w:r w:rsidRPr="00EB5ACF">
        <w:rPr>
          <w:rFonts w:ascii="Times New Roman" w:hAnsi="Times New Roman" w:cs="Times New Roman"/>
          <w:sz w:val="20"/>
          <w:szCs w:val="20"/>
        </w:rPr>
        <w:t>Debtors Ratio = (Trade Receivables / Revenues (Sales) x 365</w:t>
      </w:r>
    </w:p>
    <w:p w:rsidR="00FE4D3E" w:rsidRPr="00EB5ACF" w:rsidRDefault="00FE4D3E" w:rsidP="00EB5ACF">
      <w:pPr>
        <w:spacing w:line="240" w:lineRule="auto"/>
        <w:rPr>
          <w:rFonts w:ascii="Times New Roman" w:hAnsi="Times New Roman" w:cs="Times New Roman"/>
          <w:sz w:val="20"/>
          <w:szCs w:val="20"/>
        </w:rPr>
      </w:pPr>
      <w:r w:rsidRPr="00EB5ACF">
        <w:rPr>
          <w:rFonts w:ascii="Times New Roman" w:hAnsi="Times New Roman" w:cs="Times New Roman"/>
          <w:sz w:val="20"/>
          <w:szCs w:val="20"/>
        </w:rPr>
        <w:t xml:space="preserve">GSK Corporation </w:t>
      </w:r>
      <w:bookmarkStart w:id="0" w:name="_GoBack"/>
      <w:bookmarkEnd w:id="0"/>
    </w:p>
    <w:tbl>
      <w:tblPr>
        <w:tblStyle w:val="TableGrid"/>
        <w:tblW w:w="10075" w:type="dxa"/>
        <w:jc w:val="center"/>
        <w:tblLayout w:type="fixed"/>
        <w:tblLook w:val="04A0" w:firstRow="1" w:lastRow="0" w:firstColumn="1" w:lastColumn="0" w:noHBand="0" w:noVBand="1"/>
      </w:tblPr>
      <w:tblGrid>
        <w:gridCol w:w="2427"/>
        <w:gridCol w:w="2788"/>
        <w:gridCol w:w="2880"/>
        <w:gridCol w:w="1980"/>
      </w:tblGrid>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End of Financial Year as at December 31.</w:t>
            </w:r>
          </w:p>
        </w:tc>
        <w:tc>
          <w:tcPr>
            <w:tcW w:w="2788"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Trade Receivables - Currency in GBP Billions</w:t>
            </w:r>
          </w:p>
        </w:tc>
        <w:tc>
          <w:tcPr>
            <w:tcW w:w="2880"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Revenues/</w:t>
            </w:r>
            <w:r w:rsidR="008F600B" w:rsidRPr="00EB5ACF">
              <w:rPr>
                <w:rFonts w:ascii="Times New Roman" w:hAnsi="Times New Roman" w:cs="Times New Roman"/>
                <w:noProof/>
                <w:sz w:val="20"/>
                <w:szCs w:val="20"/>
              </w:rPr>
              <w:t>S</w:t>
            </w:r>
            <w:r w:rsidRPr="00EB5ACF">
              <w:rPr>
                <w:rFonts w:ascii="Times New Roman" w:hAnsi="Times New Roman" w:cs="Times New Roman"/>
                <w:noProof/>
                <w:sz w:val="20"/>
                <w:szCs w:val="20"/>
              </w:rPr>
              <w:t>ales</w:t>
            </w:r>
            <w:r w:rsidRPr="00EB5ACF">
              <w:rPr>
                <w:rFonts w:ascii="Times New Roman" w:hAnsi="Times New Roman" w:cs="Times New Roman"/>
                <w:sz w:val="20"/>
                <w:szCs w:val="20"/>
              </w:rPr>
              <w:t xml:space="preserve"> – Currency in GBP Billions</w:t>
            </w:r>
          </w:p>
        </w:tc>
        <w:tc>
          <w:tcPr>
            <w:tcW w:w="1980"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Debtors Ratio (Days)</w:t>
            </w:r>
          </w:p>
        </w:tc>
      </w:tr>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2016</w:t>
            </w:r>
          </w:p>
        </w:tc>
        <w:tc>
          <w:tcPr>
            <w:tcW w:w="278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8.47</w:t>
            </w:r>
          </w:p>
        </w:tc>
        <w:tc>
          <w:tcPr>
            <w:tcW w:w="288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 xml:space="preserve">27.89 </w:t>
            </w:r>
          </w:p>
        </w:tc>
        <w:tc>
          <w:tcPr>
            <w:tcW w:w="198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110.84</w:t>
            </w:r>
          </w:p>
        </w:tc>
      </w:tr>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2015</w:t>
            </w:r>
          </w:p>
        </w:tc>
        <w:tc>
          <w:tcPr>
            <w:tcW w:w="278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8.86</w:t>
            </w:r>
          </w:p>
        </w:tc>
        <w:tc>
          <w:tcPr>
            <w:tcW w:w="288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23.92</w:t>
            </w:r>
          </w:p>
        </w:tc>
        <w:tc>
          <w:tcPr>
            <w:tcW w:w="198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135.20</w:t>
            </w:r>
          </w:p>
        </w:tc>
      </w:tr>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2014</w:t>
            </w:r>
          </w:p>
        </w:tc>
        <w:tc>
          <w:tcPr>
            <w:tcW w:w="278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7.81</w:t>
            </w:r>
          </w:p>
        </w:tc>
        <w:tc>
          <w:tcPr>
            <w:tcW w:w="288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23.01</w:t>
            </w:r>
          </w:p>
        </w:tc>
        <w:tc>
          <w:tcPr>
            <w:tcW w:w="198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123.89</w:t>
            </w:r>
          </w:p>
        </w:tc>
      </w:tr>
      <w:tr w:rsidR="00FE4D3E" w:rsidRPr="00EB5ACF" w:rsidTr="008C02C4">
        <w:trPr>
          <w:trHeight w:val="140"/>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2013</w:t>
            </w:r>
          </w:p>
        </w:tc>
        <w:tc>
          <w:tcPr>
            <w:tcW w:w="278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8.72</w:t>
            </w:r>
          </w:p>
        </w:tc>
        <w:tc>
          <w:tcPr>
            <w:tcW w:w="288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26.51</w:t>
            </w:r>
          </w:p>
        </w:tc>
        <w:tc>
          <w:tcPr>
            <w:tcW w:w="198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120.06</w:t>
            </w:r>
          </w:p>
        </w:tc>
      </w:tr>
      <w:tr w:rsidR="00FE4D3E" w:rsidRPr="00EB5ACF" w:rsidTr="008C02C4">
        <w:trPr>
          <w:trHeight w:val="100"/>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2012</w:t>
            </w:r>
          </w:p>
        </w:tc>
        <w:tc>
          <w:tcPr>
            <w:tcW w:w="278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8.31</w:t>
            </w:r>
          </w:p>
        </w:tc>
        <w:tc>
          <w:tcPr>
            <w:tcW w:w="288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26.43</w:t>
            </w:r>
          </w:p>
        </w:tc>
        <w:tc>
          <w:tcPr>
            <w:tcW w:w="198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114.76</w:t>
            </w:r>
          </w:p>
        </w:tc>
      </w:tr>
    </w:tbl>
    <w:p w:rsidR="00FE4D3E" w:rsidRPr="00EB5ACF" w:rsidRDefault="00FE4D3E" w:rsidP="00EB5ACF">
      <w:pPr>
        <w:spacing w:line="240" w:lineRule="auto"/>
        <w:rPr>
          <w:rFonts w:ascii="Times New Roman" w:hAnsi="Times New Roman" w:cs="Times New Roman"/>
          <w:sz w:val="20"/>
          <w:szCs w:val="20"/>
        </w:rPr>
      </w:pPr>
    </w:p>
    <w:p w:rsidR="00FE4D3E" w:rsidRPr="00EB5ACF" w:rsidRDefault="00FE4D3E" w:rsidP="00EB5ACF">
      <w:pPr>
        <w:spacing w:line="240" w:lineRule="auto"/>
        <w:rPr>
          <w:rFonts w:ascii="Times New Roman" w:hAnsi="Times New Roman" w:cs="Times New Roman"/>
          <w:sz w:val="20"/>
          <w:szCs w:val="20"/>
        </w:rPr>
      </w:pPr>
      <w:r w:rsidRPr="00EB5ACF">
        <w:rPr>
          <w:rFonts w:ascii="Times New Roman" w:hAnsi="Times New Roman" w:cs="Times New Roman"/>
          <w:sz w:val="20"/>
          <w:szCs w:val="20"/>
        </w:rPr>
        <w:t xml:space="preserve">AMS Corporation </w:t>
      </w:r>
    </w:p>
    <w:tbl>
      <w:tblPr>
        <w:tblStyle w:val="TableGrid"/>
        <w:tblW w:w="10435" w:type="dxa"/>
        <w:jc w:val="center"/>
        <w:tblLayout w:type="fixed"/>
        <w:tblLook w:val="04A0" w:firstRow="1" w:lastRow="0" w:firstColumn="1" w:lastColumn="0" w:noHBand="0" w:noVBand="1"/>
      </w:tblPr>
      <w:tblGrid>
        <w:gridCol w:w="2427"/>
        <w:gridCol w:w="2158"/>
        <w:gridCol w:w="3420"/>
        <w:gridCol w:w="2430"/>
      </w:tblGrid>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End of Financial Year as at December 31.</w:t>
            </w:r>
          </w:p>
        </w:tc>
        <w:tc>
          <w:tcPr>
            <w:tcW w:w="2158"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 xml:space="preserve">Trade Receivables </w:t>
            </w:r>
          </w:p>
        </w:tc>
        <w:tc>
          <w:tcPr>
            <w:tcW w:w="3420"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Revenues/</w:t>
            </w:r>
            <w:r w:rsidR="008F600B" w:rsidRPr="00EB5ACF">
              <w:rPr>
                <w:rFonts w:ascii="Times New Roman" w:hAnsi="Times New Roman" w:cs="Times New Roman"/>
                <w:noProof/>
                <w:sz w:val="20"/>
                <w:szCs w:val="20"/>
              </w:rPr>
              <w:t>S</w:t>
            </w:r>
            <w:r w:rsidRPr="00EB5ACF">
              <w:rPr>
                <w:rFonts w:ascii="Times New Roman" w:hAnsi="Times New Roman" w:cs="Times New Roman"/>
                <w:noProof/>
                <w:sz w:val="20"/>
                <w:szCs w:val="20"/>
              </w:rPr>
              <w:t>ales</w:t>
            </w:r>
            <w:r w:rsidRPr="00EB5ACF">
              <w:rPr>
                <w:rFonts w:ascii="Times New Roman" w:hAnsi="Times New Roman" w:cs="Times New Roman"/>
                <w:sz w:val="20"/>
                <w:szCs w:val="20"/>
              </w:rPr>
              <w:t xml:space="preserve"> - Currency in Euro in Millions</w:t>
            </w:r>
          </w:p>
        </w:tc>
        <w:tc>
          <w:tcPr>
            <w:tcW w:w="2430"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Debtors Ratio (Days)</w:t>
            </w:r>
          </w:p>
        </w:tc>
      </w:tr>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2016</w:t>
            </w:r>
          </w:p>
        </w:tc>
        <w:tc>
          <w:tcPr>
            <w:tcW w:w="215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w:t>
            </w:r>
          </w:p>
        </w:tc>
        <w:tc>
          <w:tcPr>
            <w:tcW w:w="342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563</w:t>
            </w:r>
          </w:p>
        </w:tc>
        <w:tc>
          <w:tcPr>
            <w:tcW w:w="2430" w:type="dxa"/>
          </w:tcPr>
          <w:p w:rsidR="00FE4D3E" w:rsidRPr="00EB5ACF" w:rsidRDefault="00FE4D3E" w:rsidP="00EB5ACF">
            <w:pPr>
              <w:pStyle w:val="ListParagraph"/>
              <w:numPr>
                <w:ilvl w:val="0"/>
                <w:numId w:val="2"/>
              </w:numPr>
              <w:spacing w:after="160"/>
              <w:rPr>
                <w:rFonts w:ascii="Times New Roman" w:hAnsi="Times New Roman" w:cs="Times New Roman"/>
                <w:sz w:val="20"/>
                <w:szCs w:val="20"/>
              </w:rPr>
            </w:pPr>
          </w:p>
        </w:tc>
      </w:tr>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2015</w:t>
            </w:r>
          </w:p>
        </w:tc>
        <w:tc>
          <w:tcPr>
            <w:tcW w:w="215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89</w:t>
            </w:r>
          </w:p>
        </w:tc>
        <w:tc>
          <w:tcPr>
            <w:tcW w:w="342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623</w:t>
            </w:r>
          </w:p>
        </w:tc>
        <w:tc>
          <w:tcPr>
            <w:tcW w:w="243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52.14</w:t>
            </w:r>
          </w:p>
        </w:tc>
      </w:tr>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2014</w:t>
            </w:r>
          </w:p>
        </w:tc>
        <w:tc>
          <w:tcPr>
            <w:tcW w:w="215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79</w:t>
            </w:r>
          </w:p>
        </w:tc>
        <w:tc>
          <w:tcPr>
            <w:tcW w:w="342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464</w:t>
            </w:r>
          </w:p>
        </w:tc>
        <w:tc>
          <w:tcPr>
            <w:tcW w:w="243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62.14</w:t>
            </w:r>
          </w:p>
        </w:tc>
      </w:tr>
      <w:tr w:rsidR="00FE4D3E" w:rsidRPr="00EB5ACF" w:rsidTr="008C02C4">
        <w:trPr>
          <w:trHeight w:val="140"/>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2013</w:t>
            </w:r>
          </w:p>
        </w:tc>
        <w:tc>
          <w:tcPr>
            <w:tcW w:w="215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64</w:t>
            </w:r>
          </w:p>
        </w:tc>
        <w:tc>
          <w:tcPr>
            <w:tcW w:w="342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378</w:t>
            </w:r>
          </w:p>
        </w:tc>
        <w:tc>
          <w:tcPr>
            <w:tcW w:w="243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61.79</w:t>
            </w:r>
          </w:p>
        </w:tc>
      </w:tr>
      <w:tr w:rsidR="00FE4D3E" w:rsidRPr="00EB5ACF" w:rsidTr="008C02C4">
        <w:trPr>
          <w:trHeight w:val="100"/>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2012</w:t>
            </w:r>
          </w:p>
        </w:tc>
        <w:tc>
          <w:tcPr>
            <w:tcW w:w="215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42</w:t>
            </w:r>
          </w:p>
        </w:tc>
        <w:tc>
          <w:tcPr>
            <w:tcW w:w="342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388</w:t>
            </w:r>
          </w:p>
        </w:tc>
        <w:tc>
          <w:tcPr>
            <w:tcW w:w="243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39.51</w:t>
            </w:r>
          </w:p>
        </w:tc>
      </w:tr>
    </w:tbl>
    <w:p w:rsidR="00FE4D3E" w:rsidRPr="00EB5ACF" w:rsidRDefault="00FE4D3E" w:rsidP="00EB5ACF">
      <w:pPr>
        <w:spacing w:line="240" w:lineRule="auto"/>
        <w:rPr>
          <w:rFonts w:ascii="Times New Roman" w:hAnsi="Times New Roman" w:cs="Times New Roman"/>
          <w:sz w:val="20"/>
          <w:szCs w:val="20"/>
        </w:rPr>
      </w:pPr>
    </w:p>
    <w:p w:rsidR="007A2E6F" w:rsidRPr="00EB5ACF" w:rsidRDefault="0049251B" w:rsidP="00EB5ACF">
      <w:pPr>
        <w:spacing w:line="240" w:lineRule="auto"/>
        <w:ind w:firstLine="720"/>
        <w:rPr>
          <w:rFonts w:ascii="Times New Roman" w:hAnsi="Times New Roman" w:cs="Times New Roman"/>
          <w:sz w:val="20"/>
          <w:szCs w:val="20"/>
        </w:rPr>
      </w:pPr>
      <w:r w:rsidRPr="00EB5ACF">
        <w:rPr>
          <w:rFonts w:ascii="Times New Roman" w:hAnsi="Times New Roman" w:cs="Times New Roman"/>
          <w:sz w:val="20"/>
          <w:szCs w:val="20"/>
        </w:rPr>
        <w:lastRenderedPageBreak/>
        <w:t xml:space="preserve">Debtors ratio is a measure of how a business collects cash from all its </w:t>
      </w:r>
      <w:r w:rsidRPr="00EB5ACF">
        <w:rPr>
          <w:rFonts w:ascii="Times New Roman" w:hAnsi="Times New Roman" w:cs="Times New Roman"/>
          <w:noProof/>
          <w:sz w:val="20"/>
          <w:szCs w:val="20"/>
        </w:rPr>
        <w:t>debtors</w:t>
      </w:r>
      <w:r w:rsidR="008F600B" w:rsidRPr="00EB5ACF">
        <w:rPr>
          <w:rFonts w:ascii="Times New Roman" w:hAnsi="Times New Roman" w:cs="Times New Roman"/>
          <w:noProof/>
          <w:sz w:val="20"/>
          <w:szCs w:val="20"/>
        </w:rPr>
        <w:t>,</w:t>
      </w:r>
      <w:r w:rsidRPr="00EB5ACF">
        <w:rPr>
          <w:rFonts w:ascii="Times New Roman" w:hAnsi="Times New Roman" w:cs="Times New Roman"/>
          <w:sz w:val="20"/>
          <w:szCs w:val="20"/>
        </w:rPr>
        <w:t xml:space="preserve"> and it </w:t>
      </w:r>
      <w:r w:rsidRPr="00EB5ACF">
        <w:rPr>
          <w:rFonts w:ascii="Times New Roman" w:hAnsi="Times New Roman" w:cs="Times New Roman"/>
          <w:noProof/>
          <w:sz w:val="20"/>
          <w:szCs w:val="20"/>
        </w:rPr>
        <w:t>is expressed</w:t>
      </w:r>
      <w:r w:rsidRPr="00EB5ACF">
        <w:rPr>
          <w:rFonts w:ascii="Times New Roman" w:hAnsi="Times New Roman" w:cs="Times New Roman"/>
          <w:sz w:val="20"/>
          <w:szCs w:val="20"/>
        </w:rPr>
        <w:t xml:space="preserve"> in days</w:t>
      </w:r>
      <w:r w:rsidR="001B37B9" w:rsidRPr="00EB5ACF">
        <w:rPr>
          <w:rFonts w:ascii="Times New Roman" w:hAnsi="Times New Roman" w:cs="Times New Roman"/>
          <w:sz w:val="20"/>
          <w:szCs w:val="20"/>
        </w:rPr>
        <w:t xml:space="preserve"> </w:t>
      </w:r>
      <w:sdt>
        <w:sdtPr>
          <w:rPr>
            <w:rFonts w:ascii="Times New Roman" w:hAnsi="Times New Roman" w:cs="Times New Roman"/>
            <w:sz w:val="20"/>
            <w:szCs w:val="20"/>
          </w:rPr>
          <w:id w:val="-866364664"/>
          <w:citation/>
        </w:sdtPr>
        <w:sdtEndPr/>
        <w:sdtContent>
          <w:r w:rsidR="001B37B9" w:rsidRPr="00EB5ACF">
            <w:rPr>
              <w:rFonts w:ascii="Times New Roman" w:hAnsi="Times New Roman" w:cs="Times New Roman"/>
              <w:sz w:val="20"/>
              <w:szCs w:val="20"/>
            </w:rPr>
            <w:fldChar w:fldCharType="begin"/>
          </w:r>
          <w:r w:rsidR="001B37B9" w:rsidRPr="00EB5ACF">
            <w:rPr>
              <w:rFonts w:ascii="Times New Roman" w:hAnsi="Times New Roman" w:cs="Times New Roman"/>
              <w:sz w:val="20"/>
              <w:szCs w:val="20"/>
            </w:rPr>
            <w:instrText xml:space="preserve"> CITATION VSB08 \l 1033 </w:instrText>
          </w:r>
          <w:r w:rsidR="001B37B9" w:rsidRPr="00EB5ACF">
            <w:rPr>
              <w:rFonts w:ascii="Times New Roman" w:hAnsi="Times New Roman" w:cs="Times New Roman"/>
              <w:sz w:val="20"/>
              <w:szCs w:val="20"/>
            </w:rPr>
            <w:fldChar w:fldCharType="separate"/>
          </w:r>
          <w:r w:rsidR="001B37B9" w:rsidRPr="00EB5ACF">
            <w:rPr>
              <w:rFonts w:ascii="Times New Roman" w:hAnsi="Times New Roman" w:cs="Times New Roman"/>
              <w:noProof/>
              <w:sz w:val="20"/>
              <w:szCs w:val="20"/>
            </w:rPr>
            <w:t>(V.S.Bagad, 2008)</w:t>
          </w:r>
          <w:r w:rsidR="001B37B9" w:rsidRPr="00EB5ACF">
            <w:rPr>
              <w:rFonts w:ascii="Times New Roman" w:hAnsi="Times New Roman" w:cs="Times New Roman"/>
              <w:sz w:val="20"/>
              <w:szCs w:val="20"/>
            </w:rPr>
            <w:fldChar w:fldCharType="end"/>
          </w:r>
        </w:sdtContent>
      </w:sdt>
      <w:r w:rsidRPr="00EB5ACF">
        <w:rPr>
          <w:rFonts w:ascii="Times New Roman" w:hAnsi="Times New Roman" w:cs="Times New Roman"/>
          <w:sz w:val="20"/>
          <w:szCs w:val="20"/>
        </w:rPr>
        <w:t>. The longer the time taken by the company to collect its debts, the greater the debtors’ ratio or the number of debtors’ days.</w:t>
      </w:r>
      <w:r w:rsidR="009F65FD" w:rsidRPr="00EB5ACF">
        <w:rPr>
          <w:rFonts w:ascii="Times New Roman" w:hAnsi="Times New Roman" w:cs="Times New Roman"/>
          <w:sz w:val="20"/>
          <w:szCs w:val="20"/>
        </w:rPr>
        <w:t xml:space="preserve"> </w:t>
      </w:r>
      <w:r w:rsidR="009F65FD" w:rsidRPr="00EB5ACF">
        <w:rPr>
          <w:rFonts w:ascii="Times New Roman" w:hAnsi="Times New Roman" w:cs="Times New Roman"/>
          <w:noProof/>
          <w:sz w:val="20"/>
          <w:szCs w:val="20"/>
        </w:rPr>
        <w:t>In reference to</w:t>
      </w:r>
      <w:r w:rsidR="009F65FD" w:rsidRPr="00EB5ACF">
        <w:rPr>
          <w:rFonts w:ascii="Times New Roman" w:hAnsi="Times New Roman" w:cs="Times New Roman"/>
          <w:sz w:val="20"/>
          <w:szCs w:val="20"/>
        </w:rPr>
        <w:t xml:space="preserve"> the two </w:t>
      </w:r>
      <w:r w:rsidR="002E754A" w:rsidRPr="00EB5ACF">
        <w:rPr>
          <w:rFonts w:ascii="Times New Roman" w:hAnsi="Times New Roman" w:cs="Times New Roman"/>
          <w:sz w:val="20"/>
          <w:szCs w:val="20"/>
        </w:rPr>
        <w:t xml:space="preserve">featured </w:t>
      </w:r>
      <w:r w:rsidR="009F65FD" w:rsidRPr="00EB5ACF">
        <w:rPr>
          <w:rFonts w:ascii="Times New Roman" w:hAnsi="Times New Roman" w:cs="Times New Roman"/>
          <w:sz w:val="20"/>
          <w:szCs w:val="20"/>
        </w:rPr>
        <w:t xml:space="preserve">corporations, </w:t>
      </w:r>
      <w:r w:rsidR="007C329F" w:rsidRPr="00EB5ACF">
        <w:rPr>
          <w:rFonts w:ascii="Times New Roman" w:hAnsi="Times New Roman" w:cs="Times New Roman"/>
          <w:sz w:val="20"/>
          <w:szCs w:val="20"/>
        </w:rPr>
        <w:t xml:space="preserve">AMS Corporation’s </w:t>
      </w:r>
      <w:r w:rsidR="002E5FE0" w:rsidRPr="00EB5ACF">
        <w:rPr>
          <w:rFonts w:ascii="Times New Roman" w:hAnsi="Times New Roman" w:cs="Times New Roman"/>
          <w:sz w:val="20"/>
          <w:szCs w:val="20"/>
        </w:rPr>
        <w:t xml:space="preserve">debtors’ ratio is greater than </w:t>
      </w:r>
      <w:r w:rsidR="00CD7DDF" w:rsidRPr="00EB5ACF">
        <w:rPr>
          <w:rFonts w:ascii="Times New Roman" w:hAnsi="Times New Roman" w:cs="Times New Roman"/>
          <w:sz w:val="20"/>
          <w:szCs w:val="20"/>
        </w:rPr>
        <w:t xml:space="preserve">that of </w:t>
      </w:r>
      <w:r w:rsidR="00513D0B" w:rsidRPr="00EB5ACF">
        <w:rPr>
          <w:rFonts w:ascii="Times New Roman" w:hAnsi="Times New Roman" w:cs="Times New Roman"/>
          <w:sz w:val="20"/>
          <w:szCs w:val="20"/>
        </w:rPr>
        <w:t>GSK Corporation</w:t>
      </w:r>
      <w:r w:rsidR="00007810" w:rsidRPr="00EB5ACF">
        <w:rPr>
          <w:rFonts w:ascii="Times New Roman" w:hAnsi="Times New Roman" w:cs="Times New Roman"/>
          <w:sz w:val="20"/>
          <w:szCs w:val="20"/>
        </w:rPr>
        <w:t xml:space="preserve">. </w:t>
      </w:r>
      <w:r w:rsidR="00007810" w:rsidRPr="00EB5ACF">
        <w:rPr>
          <w:rFonts w:ascii="Times New Roman" w:hAnsi="Times New Roman" w:cs="Times New Roman"/>
          <w:noProof/>
          <w:sz w:val="20"/>
          <w:szCs w:val="20"/>
        </w:rPr>
        <w:t>This</w:t>
      </w:r>
      <w:r w:rsidR="00007810" w:rsidRPr="00EB5ACF">
        <w:rPr>
          <w:rFonts w:ascii="Times New Roman" w:hAnsi="Times New Roman" w:cs="Times New Roman"/>
          <w:sz w:val="20"/>
          <w:szCs w:val="20"/>
        </w:rPr>
        <w:t xml:space="preserve"> means that AMS has </w:t>
      </w:r>
      <w:r w:rsidR="000D3964" w:rsidRPr="00EB5ACF">
        <w:rPr>
          <w:rFonts w:ascii="Times New Roman" w:hAnsi="Times New Roman" w:cs="Times New Roman"/>
          <w:sz w:val="20"/>
          <w:szCs w:val="20"/>
        </w:rPr>
        <w:t xml:space="preserve">a better </w:t>
      </w:r>
      <w:r w:rsidR="007F55DF" w:rsidRPr="00EB5ACF">
        <w:rPr>
          <w:rFonts w:ascii="Times New Roman" w:hAnsi="Times New Roman" w:cs="Times New Roman"/>
          <w:sz w:val="20"/>
          <w:szCs w:val="20"/>
        </w:rPr>
        <w:t>debtors’</w:t>
      </w:r>
      <w:r w:rsidR="003B1EA6" w:rsidRPr="00EB5ACF">
        <w:rPr>
          <w:rFonts w:ascii="Times New Roman" w:hAnsi="Times New Roman" w:cs="Times New Roman"/>
          <w:sz w:val="20"/>
          <w:szCs w:val="20"/>
        </w:rPr>
        <w:t xml:space="preserve"> management </w:t>
      </w:r>
      <w:r w:rsidR="00FC62E4" w:rsidRPr="00EB5ACF">
        <w:rPr>
          <w:rFonts w:ascii="Times New Roman" w:hAnsi="Times New Roman" w:cs="Times New Roman"/>
          <w:sz w:val="20"/>
          <w:szCs w:val="20"/>
        </w:rPr>
        <w:t xml:space="preserve">policy </w:t>
      </w:r>
      <w:r w:rsidR="006D2B23" w:rsidRPr="00EB5ACF">
        <w:rPr>
          <w:rFonts w:ascii="Times New Roman" w:hAnsi="Times New Roman" w:cs="Times New Roman"/>
          <w:sz w:val="20"/>
          <w:szCs w:val="20"/>
        </w:rPr>
        <w:t xml:space="preserve">and as such </w:t>
      </w:r>
      <w:r w:rsidR="007F55DF" w:rsidRPr="00EB5ACF">
        <w:rPr>
          <w:rFonts w:ascii="Times New Roman" w:hAnsi="Times New Roman" w:cs="Times New Roman"/>
          <w:sz w:val="20"/>
          <w:szCs w:val="20"/>
        </w:rPr>
        <w:t xml:space="preserve">it has more working capital </w:t>
      </w:r>
      <w:r w:rsidR="007F55DF" w:rsidRPr="00EB5ACF">
        <w:rPr>
          <w:rFonts w:ascii="Times New Roman" w:hAnsi="Times New Roman" w:cs="Times New Roman"/>
          <w:noProof/>
          <w:sz w:val="20"/>
          <w:szCs w:val="20"/>
        </w:rPr>
        <w:t xml:space="preserve">in reference </w:t>
      </w:r>
      <w:r w:rsidR="00876E49" w:rsidRPr="00EB5ACF">
        <w:rPr>
          <w:rFonts w:ascii="Times New Roman" w:hAnsi="Times New Roman" w:cs="Times New Roman"/>
          <w:noProof/>
          <w:sz w:val="20"/>
          <w:szCs w:val="20"/>
        </w:rPr>
        <w:t>to</w:t>
      </w:r>
      <w:r w:rsidR="00876E49" w:rsidRPr="00EB5ACF">
        <w:rPr>
          <w:rFonts w:ascii="Times New Roman" w:hAnsi="Times New Roman" w:cs="Times New Roman"/>
          <w:sz w:val="20"/>
          <w:szCs w:val="20"/>
        </w:rPr>
        <w:t xml:space="preserve"> its total </w:t>
      </w:r>
      <w:r w:rsidR="00BD4D21" w:rsidRPr="00EB5ACF">
        <w:rPr>
          <w:rFonts w:ascii="Times New Roman" w:hAnsi="Times New Roman" w:cs="Times New Roman"/>
          <w:sz w:val="20"/>
          <w:szCs w:val="20"/>
        </w:rPr>
        <w:t>invested capital</w:t>
      </w:r>
      <w:r w:rsidR="003F0E92" w:rsidRPr="00EB5ACF">
        <w:rPr>
          <w:rFonts w:ascii="Times New Roman" w:hAnsi="Times New Roman" w:cs="Times New Roman"/>
          <w:sz w:val="20"/>
          <w:szCs w:val="20"/>
        </w:rPr>
        <w:t xml:space="preserve">. </w:t>
      </w:r>
      <w:r w:rsidR="00FC2D12" w:rsidRPr="00EB5ACF">
        <w:rPr>
          <w:rFonts w:ascii="Times New Roman" w:hAnsi="Times New Roman" w:cs="Times New Roman"/>
          <w:sz w:val="20"/>
          <w:szCs w:val="20"/>
        </w:rPr>
        <w:t xml:space="preserve">The difference in the two corporations’ debtors days could </w:t>
      </w:r>
      <w:r w:rsidR="00773912" w:rsidRPr="00EB5ACF">
        <w:rPr>
          <w:rFonts w:ascii="Times New Roman" w:hAnsi="Times New Roman" w:cs="Times New Roman"/>
          <w:sz w:val="20"/>
          <w:szCs w:val="20"/>
        </w:rPr>
        <w:t xml:space="preserve">be as a result of factors such as </w:t>
      </w:r>
      <w:r w:rsidR="000E121B" w:rsidRPr="00EB5ACF">
        <w:rPr>
          <w:rFonts w:ascii="Times New Roman" w:hAnsi="Times New Roman" w:cs="Times New Roman"/>
          <w:sz w:val="20"/>
          <w:szCs w:val="20"/>
        </w:rPr>
        <w:t xml:space="preserve">industry practice, billing errors, investment in collection staff </w:t>
      </w:r>
      <w:r w:rsidR="00D704B2" w:rsidRPr="00EB5ACF">
        <w:rPr>
          <w:rFonts w:ascii="Times New Roman" w:hAnsi="Times New Roman" w:cs="Times New Roman"/>
          <w:sz w:val="20"/>
          <w:szCs w:val="20"/>
        </w:rPr>
        <w:t xml:space="preserve">and credit practices </w:t>
      </w:r>
      <w:r w:rsidR="00526577" w:rsidRPr="00EB5ACF">
        <w:rPr>
          <w:rFonts w:ascii="Times New Roman" w:hAnsi="Times New Roman" w:cs="Times New Roman"/>
          <w:sz w:val="20"/>
          <w:szCs w:val="20"/>
        </w:rPr>
        <w:t>of each corporation</w:t>
      </w:r>
      <w:r w:rsidR="002F33B1" w:rsidRPr="00EB5ACF">
        <w:rPr>
          <w:rFonts w:ascii="Times New Roman" w:hAnsi="Times New Roman" w:cs="Times New Roman"/>
          <w:sz w:val="20"/>
          <w:szCs w:val="20"/>
        </w:rPr>
        <w:t xml:space="preserve"> </w:t>
      </w:r>
      <w:sdt>
        <w:sdtPr>
          <w:rPr>
            <w:rFonts w:ascii="Times New Roman" w:hAnsi="Times New Roman" w:cs="Times New Roman"/>
            <w:sz w:val="20"/>
            <w:szCs w:val="20"/>
          </w:rPr>
          <w:id w:val="-975606153"/>
          <w:citation/>
        </w:sdtPr>
        <w:sdtEndPr/>
        <w:sdtContent>
          <w:r w:rsidR="002F33B1" w:rsidRPr="00EB5ACF">
            <w:rPr>
              <w:rFonts w:ascii="Times New Roman" w:hAnsi="Times New Roman" w:cs="Times New Roman"/>
              <w:sz w:val="20"/>
              <w:szCs w:val="20"/>
            </w:rPr>
            <w:fldChar w:fldCharType="begin"/>
          </w:r>
          <w:r w:rsidR="002F33B1" w:rsidRPr="00EB5ACF">
            <w:rPr>
              <w:rFonts w:ascii="Times New Roman" w:hAnsi="Times New Roman" w:cs="Times New Roman"/>
              <w:sz w:val="20"/>
              <w:szCs w:val="20"/>
            </w:rPr>
            <w:instrText xml:space="preserve"> CITATION Ste13 \l 1033 </w:instrText>
          </w:r>
          <w:r w:rsidR="002F33B1" w:rsidRPr="00EB5ACF">
            <w:rPr>
              <w:rFonts w:ascii="Times New Roman" w:hAnsi="Times New Roman" w:cs="Times New Roman"/>
              <w:sz w:val="20"/>
              <w:szCs w:val="20"/>
            </w:rPr>
            <w:fldChar w:fldCharType="separate"/>
          </w:r>
          <w:r w:rsidR="002F33B1" w:rsidRPr="00EB5ACF">
            <w:rPr>
              <w:rFonts w:ascii="Times New Roman" w:hAnsi="Times New Roman" w:cs="Times New Roman"/>
              <w:noProof/>
              <w:sz w:val="20"/>
              <w:szCs w:val="20"/>
            </w:rPr>
            <w:t>(Bragg, 2013)</w:t>
          </w:r>
          <w:r w:rsidR="002F33B1" w:rsidRPr="00EB5ACF">
            <w:rPr>
              <w:rFonts w:ascii="Times New Roman" w:hAnsi="Times New Roman" w:cs="Times New Roman"/>
              <w:sz w:val="20"/>
              <w:szCs w:val="20"/>
            </w:rPr>
            <w:fldChar w:fldCharType="end"/>
          </w:r>
        </w:sdtContent>
      </w:sdt>
      <w:r w:rsidR="003B6D01" w:rsidRPr="00EB5ACF">
        <w:rPr>
          <w:rFonts w:ascii="Times New Roman" w:hAnsi="Times New Roman" w:cs="Times New Roman"/>
          <w:sz w:val="20"/>
          <w:szCs w:val="20"/>
        </w:rPr>
        <w:t xml:space="preserve">. </w:t>
      </w:r>
    </w:p>
    <w:p w:rsidR="00FE4D3E" w:rsidRPr="00EB5ACF" w:rsidRDefault="00FE4D3E" w:rsidP="00EB5ACF">
      <w:pPr>
        <w:spacing w:line="240" w:lineRule="auto"/>
        <w:rPr>
          <w:rFonts w:ascii="Times New Roman" w:hAnsi="Times New Roman" w:cs="Times New Roman"/>
          <w:sz w:val="20"/>
          <w:szCs w:val="20"/>
        </w:rPr>
      </w:pPr>
      <w:r w:rsidRPr="00EB5ACF">
        <w:rPr>
          <w:rFonts w:ascii="Times New Roman" w:hAnsi="Times New Roman" w:cs="Times New Roman"/>
          <w:sz w:val="20"/>
          <w:szCs w:val="20"/>
        </w:rPr>
        <w:t>Stock Ratio</w:t>
      </w:r>
    </w:p>
    <w:p w:rsidR="00FE4D3E" w:rsidRPr="00EB5ACF" w:rsidRDefault="00FE4D3E" w:rsidP="00EB5ACF">
      <w:pPr>
        <w:spacing w:line="240" w:lineRule="auto"/>
        <w:jc w:val="center"/>
        <w:rPr>
          <w:rFonts w:ascii="Times New Roman" w:hAnsi="Times New Roman" w:cs="Times New Roman"/>
          <w:sz w:val="20"/>
          <w:szCs w:val="20"/>
        </w:rPr>
      </w:pPr>
      <w:r w:rsidRPr="00EB5ACF">
        <w:rPr>
          <w:rFonts w:ascii="Times New Roman" w:hAnsi="Times New Roman" w:cs="Times New Roman"/>
          <w:sz w:val="20"/>
          <w:szCs w:val="20"/>
        </w:rPr>
        <w:t>Stock Ratio = Cost of Goods Sold / Average Stock</w:t>
      </w:r>
    </w:p>
    <w:p w:rsidR="00FE4D3E" w:rsidRPr="00EB5ACF" w:rsidRDefault="00FE4D3E" w:rsidP="00EB5ACF">
      <w:pPr>
        <w:spacing w:line="240" w:lineRule="auto"/>
        <w:rPr>
          <w:rFonts w:ascii="Times New Roman" w:hAnsi="Times New Roman" w:cs="Times New Roman"/>
          <w:sz w:val="20"/>
          <w:szCs w:val="20"/>
        </w:rPr>
      </w:pPr>
      <w:r w:rsidRPr="00EB5ACF">
        <w:rPr>
          <w:rFonts w:ascii="Times New Roman" w:hAnsi="Times New Roman" w:cs="Times New Roman"/>
          <w:sz w:val="20"/>
          <w:szCs w:val="20"/>
        </w:rPr>
        <w:t xml:space="preserve">GSK Corporation </w:t>
      </w:r>
    </w:p>
    <w:tbl>
      <w:tblPr>
        <w:tblStyle w:val="TableGrid"/>
        <w:tblW w:w="10435" w:type="dxa"/>
        <w:jc w:val="center"/>
        <w:tblLayout w:type="fixed"/>
        <w:tblLook w:val="04A0" w:firstRow="1" w:lastRow="0" w:firstColumn="1" w:lastColumn="0" w:noHBand="0" w:noVBand="1"/>
      </w:tblPr>
      <w:tblGrid>
        <w:gridCol w:w="2427"/>
        <w:gridCol w:w="3508"/>
        <w:gridCol w:w="3060"/>
        <w:gridCol w:w="1440"/>
      </w:tblGrid>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End of Financial Year as at December 31.</w:t>
            </w:r>
          </w:p>
        </w:tc>
        <w:tc>
          <w:tcPr>
            <w:tcW w:w="3508"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Cost of Goods Sold - Currency in GBP Billions</w:t>
            </w:r>
          </w:p>
        </w:tc>
        <w:tc>
          <w:tcPr>
            <w:tcW w:w="3060"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Average Stock - Currency in GBP Billions</w:t>
            </w:r>
          </w:p>
        </w:tc>
        <w:tc>
          <w:tcPr>
            <w:tcW w:w="1440"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Stock Ratio</w:t>
            </w:r>
          </w:p>
        </w:tc>
      </w:tr>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2016</w:t>
            </w:r>
          </w:p>
        </w:tc>
        <w:tc>
          <w:tcPr>
            <w:tcW w:w="350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7.08</w:t>
            </w:r>
          </w:p>
        </w:tc>
        <w:tc>
          <w:tcPr>
            <w:tcW w:w="306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6.91</w:t>
            </w:r>
          </w:p>
        </w:tc>
        <w:tc>
          <w:tcPr>
            <w:tcW w:w="144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1.024</w:t>
            </w:r>
          </w:p>
        </w:tc>
      </w:tr>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2015</w:t>
            </w:r>
          </w:p>
        </w:tc>
        <w:tc>
          <w:tcPr>
            <w:tcW w:w="350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7.29</w:t>
            </w:r>
          </w:p>
        </w:tc>
        <w:tc>
          <w:tcPr>
            <w:tcW w:w="306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7.21</w:t>
            </w:r>
          </w:p>
        </w:tc>
        <w:tc>
          <w:tcPr>
            <w:tcW w:w="144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1.011</w:t>
            </w:r>
          </w:p>
        </w:tc>
      </w:tr>
      <w:tr w:rsidR="00FE4D3E" w:rsidRPr="00EB5ACF" w:rsidTr="008C02C4">
        <w:trPr>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2014</w:t>
            </w:r>
          </w:p>
        </w:tc>
        <w:tc>
          <w:tcPr>
            <w:tcW w:w="350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5.96</w:t>
            </w:r>
          </w:p>
        </w:tc>
        <w:tc>
          <w:tcPr>
            <w:tcW w:w="306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6.97</w:t>
            </w:r>
          </w:p>
        </w:tc>
        <w:tc>
          <w:tcPr>
            <w:tcW w:w="144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0.855</w:t>
            </w:r>
          </w:p>
        </w:tc>
      </w:tr>
      <w:tr w:rsidR="00FE4D3E" w:rsidRPr="00EB5ACF" w:rsidTr="008C02C4">
        <w:trPr>
          <w:trHeight w:val="140"/>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2013</w:t>
            </w:r>
          </w:p>
        </w:tc>
        <w:tc>
          <w:tcPr>
            <w:tcW w:w="350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6.78</w:t>
            </w:r>
          </w:p>
        </w:tc>
        <w:tc>
          <w:tcPr>
            <w:tcW w:w="306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6.1</w:t>
            </w:r>
          </w:p>
        </w:tc>
        <w:tc>
          <w:tcPr>
            <w:tcW w:w="144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1.039</w:t>
            </w:r>
          </w:p>
        </w:tc>
      </w:tr>
      <w:tr w:rsidR="00FE4D3E" w:rsidRPr="00EB5ACF" w:rsidTr="008C02C4">
        <w:trPr>
          <w:trHeight w:val="100"/>
          <w:jc w:val="center"/>
        </w:trPr>
        <w:tc>
          <w:tcPr>
            <w:tcW w:w="2427"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2012</w:t>
            </w:r>
          </w:p>
        </w:tc>
        <w:tc>
          <w:tcPr>
            <w:tcW w:w="350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6.34</w:t>
            </w:r>
          </w:p>
        </w:tc>
        <w:tc>
          <w:tcPr>
            <w:tcW w:w="306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6.29</w:t>
            </w:r>
          </w:p>
        </w:tc>
        <w:tc>
          <w:tcPr>
            <w:tcW w:w="144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1.008</w:t>
            </w:r>
          </w:p>
        </w:tc>
      </w:tr>
    </w:tbl>
    <w:p w:rsidR="00FE4D3E" w:rsidRPr="00EB5ACF" w:rsidRDefault="00FE4D3E" w:rsidP="00EB5ACF">
      <w:pPr>
        <w:spacing w:line="240" w:lineRule="auto"/>
        <w:rPr>
          <w:rFonts w:ascii="Times New Roman" w:hAnsi="Times New Roman" w:cs="Times New Roman"/>
          <w:sz w:val="20"/>
          <w:szCs w:val="20"/>
        </w:rPr>
      </w:pPr>
      <w:r w:rsidRPr="00EB5ACF">
        <w:rPr>
          <w:rFonts w:ascii="Times New Roman" w:hAnsi="Times New Roman" w:cs="Times New Roman"/>
          <w:sz w:val="20"/>
          <w:szCs w:val="20"/>
        </w:rPr>
        <w:t xml:space="preserve">AMS Corporation </w:t>
      </w:r>
    </w:p>
    <w:tbl>
      <w:tblPr>
        <w:tblStyle w:val="TableGrid"/>
        <w:tblW w:w="10350" w:type="dxa"/>
        <w:jc w:val="center"/>
        <w:tblLayout w:type="fixed"/>
        <w:tblLook w:val="04A0" w:firstRow="1" w:lastRow="0" w:firstColumn="1" w:lastColumn="0" w:noHBand="0" w:noVBand="1"/>
      </w:tblPr>
      <w:tblGrid>
        <w:gridCol w:w="2792"/>
        <w:gridCol w:w="2788"/>
        <w:gridCol w:w="2610"/>
        <w:gridCol w:w="2160"/>
      </w:tblGrid>
      <w:tr w:rsidR="00FE4D3E" w:rsidRPr="00EB5ACF" w:rsidTr="00B65696">
        <w:trPr>
          <w:jc w:val="center"/>
        </w:trPr>
        <w:tc>
          <w:tcPr>
            <w:tcW w:w="2792"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End of Financial Year as at December 31.</w:t>
            </w:r>
          </w:p>
        </w:tc>
        <w:tc>
          <w:tcPr>
            <w:tcW w:w="2788"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Cost of Goods Sold - Currency in GBP Billions</w:t>
            </w:r>
          </w:p>
        </w:tc>
        <w:tc>
          <w:tcPr>
            <w:tcW w:w="2610"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Average Stock - Currency in Euro in Millions</w:t>
            </w:r>
          </w:p>
        </w:tc>
        <w:tc>
          <w:tcPr>
            <w:tcW w:w="2160"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Stock Ratio</w:t>
            </w:r>
          </w:p>
        </w:tc>
      </w:tr>
      <w:tr w:rsidR="00FE4D3E" w:rsidRPr="00EB5ACF" w:rsidTr="00B65696">
        <w:trPr>
          <w:jc w:val="center"/>
        </w:trPr>
        <w:tc>
          <w:tcPr>
            <w:tcW w:w="2792"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2016</w:t>
            </w:r>
          </w:p>
        </w:tc>
        <w:tc>
          <w:tcPr>
            <w:tcW w:w="278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261</w:t>
            </w:r>
          </w:p>
        </w:tc>
        <w:tc>
          <w:tcPr>
            <w:tcW w:w="261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w:t>
            </w:r>
          </w:p>
        </w:tc>
        <w:tc>
          <w:tcPr>
            <w:tcW w:w="216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w:t>
            </w:r>
          </w:p>
        </w:tc>
      </w:tr>
      <w:tr w:rsidR="00FE4D3E" w:rsidRPr="00EB5ACF" w:rsidTr="00B65696">
        <w:trPr>
          <w:jc w:val="center"/>
        </w:trPr>
        <w:tc>
          <w:tcPr>
            <w:tcW w:w="2792"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2015</w:t>
            </w:r>
          </w:p>
        </w:tc>
        <w:tc>
          <w:tcPr>
            <w:tcW w:w="278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284</w:t>
            </w:r>
          </w:p>
        </w:tc>
        <w:tc>
          <w:tcPr>
            <w:tcW w:w="261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80</w:t>
            </w:r>
          </w:p>
        </w:tc>
        <w:tc>
          <w:tcPr>
            <w:tcW w:w="216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3.55</w:t>
            </w:r>
          </w:p>
        </w:tc>
      </w:tr>
      <w:tr w:rsidR="00FE4D3E" w:rsidRPr="00EB5ACF" w:rsidTr="00B65696">
        <w:trPr>
          <w:jc w:val="center"/>
        </w:trPr>
        <w:tc>
          <w:tcPr>
            <w:tcW w:w="2792"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2014</w:t>
            </w:r>
          </w:p>
        </w:tc>
        <w:tc>
          <w:tcPr>
            <w:tcW w:w="278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211</w:t>
            </w:r>
          </w:p>
        </w:tc>
        <w:tc>
          <w:tcPr>
            <w:tcW w:w="261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60</w:t>
            </w:r>
          </w:p>
        </w:tc>
        <w:tc>
          <w:tcPr>
            <w:tcW w:w="216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3.52</w:t>
            </w:r>
          </w:p>
        </w:tc>
      </w:tr>
      <w:tr w:rsidR="00FE4D3E" w:rsidRPr="00EB5ACF" w:rsidTr="00B65696">
        <w:trPr>
          <w:trHeight w:val="140"/>
          <w:jc w:val="center"/>
        </w:trPr>
        <w:tc>
          <w:tcPr>
            <w:tcW w:w="2792"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2013</w:t>
            </w:r>
          </w:p>
        </w:tc>
        <w:tc>
          <w:tcPr>
            <w:tcW w:w="278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180</w:t>
            </w:r>
          </w:p>
        </w:tc>
        <w:tc>
          <w:tcPr>
            <w:tcW w:w="261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40</w:t>
            </w:r>
          </w:p>
        </w:tc>
        <w:tc>
          <w:tcPr>
            <w:tcW w:w="216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4.50</w:t>
            </w:r>
          </w:p>
        </w:tc>
      </w:tr>
      <w:tr w:rsidR="00FE4D3E" w:rsidRPr="00EB5ACF" w:rsidTr="00B65696">
        <w:trPr>
          <w:trHeight w:val="100"/>
          <w:jc w:val="center"/>
        </w:trPr>
        <w:tc>
          <w:tcPr>
            <w:tcW w:w="2792" w:type="dxa"/>
            <w:shd w:val="clear" w:color="auto" w:fill="C5E0B3" w:themeFill="accent6" w:themeFillTint="66"/>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2012</w:t>
            </w:r>
          </w:p>
        </w:tc>
        <w:tc>
          <w:tcPr>
            <w:tcW w:w="2788"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185</w:t>
            </w:r>
          </w:p>
        </w:tc>
        <w:tc>
          <w:tcPr>
            <w:tcW w:w="261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56</w:t>
            </w:r>
          </w:p>
        </w:tc>
        <w:tc>
          <w:tcPr>
            <w:tcW w:w="2160" w:type="dxa"/>
          </w:tcPr>
          <w:p w:rsidR="00FE4D3E" w:rsidRPr="00EB5ACF" w:rsidRDefault="00FE4D3E" w:rsidP="00EB5ACF">
            <w:pPr>
              <w:spacing w:after="160"/>
              <w:rPr>
                <w:rFonts w:ascii="Times New Roman" w:hAnsi="Times New Roman" w:cs="Times New Roman"/>
                <w:sz w:val="20"/>
                <w:szCs w:val="20"/>
              </w:rPr>
            </w:pPr>
            <w:r w:rsidRPr="00EB5ACF">
              <w:rPr>
                <w:rFonts w:ascii="Times New Roman" w:hAnsi="Times New Roman" w:cs="Times New Roman"/>
                <w:sz w:val="20"/>
                <w:szCs w:val="20"/>
              </w:rPr>
              <w:t>3.30</w:t>
            </w:r>
          </w:p>
        </w:tc>
      </w:tr>
    </w:tbl>
    <w:p w:rsidR="00BB0821" w:rsidRPr="00EB5ACF" w:rsidRDefault="00BB0821" w:rsidP="00EB5ACF">
      <w:pPr>
        <w:spacing w:line="240" w:lineRule="auto"/>
        <w:rPr>
          <w:rStyle w:val="tgc"/>
          <w:rFonts w:ascii="Times New Roman" w:hAnsi="Times New Roman" w:cs="Times New Roman"/>
          <w:sz w:val="20"/>
          <w:szCs w:val="20"/>
        </w:rPr>
      </w:pPr>
    </w:p>
    <w:p w:rsidR="00BB0821" w:rsidRPr="00EB5ACF" w:rsidRDefault="00BB0821" w:rsidP="00EB5ACF">
      <w:pPr>
        <w:spacing w:line="240" w:lineRule="auto"/>
        <w:ind w:firstLine="720"/>
        <w:rPr>
          <w:rFonts w:ascii="Times New Roman" w:hAnsi="Times New Roman" w:cs="Times New Roman"/>
          <w:sz w:val="20"/>
          <w:szCs w:val="20"/>
        </w:rPr>
      </w:pPr>
      <w:r w:rsidRPr="00EB5ACF">
        <w:rPr>
          <w:rFonts w:ascii="Times New Roman" w:hAnsi="Times New Roman" w:cs="Times New Roman"/>
          <w:sz w:val="20"/>
          <w:szCs w:val="20"/>
        </w:rPr>
        <w:t xml:space="preserve">Stock ratio is employed to illustrate how effectively an entity’s stock </w:t>
      </w:r>
      <w:r w:rsidRPr="00EB5ACF">
        <w:rPr>
          <w:rFonts w:ascii="Times New Roman" w:hAnsi="Times New Roman" w:cs="Times New Roman"/>
          <w:noProof/>
          <w:sz w:val="20"/>
          <w:szCs w:val="20"/>
        </w:rPr>
        <w:t>is managed</w:t>
      </w:r>
      <w:r w:rsidRPr="00EB5ACF">
        <w:rPr>
          <w:rFonts w:ascii="Times New Roman" w:hAnsi="Times New Roman" w:cs="Times New Roman"/>
          <w:sz w:val="20"/>
          <w:szCs w:val="20"/>
        </w:rPr>
        <w:t xml:space="preserve"> over an accounting period. It </w:t>
      </w:r>
      <w:r w:rsidRPr="00EB5ACF">
        <w:rPr>
          <w:rFonts w:ascii="Times New Roman" w:hAnsi="Times New Roman" w:cs="Times New Roman"/>
          <w:noProof/>
          <w:sz w:val="20"/>
          <w:szCs w:val="20"/>
        </w:rPr>
        <w:t>is formulated</w:t>
      </w:r>
      <w:r w:rsidRPr="00EB5ACF">
        <w:rPr>
          <w:rFonts w:ascii="Times New Roman" w:hAnsi="Times New Roman" w:cs="Times New Roman"/>
          <w:sz w:val="20"/>
          <w:szCs w:val="20"/>
        </w:rPr>
        <w:t xml:space="preserve"> through the calculation of the cost of all the goods sold in an organization divided by the average value or amount of inventories in an organization</w:t>
      </w:r>
      <w:r w:rsidR="008A3BC6" w:rsidRPr="00EB5ACF">
        <w:rPr>
          <w:rFonts w:ascii="Times New Roman" w:hAnsi="Times New Roman" w:cs="Times New Roman"/>
          <w:sz w:val="20"/>
          <w:szCs w:val="20"/>
        </w:rPr>
        <w:t xml:space="preserve"> </w:t>
      </w:r>
      <w:sdt>
        <w:sdtPr>
          <w:rPr>
            <w:rFonts w:ascii="Times New Roman" w:hAnsi="Times New Roman" w:cs="Times New Roman"/>
            <w:sz w:val="20"/>
            <w:szCs w:val="20"/>
          </w:rPr>
          <w:id w:val="-863593815"/>
          <w:citation/>
        </w:sdtPr>
        <w:sdtEndPr/>
        <w:sdtContent>
          <w:r w:rsidR="008A3BC6" w:rsidRPr="00EB5ACF">
            <w:rPr>
              <w:rFonts w:ascii="Times New Roman" w:hAnsi="Times New Roman" w:cs="Times New Roman"/>
              <w:sz w:val="20"/>
              <w:szCs w:val="20"/>
            </w:rPr>
            <w:fldChar w:fldCharType="begin"/>
          </w:r>
          <w:r w:rsidR="008A3BC6" w:rsidRPr="00EB5ACF">
            <w:rPr>
              <w:rFonts w:ascii="Times New Roman" w:hAnsi="Times New Roman" w:cs="Times New Roman"/>
              <w:sz w:val="20"/>
              <w:szCs w:val="20"/>
            </w:rPr>
            <w:instrText xml:space="preserve"> CITATION Cha06 \l 1033 </w:instrText>
          </w:r>
          <w:r w:rsidR="008A3BC6" w:rsidRPr="00EB5ACF">
            <w:rPr>
              <w:rFonts w:ascii="Times New Roman" w:hAnsi="Times New Roman" w:cs="Times New Roman"/>
              <w:sz w:val="20"/>
              <w:szCs w:val="20"/>
            </w:rPr>
            <w:fldChar w:fldCharType="separate"/>
          </w:r>
          <w:r w:rsidR="008A3BC6" w:rsidRPr="00EB5ACF">
            <w:rPr>
              <w:rFonts w:ascii="Times New Roman" w:hAnsi="Times New Roman" w:cs="Times New Roman"/>
              <w:noProof/>
              <w:sz w:val="20"/>
              <w:szCs w:val="20"/>
            </w:rPr>
            <w:t>(Bose, 2006)</w:t>
          </w:r>
          <w:r w:rsidR="008A3BC6" w:rsidRPr="00EB5ACF">
            <w:rPr>
              <w:rFonts w:ascii="Times New Roman" w:hAnsi="Times New Roman" w:cs="Times New Roman"/>
              <w:sz w:val="20"/>
              <w:szCs w:val="20"/>
            </w:rPr>
            <w:fldChar w:fldCharType="end"/>
          </w:r>
        </w:sdtContent>
      </w:sdt>
      <w:r w:rsidRPr="00EB5ACF">
        <w:rPr>
          <w:rFonts w:ascii="Times New Roman" w:hAnsi="Times New Roman" w:cs="Times New Roman"/>
          <w:sz w:val="20"/>
          <w:szCs w:val="20"/>
        </w:rPr>
        <w:t xml:space="preserve">. </w:t>
      </w:r>
      <w:r w:rsidRPr="00EB5ACF">
        <w:rPr>
          <w:rFonts w:ascii="Times New Roman" w:hAnsi="Times New Roman" w:cs="Times New Roman"/>
          <w:noProof/>
          <w:sz w:val="20"/>
          <w:szCs w:val="20"/>
        </w:rPr>
        <w:t>In reference to</w:t>
      </w:r>
      <w:r w:rsidRPr="00EB5ACF">
        <w:rPr>
          <w:rFonts w:ascii="Times New Roman" w:hAnsi="Times New Roman" w:cs="Times New Roman"/>
          <w:sz w:val="20"/>
          <w:szCs w:val="20"/>
        </w:rPr>
        <w:t xml:space="preserve"> the two organizations, it is evident that the AMS Corporation has a higher stock ratio in comparison to the GSK Corporation. Both the stock and debtors ration of the AMS Corporation </w:t>
      </w:r>
      <w:r w:rsidR="008F600B" w:rsidRPr="00EB5ACF">
        <w:rPr>
          <w:rFonts w:ascii="Times New Roman" w:hAnsi="Times New Roman" w:cs="Times New Roman"/>
          <w:noProof/>
          <w:sz w:val="20"/>
          <w:szCs w:val="20"/>
        </w:rPr>
        <w:t>is</w:t>
      </w:r>
      <w:r w:rsidRPr="00EB5ACF">
        <w:rPr>
          <w:rFonts w:ascii="Times New Roman" w:hAnsi="Times New Roman" w:cs="Times New Roman"/>
          <w:sz w:val="20"/>
          <w:szCs w:val="20"/>
        </w:rPr>
        <w:t xml:space="preserve"> better that those recorded for the GSK Corporation. This result can be employed to justify that the AMS Corporation is performing at a better rate that the GSK Corporation within the same financial period. </w:t>
      </w:r>
    </w:p>
    <w:p w:rsidR="00C706E8" w:rsidRPr="00EB5ACF" w:rsidRDefault="001D77AD" w:rsidP="00EB5ACF">
      <w:pPr>
        <w:spacing w:line="240" w:lineRule="auto"/>
        <w:ind w:firstLine="720"/>
        <w:rPr>
          <w:rFonts w:ascii="Times New Roman" w:hAnsi="Times New Roman" w:cs="Times New Roman"/>
          <w:sz w:val="20"/>
          <w:szCs w:val="20"/>
        </w:rPr>
      </w:pPr>
      <w:r w:rsidRPr="00EB5ACF">
        <w:rPr>
          <w:rFonts w:ascii="Times New Roman" w:hAnsi="Times New Roman" w:cs="Times New Roman"/>
          <w:sz w:val="20"/>
          <w:szCs w:val="20"/>
        </w:rPr>
        <w:t>The knowledge of the stock ratio is also important in an organization as it is a primary indicator of the profitability potential of a business organization. A high stock ratio indicates that an entity is retaining a low level of its average stock in comparison to its sales. In this case, holding stock refers to the funds tied up in the company’s stock. Also, retaining a high level of inventories on</w:t>
      </w:r>
      <w:r w:rsidRPr="00EB5ACF">
        <w:rPr>
          <w:rFonts w:ascii="Times New Roman" w:hAnsi="Times New Roman" w:cs="Times New Roman"/>
          <w:noProof/>
          <w:sz w:val="20"/>
          <w:szCs w:val="20"/>
        </w:rPr>
        <w:t xml:space="preserve"> business</w:t>
      </w:r>
      <w:r w:rsidRPr="00EB5ACF">
        <w:rPr>
          <w:rFonts w:ascii="Times New Roman" w:hAnsi="Times New Roman" w:cs="Times New Roman"/>
          <w:sz w:val="20"/>
          <w:szCs w:val="20"/>
        </w:rPr>
        <w:t xml:space="preserve"> premises is not recommended because it attracts additional costs. Such costs may include costs that relate to storage, spoilage, theft or changes in the customers’ style, </w:t>
      </w:r>
      <w:r w:rsidRPr="00EB5ACF">
        <w:rPr>
          <w:rFonts w:ascii="Times New Roman" w:hAnsi="Times New Roman" w:cs="Times New Roman"/>
          <w:noProof/>
          <w:sz w:val="20"/>
          <w:szCs w:val="20"/>
        </w:rPr>
        <w:t>tastes</w:t>
      </w:r>
      <w:r w:rsidR="008F600B" w:rsidRPr="00EB5ACF">
        <w:rPr>
          <w:rFonts w:ascii="Times New Roman" w:hAnsi="Times New Roman" w:cs="Times New Roman"/>
          <w:noProof/>
          <w:sz w:val="20"/>
          <w:szCs w:val="20"/>
        </w:rPr>
        <w:t>,</w:t>
      </w:r>
      <w:r w:rsidRPr="00EB5ACF">
        <w:rPr>
          <w:rFonts w:ascii="Times New Roman" w:hAnsi="Times New Roman" w:cs="Times New Roman"/>
          <w:sz w:val="20"/>
          <w:szCs w:val="20"/>
        </w:rPr>
        <w:t xml:space="preserve"> and preferences. </w:t>
      </w:r>
    </w:p>
    <w:p w:rsidR="00B22BFC" w:rsidRPr="00EB5ACF" w:rsidRDefault="00B22BFC" w:rsidP="00EB5ACF">
      <w:pPr>
        <w:spacing w:line="240" w:lineRule="auto"/>
        <w:jc w:val="center"/>
        <w:rPr>
          <w:rStyle w:val="tgc"/>
          <w:rFonts w:ascii="Times New Roman" w:hAnsi="Times New Roman" w:cs="Times New Roman"/>
          <w:sz w:val="20"/>
          <w:szCs w:val="20"/>
        </w:rPr>
      </w:pPr>
      <w:r w:rsidRPr="00EB5ACF">
        <w:rPr>
          <w:rStyle w:val="tgc"/>
          <w:rFonts w:ascii="Times New Roman" w:hAnsi="Times New Roman" w:cs="Times New Roman"/>
          <w:sz w:val="20"/>
          <w:szCs w:val="20"/>
        </w:rPr>
        <w:t>Conclusion</w:t>
      </w:r>
    </w:p>
    <w:p w:rsidR="00C706E8" w:rsidRPr="00EB5ACF" w:rsidRDefault="00B22BFC" w:rsidP="00EB5ACF">
      <w:pPr>
        <w:spacing w:line="240" w:lineRule="auto"/>
        <w:ind w:firstLine="720"/>
        <w:rPr>
          <w:rFonts w:ascii="Times New Roman" w:hAnsi="Times New Roman" w:cs="Times New Roman"/>
          <w:sz w:val="20"/>
          <w:szCs w:val="20"/>
        </w:rPr>
      </w:pPr>
      <w:r w:rsidRPr="00EB5ACF">
        <w:rPr>
          <w:rFonts w:ascii="Times New Roman" w:hAnsi="Times New Roman" w:cs="Times New Roman"/>
          <w:sz w:val="20"/>
          <w:szCs w:val="20"/>
        </w:rPr>
        <w:t xml:space="preserve">In conclusion, managing receivables or inventories in an organization </w:t>
      </w:r>
      <w:r w:rsidR="008F600B" w:rsidRPr="00EB5ACF">
        <w:rPr>
          <w:rFonts w:ascii="Times New Roman" w:hAnsi="Times New Roman" w:cs="Times New Roman"/>
          <w:noProof/>
          <w:sz w:val="20"/>
          <w:szCs w:val="20"/>
        </w:rPr>
        <w:t>are</w:t>
      </w:r>
      <w:r w:rsidRPr="00EB5ACF">
        <w:rPr>
          <w:rFonts w:ascii="Times New Roman" w:hAnsi="Times New Roman" w:cs="Times New Roman"/>
          <w:sz w:val="20"/>
          <w:szCs w:val="20"/>
        </w:rPr>
        <w:t xml:space="preserve"> important because it is a primary </w:t>
      </w:r>
      <w:r w:rsidRPr="00EB5ACF">
        <w:rPr>
          <w:rFonts w:ascii="Times New Roman" w:hAnsi="Times New Roman" w:cs="Times New Roman"/>
          <w:noProof/>
          <w:sz w:val="20"/>
          <w:szCs w:val="20"/>
        </w:rPr>
        <w:t xml:space="preserve">indicator of the </w:t>
      </w:r>
      <w:r w:rsidR="008F600B" w:rsidRPr="00EB5ACF">
        <w:rPr>
          <w:rFonts w:ascii="Times New Roman" w:hAnsi="Times New Roman" w:cs="Times New Roman"/>
          <w:noProof/>
          <w:sz w:val="20"/>
          <w:szCs w:val="20"/>
        </w:rPr>
        <w:t>sustained</w:t>
      </w:r>
      <w:r w:rsidRPr="00EB5ACF">
        <w:rPr>
          <w:rFonts w:ascii="Times New Roman" w:hAnsi="Times New Roman" w:cs="Times New Roman"/>
          <w:noProof/>
          <w:sz w:val="20"/>
          <w:szCs w:val="20"/>
        </w:rPr>
        <w:t xml:space="preserve"> performance of an </w:t>
      </w:r>
      <w:r w:rsidR="008F600B" w:rsidRPr="00EB5ACF">
        <w:rPr>
          <w:rFonts w:ascii="Times New Roman" w:hAnsi="Times New Roman" w:cs="Times New Roman"/>
          <w:noProof/>
          <w:sz w:val="20"/>
          <w:szCs w:val="20"/>
        </w:rPr>
        <w:t>institution</w:t>
      </w:r>
      <w:r w:rsidRPr="00EB5ACF">
        <w:rPr>
          <w:rFonts w:ascii="Times New Roman" w:hAnsi="Times New Roman" w:cs="Times New Roman"/>
          <w:noProof/>
          <w:sz w:val="20"/>
          <w:szCs w:val="20"/>
        </w:rPr>
        <w:t>.</w:t>
      </w:r>
      <w:r w:rsidRPr="00EB5ACF">
        <w:rPr>
          <w:rFonts w:ascii="Times New Roman" w:hAnsi="Times New Roman" w:cs="Times New Roman"/>
          <w:sz w:val="20"/>
          <w:szCs w:val="20"/>
        </w:rPr>
        <w:t xml:space="preserve"> There are two primary financial ratios that can </w:t>
      </w:r>
      <w:r w:rsidRPr="00EB5ACF">
        <w:rPr>
          <w:rFonts w:ascii="Times New Roman" w:hAnsi="Times New Roman" w:cs="Times New Roman"/>
          <w:noProof/>
          <w:sz w:val="20"/>
          <w:szCs w:val="20"/>
        </w:rPr>
        <w:t>be used</w:t>
      </w:r>
      <w:r w:rsidRPr="00EB5ACF">
        <w:rPr>
          <w:rFonts w:ascii="Times New Roman" w:hAnsi="Times New Roman" w:cs="Times New Roman"/>
          <w:sz w:val="20"/>
          <w:szCs w:val="20"/>
        </w:rPr>
        <w:t xml:space="preserve"> in the analysis of a business’ receivables and inventories. The debtors’ ratio is a measure of how an entity collects cash from all its </w:t>
      </w:r>
      <w:r w:rsidRPr="00EB5ACF">
        <w:rPr>
          <w:rFonts w:ascii="Times New Roman" w:hAnsi="Times New Roman" w:cs="Times New Roman"/>
          <w:noProof/>
          <w:sz w:val="20"/>
          <w:szCs w:val="20"/>
        </w:rPr>
        <w:t>debtors</w:t>
      </w:r>
      <w:r w:rsidR="008F600B" w:rsidRPr="00EB5ACF">
        <w:rPr>
          <w:rFonts w:ascii="Times New Roman" w:hAnsi="Times New Roman" w:cs="Times New Roman"/>
          <w:noProof/>
          <w:sz w:val="20"/>
          <w:szCs w:val="20"/>
        </w:rPr>
        <w:t>,</w:t>
      </w:r>
      <w:r w:rsidRPr="00EB5ACF">
        <w:rPr>
          <w:rFonts w:ascii="Times New Roman" w:hAnsi="Times New Roman" w:cs="Times New Roman"/>
          <w:sz w:val="20"/>
          <w:szCs w:val="20"/>
        </w:rPr>
        <w:t xml:space="preserve"> and it </w:t>
      </w:r>
      <w:r w:rsidRPr="00EB5ACF">
        <w:rPr>
          <w:rFonts w:ascii="Times New Roman" w:hAnsi="Times New Roman" w:cs="Times New Roman"/>
          <w:noProof/>
          <w:sz w:val="20"/>
          <w:szCs w:val="20"/>
        </w:rPr>
        <w:t>is expressed</w:t>
      </w:r>
      <w:r w:rsidRPr="00EB5ACF">
        <w:rPr>
          <w:rFonts w:ascii="Times New Roman" w:hAnsi="Times New Roman" w:cs="Times New Roman"/>
          <w:sz w:val="20"/>
          <w:szCs w:val="20"/>
        </w:rPr>
        <w:t xml:space="preserve"> in days. The longer the time taken by the corporation to collect its debts, the greater the debtors’ ratio or the number of debtors’ days. On the other hand, the stock </w:t>
      </w:r>
      <w:r w:rsidRPr="00EB5ACF">
        <w:rPr>
          <w:rFonts w:ascii="Times New Roman" w:hAnsi="Times New Roman" w:cs="Times New Roman"/>
          <w:sz w:val="20"/>
          <w:szCs w:val="20"/>
        </w:rPr>
        <w:lastRenderedPageBreak/>
        <w:t xml:space="preserve">ratio is used to illustrate how effectively an entity’s stock </w:t>
      </w:r>
      <w:r w:rsidRPr="00EB5ACF">
        <w:rPr>
          <w:rFonts w:ascii="Times New Roman" w:hAnsi="Times New Roman" w:cs="Times New Roman"/>
          <w:noProof/>
          <w:sz w:val="20"/>
          <w:szCs w:val="20"/>
        </w:rPr>
        <w:t>is managed</w:t>
      </w:r>
      <w:r w:rsidRPr="00EB5ACF">
        <w:rPr>
          <w:rFonts w:ascii="Times New Roman" w:hAnsi="Times New Roman" w:cs="Times New Roman"/>
          <w:sz w:val="20"/>
          <w:szCs w:val="20"/>
        </w:rPr>
        <w:t xml:space="preserve"> over an accounting period. It </w:t>
      </w:r>
      <w:r w:rsidRPr="00EB5ACF">
        <w:rPr>
          <w:rFonts w:ascii="Times New Roman" w:hAnsi="Times New Roman" w:cs="Times New Roman"/>
          <w:noProof/>
          <w:sz w:val="20"/>
          <w:szCs w:val="20"/>
        </w:rPr>
        <w:t>is formulated</w:t>
      </w:r>
      <w:r w:rsidRPr="00EB5ACF">
        <w:rPr>
          <w:rFonts w:ascii="Times New Roman" w:hAnsi="Times New Roman" w:cs="Times New Roman"/>
          <w:sz w:val="20"/>
          <w:szCs w:val="20"/>
        </w:rPr>
        <w:t xml:space="preserve"> through the calculation of the cost of all the goods sold in an organization divided by the average value or amount of inventories in an organization</w:t>
      </w:r>
      <w:r w:rsidR="004F3D5B" w:rsidRPr="00EB5ACF">
        <w:rPr>
          <w:rFonts w:ascii="Times New Roman" w:hAnsi="Times New Roman" w:cs="Times New Roman"/>
          <w:sz w:val="20"/>
          <w:szCs w:val="20"/>
        </w:rPr>
        <w:t xml:space="preserve">. </w:t>
      </w:r>
    </w:p>
    <w:p w:rsidR="00C706E8" w:rsidRPr="00EB5ACF" w:rsidRDefault="00C706E8" w:rsidP="00EB5ACF">
      <w:pPr>
        <w:pStyle w:val="Default"/>
        <w:spacing w:after="160"/>
        <w:jc w:val="center"/>
        <w:rPr>
          <w:rFonts w:ascii="Times New Roman" w:hAnsi="Times New Roman" w:cs="Times New Roman"/>
          <w:sz w:val="20"/>
          <w:szCs w:val="20"/>
        </w:rPr>
      </w:pPr>
      <w:r w:rsidRPr="00EB5ACF">
        <w:rPr>
          <w:rFonts w:ascii="Times New Roman" w:hAnsi="Times New Roman" w:cs="Times New Roman"/>
          <w:sz w:val="20"/>
          <w:szCs w:val="20"/>
        </w:rPr>
        <w:t>Recommendations</w:t>
      </w:r>
    </w:p>
    <w:p w:rsidR="005E5F09" w:rsidRPr="00EB5ACF" w:rsidRDefault="00C706E8" w:rsidP="00EB5ACF">
      <w:pPr>
        <w:pStyle w:val="Default"/>
        <w:spacing w:after="160"/>
        <w:rPr>
          <w:rFonts w:ascii="Times New Roman" w:hAnsi="Times New Roman" w:cs="Times New Roman"/>
          <w:sz w:val="20"/>
          <w:szCs w:val="20"/>
        </w:rPr>
      </w:pPr>
      <w:r w:rsidRPr="00EB5ACF">
        <w:rPr>
          <w:rFonts w:ascii="Times New Roman" w:hAnsi="Times New Roman" w:cs="Times New Roman"/>
          <w:sz w:val="20"/>
          <w:szCs w:val="20"/>
        </w:rPr>
        <w:tab/>
        <w:t xml:space="preserve">From the financial analysis, it is evident that the two corporations’ financial positions in an ideal status. Nevertheless, further improvement of their financial management methodologies is warranted to ensure that entities continue having an improved performance. </w:t>
      </w:r>
      <w:r w:rsidRPr="00EB5ACF">
        <w:rPr>
          <w:rFonts w:ascii="Times New Roman" w:hAnsi="Times New Roman" w:cs="Times New Roman"/>
          <w:noProof/>
          <w:sz w:val="20"/>
          <w:szCs w:val="20"/>
        </w:rPr>
        <w:t>This</w:t>
      </w:r>
      <w:r w:rsidRPr="00EB5ACF">
        <w:rPr>
          <w:rFonts w:ascii="Times New Roman" w:hAnsi="Times New Roman" w:cs="Times New Roman"/>
          <w:sz w:val="20"/>
          <w:szCs w:val="20"/>
        </w:rPr>
        <w:t xml:space="preserve"> is also because both the accounts receivables as well as inventory accounts are all primary components of the working capitals of any business entity. Also, by streamlining the two components, the corporations will be in a position to have </w:t>
      </w:r>
      <w:r w:rsidRPr="00EB5ACF">
        <w:rPr>
          <w:rFonts w:ascii="Times New Roman" w:hAnsi="Times New Roman" w:cs="Times New Roman"/>
          <w:noProof/>
          <w:sz w:val="20"/>
          <w:szCs w:val="20"/>
        </w:rPr>
        <w:t>good</w:t>
      </w:r>
      <w:r w:rsidRPr="00EB5ACF">
        <w:rPr>
          <w:rFonts w:ascii="Times New Roman" w:hAnsi="Times New Roman" w:cs="Times New Roman"/>
          <w:sz w:val="20"/>
          <w:szCs w:val="20"/>
        </w:rPr>
        <w:t xml:space="preserve"> access to the cash that would otherwise </w:t>
      </w:r>
      <w:r w:rsidRPr="00EB5ACF">
        <w:rPr>
          <w:rFonts w:ascii="Times New Roman" w:hAnsi="Times New Roman" w:cs="Times New Roman"/>
          <w:noProof/>
          <w:sz w:val="20"/>
          <w:szCs w:val="20"/>
        </w:rPr>
        <w:t>be trapped</w:t>
      </w:r>
      <w:r w:rsidRPr="00EB5ACF">
        <w:rPr>
          <w:rFonts w:ascii="Times New Roman" w:hAnsi="Times New Roman" w:cs="Times New Roman"/>
          <w:sz w:val="20"/>
          <w:szCs w:val="20"/>
        </w:rPr>
        <w:t xml:space="preserve"> on the balance sheets. There are several strategies that the corporations could use as recommendations for improving the financial managements, </w:t>
      </w:r>
      <w:r w:rsidRPr="00EB5ACF">
        <w:rPr>
          <w:rFonts w:ascii="Times New Roman" w:hAnsi="Times New Roman" w:cs="Times New Roman"/>
          <w:noProof/>
          <w:sz w:val="20"/>
          <w:szCs w:val="20"/>
        </w:rPr>
        <w:t>in reference to</w:t>
      </w:r>
      <w:r w:rsidRPr="00EB5ACF">
        <w:rPr>
          <w:rFonts w:ascii="Times New Roman" w:hAnsi="Times New Roman" w:cs="Times New Roman"/>
          <w:sz w:val="20"/>
          <w:szCs w:val="20"/>
        </w:rPr>
        <w:t xml:space="preserve"> the</w:t>
      </w:r>
      <w:r w:rsidR="00221D09" w:rsidRPr="00EB5ACF">
        <w:rPr>
          <w:rFonts w:ascii="Times New Roman" w:hAnsi="Times New Roman" w:cs="Times New Roman"/>
          <w:sz w:val="20"/>
          <w:szCs w:val="20"/>
        </w:rPr>
        <w:t>ir receivables and inventories.</w:t>
      </w:r>
    </w:p>
    <w:p w:rsidR="00301DAB" w:rsidRPr="00EB5ACF" w:rsidRDefault="00301DAB" w:rsidP="00EB5ACF">
      <w:pPr>
        <w:pStyle w:val="Default"/>
        <w:spacing w:after="160"/>
        <w:rPr>
          <w:rFonts w:ascii="Times New Roman" w:hAnsi="Times New Roman" w:cs="Times New Roman"/>
          <w:sz w:val="20"/>
          <w:szCs w:val="20"/>
        </w:rPr>
      </w:pPr>
      <w:r w:rsidRPr="00EB5ACF">
        <w:rPr>
          <w:rFonts w:ascii="Times New Roman" w:hAnsi="Times New Roman" w:cs="Times New Roman"/>
          <w:sz w:val="20"/>
          <w:szCs w:val="20"/>
        </w:rPr>
        <w:t>Optimizing the Financial Functions</w:t>
      </w:r>
    </w:p>
    <w:p w:rsidR="004634D9" w:rsidRPr="00EB5ACF" w:rsidRDefault="004634D9" w:rsidP="00EB5ACF">
      <w:pPr>
        <w:pStyle w:val="Default"/>
        <w:spacing w:after="160"/>
        <w:rPr>
          <w:rFonts w:ascii="Times New Roman" w:hAnsi="Times New Roman" w:cs="Times New Roman"/>
          <w:sz w:val="20"/>
          <w:szCs w:val="20"/>
        </w:rPr>
      </w:pPr>
    </w:p>
    <w:p w:rsidR="00301DAB" w:rsidRPr="00EB5ACF" w:rsidRDefault="00301DAB" w:rsidP="00EB5ACF">
      <w:pPr>
        <w:pStyle w:val="Default"/>
        <w:spacing w:after="160"/>
        <w:rPr>
          <w:rFonts w:ascii="Times New Roman" w:hAnsi="Times New Roman" w:cs="Times New Roman"/>
          <w:sz w:val="20"/>
          <w:szCs w:val="20"/>
        </w:rPr>
      </w:pPr>
      <w:r w:rsidRPr="00EB5ACF">
        <w:rPr>
          <w:rFonts w:ascii="Times New Roman" w:hAnsi="Times New Roman" w:cs="Times New Roman"/>
          <w:sz w:val="20"/>
          <w:szCs w:val="20"/>
        </w:rPr>
        <w:tab/>
      </w:r>
      <w:r w:rsidRPr="00EB5ACF">
        <w:rPr>
          <w:rFonts w:ascii="Times New Roman" w:hAnsi="Times New Roman" w:cs="Times New Roman"/>
          <w:noProof/>
          <w:sz w:val="20"/>
          <w:szCs w:val="20"/>
        </w:rPr>
        <w:t>This</w:t>
      </w:r>
      <w:r w:rsidRPr="00EB5ACF">
        <w:rPr>
          <w:rFonts w:ascii="Times New Roman" w:hAnsi="Times New Roman" w:cs="Times New Roman"/>
          <w:sz w:val="20"/>
          <w:szCs w:val="20"/>
        </w:rPr>
        <w:t xml:space="preserve"> is the first financial management strategy that both companies should adopt. There are numerous optimization techniques that the companies could employ for improving the companies’ cash management. For example, the accounts receivables for both corporations could </w:t>
      </w:r>
      <w:r w:rsidRPr="00EB5ACF">
        <w:rPr>
          <w:rFonts w:ascii="Times New Roman" w:hAnsi="Times New Roman" w:cs="Times New Roman"/>
          <w:noProof/>
          <w:sz w:val="20"/>
          <w:szCs w:val="20"/>
        </w:rPr>
        <w:t>be optimized</w:t>
      </w:r>
      <w:r w:rsidRPr="00EB5ACF">
        <w:rPr>
          <w:rFonts w:ascii="Times New Roman" w:hAnsi="Times New Roman" w:cs="Times New Roman"/>
          <w:sz w:val="20"/>
          <w:szCs w:val="20"/>
        </w:rPr>
        <w:t xml:space="preserve"> by minimizing the error rates on the invoices. The financial managers in the two corporations could also adopt a regular schedule for following up on the collections. Also, from the inventories perspectives, the financial managers could periodically </w:t>
      </w:r>
      <w:r w:rsidRPr="00EB5ACF">
        <w:rPr>
          <w:rFonts w:ascii="Times New Roman" w:hAnsi="Times New Roman" w:cs="Times New Roman"/>
          <w:noProof/>
          <w:sz w:val="20"/>
          <w:szCs w:val="20"/>
        </w:rPr>
        <w:t>analy</w:t>
      </w:r>
      <w:r w:rsidR="008F600B" w:rsidRPr="00EB5ACF">
        <w:rPr>
          <w:rFonts w:ascii="Times New Roman" w:hAnsi="Times New Roman" w:cs="Times New Roman"/>
          <w:noProof/>
          <w:sz w:val="20"/>
          <w:szCs w:val="20"/>
        </w:rPr>
        <w:t>z</w:t>
      </w:r>
      <w:r w:rsidRPr="00EB5ACF">
        <w:rPr>
          <w:rFonts w:ascii="Times New Roman" w:hAnsi="Times New Roman" w:cs="Times New Roman"/>
          <w:noProof/>
          <w:sz w:val="20"/>
          <w:szCs w:val="20"/>
        </w:rPr>
        <w:t>e</w:t>
      </w:r>
      <w:r w:rsidRPr="00EB5ACF">
        <w:rPr>
          <w:rFonts w:ascii="Times New Roman" w:hAnsi="Times New Roman" w:cs="Times New Roman"/>
          <w:sz w:val="20"/>
          <w:szCs w:val="20"/>
        </w:rPr>
        <w:t xml:space="preserve"> the inventories accounts with an objective of identifying the slow-moving, non-profitable and obsolete stock. </w:t>
      </w:r>
    </w:p>
    <w:p w:rsidR="00402F31" w:rsidRPr="00EB5ACF" w:rsidRDefault="00402F31" w:rsidP="00EB5ACF">
      <w:pPr>
        <w:pStyle w:val="Default"/>
        <w:spacing w:after="160"/>
        <w:rPr>
          <w:rFonts w:ascii="Times New Roman" w:hAnsi="Times New Roman" w:cs="Times New Roman"/>
          <w:bCs/>
          <w:sz w:val="20"/>
          <w:szCs w:val="20"/>
        </w:rPr>
      </w:pPr>
      <w:r w:rsidRPr="00EB5ACF">
        <w:rPr>
          <w:rFonts w:ascii="Times New Roman" w:hAnsi="Times New Roman" w:cs="Times New Roman"/>
          <w:bCs/>
          <w:sz w:val="20"/>
          <w:szCs w:val="20"/>
        </w:rPr>
        <w:t xml:space="preserve">Adoption of Advanced </w:t>
      </w:r>
      <w:r w:rsidRPr="00EB5ACF">
        <w:rPr>
          <w:rFonts w:ascii="Times New Roman" w:hAnsi="Times New Roman" w:cs="Times New Roman"/>
          <w:bCs/>
          <w:noProof/>
          <w:sz w:val="20"/>
          <w:szCs w:val="20"/>
        </w:rPr>
        <w:t>Technolog</w:t>
      </w:r>
      <w:r w:rsidR="008F600B" w:rsidRPr="00EB5ACF">
        <w:rPr>
          <w:rFonts w:ascii="Times New Roman" w:hAnsi="Times New Roman" w:cs="Times New Roman"/>
          <w:bCs/>
          <w:noProof/>
          <w:sz w:val="20"/>
          <w:szCs w:val="20"/>
        </w:rPr>
        <w:t>ies</w:t>
      </w:r>
      <w:r w:rsidRPr="00EB5ACF">
        <w:rPr>
          <w:rFonts w:ascii="Times New Roman" w:hAnsi="Times New Roman" w:cs="Times New Roman"/>
          <w:bCs/>
          <w:sz w:val="20"/>
          <w:szCs w:val="20"/>
        </w:rPr>
        <w:t xml:space="preserve"> for Shortening the Cash Conversion Cycles</w:t>
      </w:r>
    </w:p>
    <w:p w:rsidR="00402F31" w:rsidRPr="00EB5ACF" w:rsidRDefault="00402F31" w:rsidP="00EB5ACF">
      <w:pPr>
        <w:pStyle w:val="Default"/>
        <w:spacing w:after="160"/>
        <w:rPr>
          <w:rFonts w:ascii="Times New Roman" w:hAnsi="Times New Roman" w:cs="Times New Roman"/>
          <w:bCs/>
          <w:sz w:val="20"/>
          <w:szCs w:val="20"/>
        </w:rPr>
      </w:pPr>
      <w:r w:rsidRPr="00EB5ACF">
        <w:rPr>
          <w:rFonts w:ascii="Times New Roman" w:hAnsi="Times New Roman" w:cs="Times New Roman"/>
          <w:bCs/>
          <w:sz w:val="20"/>
          <w:szCs w:val="20"/>
        </w:rPr>
        <w:tab/>
        <w:t xml:space="preserve">Due to the efficiency of modern accounting programs, enhanced cash conversion cycles in the organizations could </w:t>
      </w:r>
      <w:r w:rsidRPr="00EB5ACF">
        <w:rPr>
          <w:rFonts w:ascii="Times New Roman" w:hAnsi="Times New Roman" w:cs="Times New Roman"/>
          <w:bCs/>
          <w:noProof/>
          <w:sz w:val="20"/>
          <w:szCs w:val="20"/>
        </w:rPr>
        <w:t>be attained</w:t>
      </w:r>
      <w:r w:rsidRPr="00EB5ACF">
        <w:rPr>
          <w:rFonts w:ascii="Times New Roman" w:hAnsi="Times New Roman" w:cs="Times New Roman"/>
          <w:bCs/>
          <w:sz w:val="20"/>
          <w:szCs w:val="20"/>
        </w:rPr>
        <w:t xml:space="preserve">. The two corporations should keep an updated electronic system meant for optimizing various financial management functions. Such functions might include electronic delivery of invoices instead using mail or courier services. </w:t>
      </w:r>
      <w:r w:rsidRPr="00EB5ACF">
        <w:rPr>
          <w:rFonts w:ascii="Times New Roman" w:hAnsi="Times New Roman" w:cs="Times New Roman"/>
          <w:bCs/>
          <w:noProof/>
          <w:sz w:val="20"/>
          <w:szCs w:val="20"/>
        </w:rPr>
        <w:t>This</w:t>
      </w:r>
      <w:r w:rsidRPr="00EB5ACF">
        <w:rPr>
          <w:rFonts w:ascii="Times New Roman" w:hAnsi="Times New Roman" w:cs="Times New Roman"/>
          <w:bCs/>
          <w:sz w:val="20"/>
          <w:szCs w:val="20"/>
        </w:rPr>
        <w:t xml:space="preserve"> will aid in speeding up billing of debtors and access to the debtors. This strategy will aid the companies in having a timely reporting of receivables and stock and as a result acquiring proactive measures meant for resolving delinquent accounts. </w:t>
      </w:r>
    </w:p>
    <w:p w:rsidR="00301DAB" w:rsidRPr="00EB5ACF" w:rsidRDefault="00301DAB" w:rsidP="00EB5ACF">
      <w:pPr>
        <w:spacing w:line="240" w:lineRule="auto"/>
        <w:rPr>
          <w:rFonts w:ascii="Times New Roman" w:hAnsi="Times New Roman" w:cs="Times New Roman"/>
          <w:sz w:val="20"/>
          <w:szCs w:val="20"/>
        </w:rPr>
      </w:pPr>
    </w:p>
    <w:p w:rsidR="005C0E28" w:rsidRPr="00EB5ACF" w:rsidRDefault="005C0E28" w:rsidP="00EB5ACF">
      <w:pPr>
        <w:spacing w:line="240" w:lineRule="auto"/>
        <w:rPr>
          <w:rFonts w:ascii="Times New Roman" w:hAnsi="Times New Roman" w:cs="Times New Roman"/>
          <w:sz w:val="20"/>
          <w:szCs w:val="20"/>
        </w:rPr>
      </w:pPr>
    </w:p>
    <w:p w:rsidR="005C0E28" w:rsidRPr="00EB5ACF" w:rsidRDefault="005C0E28" w:rsidP="00EB5ACF">
      <w:pPr>
        <w:spacing w:line="240" w:lineRule="auto"/>
        <w:rPr>
          <w:rFonts w:ascii="Times New Roman" w:hAnsi="Times New Roman" w:cs="Times New Roman"/>
          <w:sz w:val="20"/>
          <w:szCs w:val="20"/>
        </w:rPr>
      </w:pPr>
    </w:p>
    <w:p w:rsidR="005C0E28" w:rsidRPr="00EB5ACF" w:rsidRDefault="005C0E28" w:rsidP="00EB5ACF">
      <w:pPr>
        <w:spacing w:line="240" w:lineRule="auto"/>
        <w:rPr>
          <w:rFonts w:ascii="Times New Roman" w:hAnsi="Times New Roman" w:cs="Times New Roman"/>
          <w:sz w:val="20"/>
          <w:szCs w:val="20"/>
        </w:rPr>
      </w:pPr>
    </w:p>
    <w:p w:rsidR="005C0E28" w:rsidRPr="00EB5ACF" w:rsidRDefault="005C0E28" w:rsidP="00EB5ACF">
      <w:pPr>
        <w:spacing w:line="240" w:lineRule="auto"/>
        <w:rPr>
          <w:rFonts w:ascii="Times New Roman" w:hAnsi="Times New Roman" w:cs="Times New Roman"/>
          <w:sz w:val="20"/>
          <w:szCs w:val="20"/>
        </w:rPr>
      </w:pPr>
    </w:p>
    <w:p w:rsidR="005C0E28" w:rsidRPr="00EB5ACF" w:rsidRDefault="005C0E28" w:rsidP="00EB5ACF">
      <w:pPr>
        <w:spacing w:line="240" w:lineRule="auto"/>
        <w:rPr>
          <w:rFonts w:ascii="Times New Roman" w:hAnsi="Times New Roman" w:cs="Times New Roman"/>
          <w:sz w:val="20"/>
          <w:szCs w:val="20"/>
        </w:rPr>
      </w:pPr>
    </w:p>
    <w:p w:rsidR="005C0E28" w:rsidRPr="00EB5ACF" w:rsidRDefault="005C0E28" w:rsidP="00EB5ACF">
      <w:pPr>
        <w:spacing w:line="240" w:lineRule="auto"/>
        <w:rPr>
          <w:rFonts w:ascii="Times New Roman" w:hAnsi="Times New Roman" w:cs="Times New Roman"/>
          <w:sz w:val="20"/>
          <w:szCs w:val="20"/>
        </w:rPr>
      </w:pPr>
    </w:p>
    <w:p w:rsidR="003341F1" w:rsidRPr="00EB5ACF" w:rsidRDefault="00C64865" w:rsidP="00EB5ACF">
      <w:pPr>
        <w:spacing w:line="240" w:lineRule="auto"/>
        <w:jc w:val="center"/>
        <w:rPr>
          <w:rFonts w:ascii="Times New Roman" w:hAnsi="Times New Roman" w:cs="Times New Roman"/>
          <w:sz w:val="20"/>
          <w:szCs w:val="20"/>
        </w:rPr>
      </w:pPr>
      <w:r w:rsidRPr="00EB5ACF">
        <w:rPr>
          <w:rFonts w:ascii="Times New Roman" w:hAnsi="Times New Roman" w:cs="Times New Roman"/>
          <w:sz w:val="20"/>
          <w:szCs w:val="20"/>
        </w:rPr>
        <w:t>References List:</w:t>
      </w:r>
    </w:p>
    <w:sdt>
      <w:sdtPr>
        <w:rPr>
          <w:rFonts w:ascii="Times New Roman" w:hAnsi="Times New Roman" w:cs="Times New Roman"/>
          <w:sz w:val="20"/>
          <w:szCs w:val="20"/>
        </w:rPr>
        <w:id w:val="1788072183"/>
        <w:docPartObj>
          <w:docPartGallery w:val="Bibliographies"/>
          <w:docPartUnique/>
        </w:docPartObj>
      </w:sdtPr>
      <w:sdtEndPr/>
      <w:sdtContent>
        <w:sdt>
          <w:sdtPr>
            <w:rPr>
              <w:rFonts w:ascii="Times New Roman" w:hAnsi="Times New Roman" w:cs="Times New Roman"/>
              <w:sz w:val="20"/>
              <w:szCs w:val="20"/>
            </w:rPr>
            <w:id w:val="111145805"/>
            <w:bibliography/>
          </w:sdtPr>
          <w:sdtEndPr/>
          <w:sdtContent>
            <w:p w:rsidR="00403B24" w:rsidRPr="00EB5ACF" w:rsidRDefault="00403B24" w:rsidP="00EB5ACF">
              <w:pPr>
                <w:pStyle w:val="Bibliography"/>
                <w:spacing w:line="240" w:lineRule="auto"/>
                <w:ind w:left="720" w:hanging="720"/>
                <w:rPr>
                  <w:rFonts w:ascii="Times New Roman" w:hAnsi="Times New Roman" w:cs="Times New Roman"/>
                  <w:noProof/>
                  <w:sz w:val="20"/>
                  <w:szCs w:val="20"/>
                </w:rPr>
              </w:pPr>
              <w:r w:rsidRPr="00EB5ACF">
                <w:rPr>
                  <w:rFonts w:ascii="Times New Roman" w:hAnsi="Times New Roman" w:cs="Times New Roman"/>
                  <w:sz w:val="20"/>
                  <w:szCs w:val="20"/>
                </w:rPr>
                <w:fldChar w:fldCharType="begin"/>
              </w:r>
              <w:r w:rsidRPr="00EB5ACF">
                <w:rPr>
                  <w:rFonts w:ascii="Times New Roman" w:hAnsi="Times New Roman" w:cs="Times New Roman"/>
                  <w:sz w:val="20"/>
                  <w:szCs w:val="20"/>
                </w:rPr>
                <w:instrText xml:space="preserve"> BIBLIOGRAPHY </w:instrText>
              </w:r>
              <w:r w:rsidRPr="00EB5ACF">
                <w:rPr>
                  <w:rFonts w:ascii="Times New Roman" w:hAnsi="Times New Roman" w:cs="Times New Roman"/>
                  <w:sz w:val="20"/>
                  <w:szCs w:val="20"/>
                </w:rPr>
                <w:fldChar w:fldCharType="separate"/>
              </w:r>
              <w:r w:rsidRPr="00EB5ACF">
                <w:rPr>
                  <w:rFonts w:ascii="Times New Roman" w:hAnsi="Times New Roman" w:cs="Times New Roman"/>
                  <w:noProof/>
                  <w:sz w:val="20"/>
                  <w:szCs w:val="20"/>
                </w:rPr>
                <w:t xml:space="preserve">AMS, 2017. </w:t>
              </w:r>
              <w:r w:rsidRPr="00EB5ACF">
                <w:rPr>
                  <w:rFonts w:ascii="Times New Roman" w:hAnsi="Times New Roman" w:cs="Times New Roman"/>
                  <w:i/>
                  <w:iCs/>
                  <w:noProof/>
                  <w:sz w:val="20"/>
                  <w:szCs w:val="20"/>
                </w:rPr>
                <w:t xml:space="preserve">Advanced Medical Solutions. </w:t>
              </w:r>
              <w:r w:rsidRPr="00EB5ACF">
                <w:rPr>
                  <w:rFonts w:ascii="Times New Roman" w:hAnsi="Times New Roman" w:cs="Times New Roman"/>
                  <w:noProof/>
                  <w:sz w:val="20"/>
                  <w:szCs w:val="20"/>
                </w:rPr>
                <w:t xml:space="preserve">[Online] </w:t>
              </w:r>
              <w:r w:rsidRPr="00EB5ACF">
                <w:rPr>
                  <w:rFonts w:ascii="Times New Roman" w:hAnsi="Times New Roman" w:cs="Times New Roman"/>
                  <w:noProof/>
                  <w:sz w:val="20"/>
                  <w:szCs w:val="20"/>
                </w:rPr>
                <w:br/>
                <w:t xml:space="preserve">Available at: </w:t>
              </w:r>
              <w:r w:rsidRPr="00EB5ACF">
                <w:rPr>
                  <w:rFonts w:ascii="Times New Roman" w:hAnsi="Times New Roman" w:cs="Times New Roman"/>
                  <w:noProof/>
                  <w:sz w:val="20"/>
                  <w:szCs w:val="20"/>
                  <w:u w:val="single"/>
                </w:rPr>
                <w:t>http://www.admedsol.com/</w:t>
              </w:r>
            </w:p>
            <w:p w:rsidR="00403B24" w:rsidRPr="00EB5ACF" w:rsidRDefault="00403B24" w:rsidP="00EB5ACF">
              <w:pPr>
                <w:pStyle w:val="Bibliography"/>
                <w:spacing w:line="240" w:lineRule="auto"/>
                <w:ind w:left="720" w:hanging="720"/>
                <w:rPr>
                  <w:rFonts w:ascii="Times New Roman" w:hAnsi="Times New Roman" w:cs="Times New Roman"/>
                  <w:noProof/>
                  <w:sz w:val="20"/>
                  <w:szCs w:val="20"/>
                </w:rPr>
              </w:pPr>
              <w:r w:rsidRPr="00EB5ACF">
                <w:rPr>
                  <w:rFonts w:ascii="Times New Roman" w:hAnsi="Times New Roman" w:cs="Times New Roman"/>
                  <w:noProof/>
                  <w:sz w:val="20"/>
                  <w:szCs w:val="20"/>
                </w:rPr>
                <w:t xml:space="preserve">Bose, C. D., 2006. </w:t>
              </w:r>
              <w:r w:rsidRPr="00EB5ACF">
                <w:rPr>
                  <w:rFonts w:ascii="Times New Roman" w:hAnsi="Times New Roman" w:cs="Times New Roman"/>
                  <w:i/>
                  <w:iCs/>
                  <w:noProof/>
                  <w:sz w:val="20"/>
                  <w:szCs w:val="20"/>
                </w:rPr>
                <w:t xml:space="preserve">Inventory Management. </w:t>
              </w:r>
              <w:r w:rsidRPr="00EB5ACF">
                <w:rPr>
                  <w:rFonts w:ascii="Times New Roman" w:hAnsi="Times New Roman" w:cs="Times New Roman"/>
                  <w:noProof/>
                  <w:sz w:val="20"/>
                  <w:szCs w:val="20"/>
                </w:rPr>
                <w:t>New Delhi: PHI Learning Pvt. Ltd..</w:t>
              </w:r>
            </w:p>
            <w:p w:rsidR="00403B24" w:rsidRPr="00EB5ACF" w:rsidRDefault="00403B24" w:rsidP="00EB5ACF">
              <w:pPr>
                <w:pStyle w:val="Bibliography"/>
                <w:spacing w:line="240" w:lineRule="auto"/>
                <w:ind w:left="720" w:hanging="720"/>
                <w:rPr>
                  <w:rFonts w:ascii="Times New Roman" w:hAnsi="Times New Roman" w:cs="Times New Roman"/>
                  <w:noProof/>
                  <w:sz w:val="20"/>
                  <w:szCs w:val="20"/>
                </w:rPr>
              </w:pPr>
              <w:r w:rsidRPr="00EB5ACF">
                <w:rPr>
                  <w:rFonts w:ascii="Times New Roman" w:hAnsi="Times New Roman" w:cs="Times New Roman"/>
                  <w:noProof/>
                  <w:sz w:val="20"/>
                  <w:szCs w:val="20"/>
                </w:rPr>
                <w:t xml:space="preserve">Bragg, S., 2013. </w:t>
              </w:r>
              <w:r w:rsidRPr="00EB5ACF">
                <w:rPr>
                  <w:rFonts w:ascii="Times New Roman" w:hAnsi="Times New Roman" w:cs="Times New Roman"/>
                  <w:i/>
                  <w:iCs/>
                  <w:noProof/>
                  <w:sz w:val="20"/>
                  <w:szCs w:val="20"/>
                </w:rPr>
                <w:t xml:space="preserve">What is Debtors Day Calculation?. </w:t>
              </w:r>
              <w:r w:rsidRPr="00EB5ACF">
                <w:rPr>
                  <w:rFonts w:ascii="Times New Roman" w:hAnsi="Times New Roman" w:cs="Times New Roman"/>
                  <w:noProof/>
                  <w:sz w:val="20"/>
                  <w:szCs w:val="20"/>
                </w:rPr>
                <w:t xml:space="preserve">[Online] </w:t>
              </w:r>
              <w:r w:rsidRPr="00EB5ACF">
                <w:rPr>
                  <w:rFonts w:ascii="Times New Roman" w:hAnsi="Times New Roman" w:cs="Times New Roman"/>
                  <w:noProof/>
                  <w:sz w:val="20"/>
                  <w:szCs w:val="20"/>
                </w:rPr>
                <w:br/>
                <w:t xml:space="preserve">Available at: </w:t>
              </w:r>
              <w:r w:rsidRPr="00EB5ACF">
                <w:rPr>
                  <w:rFonts w:ascii="Times New Roman" w:hAnsi="Times New Roman" w:cs="Times New Roman"/>
                  <w:noProof/>
                  <w:sz w:val="20"/>
                  <w:szCs w:val="20"/>
                  <w:u w:val="single"/>
                </w:rPr>
                <w:t>http://www.accountingtools.com/questions-and-answers/what-is-the-debtor-days-calculation.html</w:t>
              </w:r>
            </w:p>
            <w:p w:rsidR="00403B24" w:rsidRPr="00EB5ACF" w:rsidRDefault="00403B24" w:rsidP="00EB5ACF">
              <w:pPr>
                <w:pStyle w:val="Bibliography"/>
                <w:spacing w:line="240" w:lineRule="auto"/>
                <w:ind w:left="720" w:hanging="720"/>
                <w:rPr>
                  <w:rFonts w:ascii="Times New Roman" w:hAnsi="Times New Roman" w:cs="Times New Roman"/>
                  <w:noProof/>
                  <w:sz w:val="20"/>
                  <w:szCs w:val="20"/>
                </w:rPr>
              </w:pPr>
              <w:r w:rsidRPr="00EB5ACF">
                <w:rPr>
                  <w:rFonts w:ascii="Times New Roman" w:hAnsi="Times New Roman" w:cs="Times New Roman"/>
                  <w:noProof/>
                  <w:sz w:val="20"/>
                  <w:szCs w:val="20"/>
                </w:rPr>
                <w:t xml:space="preserve">GSK, 2017. </w:t>
              </w:r>
              <w:r w:rsidRPr="00EB5ACF">
                <w:rPr>
                  <w:rFonts w:ascii="Times New Roman" w:hAnsi="Times New Roman" w:cs="Times New Roman"/>
                  <w:i/>
                  <w:iCs/>
                  <w:noProof/>
                  <w:sz w:val="20"/>
                  <w:szCs w:val="20"/>
                </w:rPr>
                <w:t xml:space="preserve">Annual Report and Responsible Business Supplement 2016. </w:t>
              </w:r>
              <w:r w:rsidRPr="00EB5ACF">
                <w:rPr>
                  <w:rFonts w:ascii="Times New Roman" w:hAnsi="Times New Roman" w:cs="Times New Roman"/>
                  <w:noProof/>
                  <w:sz w:val="20"/>
                  <w:szCs w:val="20"/>
                </w:rPr>
                <w:t xml:space="preserve">[Online] </w:t>
              </w:r>
              <w:r w:rsidRPr="00EB5ACF">
                <w:rPr>
                  <w:rFonts w:ascii="Times New Roman" w:hAnsi="Times New Roman" w:cs="Times New Roman"/>
                  <w:noProof/>
                  <w:sz w:val="20"/>
                  <w:szCs w:val="20"/>
                </w:rPr>
                <w:br/>
                <w:t xml:space="preserve">Available at: </w:t>
              </w:r>
              <w:r w:rsidRPr="00EB5ACF">
                <w:rPr>
                  <w:rFonts w:ascii="Times New Roman" w:hAnsi="Times New Roman" w:cs="Times New Roman"/>
                  <w:noProof/>
                  <w:sz w:val="20"/>
                  <w:szCs w:val="20"/>
                  <w:u w:val="single"/>
                </w:rPr>
                <w:t>http://www.gsk.com/</w:t>
              </w:r>
            </w:p>
            <w:p w:rsidR="00403B24" w:rsidRPr="00EB5ACF" w:rsidRDefault="00403B24" w:rsidP="00EB5ACF">
              <w:pPr>
                <w:pStyle w:val="Bibliography"/>
                <w:spacing w:line="240" w:lineRule="auto"/>
                <w:ind w:left="720" w:hanging="720"/>
                <w:rPr>
                  <w:rFonts w:ascii="Times New Roman" w:hAnsi="Times New Roman" w:cs="Times New Roman"/>
                  <w:noProof/>
                  <w:sz w:val="20"/>
                  <w:szCs w:val="20"/>
                </w:rPr>
              </w:pPr>
              <w:r w:rsidRPr="00EB5ACF">
                <w:rPr>
                  <w:rFonts w:ascii="Times New Roman" w:hAnsi="Times New Roman" w:cs="Times New Roman"/>
                  <w:noProof/>
                  <w:sz w:val="20"/>
                  <w:szCs w:val="20"/>
                </w:rPr>
                <w:t xml:space="preserve">V.S.Bagad, 2008. </w:t>
              </w:r>
              <w:r w:rsidRPr="00EB5ACF">
                <w:rPr>
                  <w:rFonts w:ascii="Times New Roman" w:hAnsi="Times New Roman" w:cs="Times New Roman"/>
                  <w:i/>
                  <w:iCs/>
                  <w:noProof/>
                  <w:sz w:val="20"/>
                  <w:szCs w:val="20"/>
                </w:rPr>
                <w:t xml:space="preserve">Managerial Economics And Financial Analysis. </w:t>
              </w:r>
              <w:r w:rsidRPr="00EB5ACF">
                <w:rPr>
                  <w:rFonts w:ascii="Times New Roman" w:hAnsi="Times New Roman" w:cs="Times New Roman"/>
                  <w:noProof/>
                  <w:sz w:val="20"/>
                  <w:szCs w:val="20"/>
                </w:rPr>
                <w:t>New York: Technical Publications.</w:t>
              </w:r>
            </w:p>
            <w:p w:rsidR="00403B24" w:rsidRPr="00EB5ACF" w:rsidRDefault="00403B24" w:rsidP="00EB5ACF">
              <w:pPr>
                <w:spacing w:line="240" w:lineRule="auto"/>
                <w:ind w:left="720" w:hanging="720"/>
                <w:rPr>
                  <w:rFonts w:ascii="Times New Roman" w:hAnsi="Times New Roman" w:cs="Times New Roman"/>
                  <w:sz w:val="20"/>
                  <w:szCs w:val="20"/>
                </w:rPr>
              </w:pPr>
              <w:r w:rsidRPr="00EB5ACF">
                <w:rPr>
                  <w:rFonts w:ascii="Times New Roman" w:hAnsi="Times New Roman" w:cs="Times New Roman"/>
                  <w:b/>
                  <w:bCs/>
                  <w:noProof/>
                  <w:sz w:val="20"/>
                  <w:szCs w:val="20"/>
                </w:rPr>
                <w:fldChar w:fldCharType="end"/>
              </w:r>
            </w:p>
          </w:sdtContent>
        </w:sdt>
        <w:p w:rsidR="00330DAD" w:rsidRPr="00EB5ACF" w:rsidRDefault="00330DAD" w:rsidP="00EB5ACF">
          <w:pPr>
            <w:pStyle w:val="Heading1"/>
            <w:spacing w:after="160" w:line="240" w:lineRule="auto"/>
            <w:rPr>
              <w:rFonts w:ascii="Times New Roman" w:hAnsi="Times New Roman" w:cs="Times New Roman"/>
              <w:sz w:val="20"/>
              <w:szCs w:val="20"/>
            </w:rPr>
          </w:pPr>
        </w:p>
        <w:p w:rsidR="00074394" w:rsidRPr="00EB5ACF" w:rsidRDefault="00074394" w:rsidP="00EB5ACF">
          <w:pPr>
            <w:spacing w:line="240" w:lineRule="auto"/>
            <w:rPr>
              <w:rFonts w:ascii="Times New Roman" w:hAnsi="Times New Roman" w:cs="Times New Roman"/>
              <w:sz w:val="20"/>
              <w:szCs w:val="20"/>
            </w:rPr>
          </w:pPr>
        </w:p>
        <w:p w:rsidR="009F1427" w:rsidRPr="00EB5ACF" w:rsidRDefault="009F1427" w:rsidP="00EB5ACF">
          <w:pPr>
            <w:spacing w:line="240" w:lineRule="auto"/>
            <w:rPr>
              <w:rFonts w:ascii="Times New Roman" w:hAnsi="Times New Roman" w:cs="Times New Roman"/>
              <w:sz w:val="20"/>
              <w:szCs w:val="20"/>
            </w:rPr>
          </w:pPr>
        </w:p>
        <w:p w:rsidR="00D63CC8" w:rsidRPr="00EB5ACF" w:rsidRDefault="00A8427E" w:rsidP="00EB5ACF">
          <w:pPr>
            <w:spacing w:line="240" w:lineRule="auto"/>
            <w:rPr>
              <w:rFonts w:ascii="Times New Roman" w:hAnsi="Times New Roman" w:cs="Times New Roman"/>
              <w:sz w:val="20"/>
              <w:szCs w:val="20"/>
            </w:rPr>
          </w:pPr>
        </w:p>
      </w:sdtContent>
    </w:sdt>
    <w:sectPr w:rsidR="00D63CC8" w:rsidRPr="00EB5ACF">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27E" w:rsidRDefault="00A8427E" w:rsidP="00A513BB">
      <w:pPr>
        <w:spacing w:after="0" w:line="240" w:lineRule="auto"/>
      </w:pPr>
      <w:r>
        <w:separator/>
      </w:r>
    </w:p>
  </w:endnote>
  <w:endnote w:type="continuationSeparator" w:id="0">
    <w:p w:rsidR="00A8427E" w:rsidRDefault="00A8427E" w:rsidP="00A5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27E" w:rsidRDefault="00A8427E" w:rsidP="00A513BB">
      <w:pPr>
        <w:spacing w:after="0" w:line="240" w:lineRule="auto"/>
      </w:pPr>
      <w:r>
        <w:separator/>
      </w:r>
    </w:p>
  </w:footnote>
  <w:footnote w:type="continuationSeparator" w:id="0">
    <w:p w:rsidR="00A8427E" w:rsidRDefault="00A8427E" w:rsidP="00A51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3BB" w:rsidRPr="00A513BB" w:rsidRDefault="00A513BB">
    <w:pPr>
      <w:pStyle w:val="Header"/>
      <w:jc w:val="right"/>
      <w:rPr>
        <w:rFonts w:ascii="Times New Roman" w:hAnsi="Times New Roman" w:cs="Times New Roman"/>
        <w:sz w:val="24"/>
        <w:szCs w:val="24"/>
      </w:rPr>
    </w:pPr>
    <w:r w:rsidRPr="00A513BB">
      <w:rPr>
        <w:rFonts w:ascii="Times New Roman" w:hAnsi="Times New Roman" w:cs="Times New Roman"/>
        <w:sz w:val="24"/>
        <w:szCs w:val="24"/>
      </w:rPr>
      <w:t xml:space="preserve">Financial Management </w:t>
    </w:r>
    <w:sdt>
      <w:sdtPr>
        <w:rPr>
          <w:rFonts w:ascii="Times New Roman" w:hAnsi="Times New Roman" w:cs="Times New Roman"/>
          <w:sz w:val="24"/>
          <w:szCs w:val="24"/>
        </w:rPr>
        <w:id w:val="-1891487910"/>
        <w:docPartObj>
          <w:docPartGallery w:val="Page Numbers (Top of Page)"/>
          <w:docPartUnique/>
        </w:docPartObj>
      </w:sdtPr>
      <w:sdtEndPr>
        <w:rPr>
          <w:noProof/>
        </w:rPr>
      </w:sdtEndPr>
      <w:sdtContent>
        <w:r w:rsidRPr="00A513BB">
          <w:rPr>
            <w:rFonts w:ascii="Times New Roman" w:hAnsi="Times New Roman" w:cs="Times New Roman"/>
            <w:sz w:val="24"/>
            <w:szCs w:val="24"/>
          </w:rPr>
          <w:fldChar w:fldCharType="begin"/>
        </w:r>
        <w:r w:rsidRPr="00A513BB">
          <w:rPr>
            <w:rFonts w:ascii="Times New Roman" w:hAnsi="Times New Roman" w:cs="Times New Roman"/>
            <w:sz w:val="24"/>
            <w:szCs w:val="24"/>
          </w:rPr>
          <w:instrText xml:space="preserve"> PAGE   \* MERGEFORMAT </w:instrText>
        </w:r>
        <w:r w:rsidRPr="00A513BB">
          <w:rPr>
            <w:rFonts w:ascii="Times New Roman" w:hAnsi="Times New Roman" w:cs="Times New Roman"/>
            <w:sz w:val="24"/>
            <w:szCs w:val="24"/>
          </w:rPr>
          <w:fldChar w:fldCharType="separate"/>
        </w:r>
        <w:r w:rsidR="00983C56">
          <w:rPr>
            <w:rFonts w:ascii="Times New Roman" w:hAnsi="Times New Roman" w:cs="Times New Roman"/>
            <w:noProof/>
            <w:sz w:val="24"/>
            <w:szCs w:val="24"/>
          </w:rPr>
          <w:t>3</w:t>
        </w:r>
        <w:r w:rsidRPr="00A513BB">
          <w:rPr>
            <w:rFonts w:ascii="Times New Roman" w:hAnsi="Times New Roman" w:cs="Times New Roman"/>
            <w:noProof/>
            <w:sz w:val="24"/>
            <w:szCs w:val="24"/>
          </w:rPr>
          <w:fldChar w:fldCharType="end"/>
        </w:r>
      </w:sdtContent>
    </w:sdt>
  </w:p>
  <w:p w:rsidR="00A513BB" w:rsidRPr="00A513BB" w:rsidRDefault="00A513B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B1F13"/>
    <w:multiLevelType w:val="hybridMultilevel"/>
    <w:tmpl w:val="F15E413E"/>
    <w:lvl w:ilvl="0" w:tplc="F26A6F9A">
      <w:start w:val="1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0E426F"/>
    <w:multiLevelType w:val="hybridMultilevel"/>
    <w:tmpl w:val="CE5C5344"/>
    <w:lvl w:ilvl="0" w:tplc="21A4DE2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xMTU2MLI0MQdBJR2l4NTi4sz8PJACk1oATGnf3CwAAAA="/>
  </w:docVars>
  <w:rsids>
    <w:rsidRoot w:val="00FF7187"/>
    <w:rsid w:val="0000637B"/>
    <w:rsid w:val="00007810"/>
    <w:rsid w:val="0000784B"/>
    <w:rsid w:val="0001278C"/>
    <w:rsid w:val="00013141"/>
    <w:rsid w:val="00013761"/>
    <w:rsid w:val="00014AD1"/>
    <w:rsid w:val="00024EE1"/>
    <w:rsid w:val="000446FE"/>
    <w:rsid w:val="00046F96"/>
    <w:rsid w:val="0005498B"/>
    <w:rsid w:val="000553A3"/>
    <w:rsid w:val="00064B26"/>
    <w:rsid w:val="00064EF2"/>
    <w:rsid w:val="00070A62"/>
    <w:rsid w:val="00074394"/>
    <w:rsid w:val="0008192A"/>
    <w:rsid w:val="00085416"/>
    <w:rsid w:val="0009366B"/>
    <w:rsid w:val="00096220"/>
    <w:rsid w:val="000B517C"/>
    <w:rsid w:val="000D3964"/>
    <w:rsid w:val="000D5ACC"/>
    <w:rsid w:val="000E121B"/>
    <w:rsid w:val="000F5B10"/>
    <w:rsid w:val="000F66EC"/>
    <w:rsid w:val="00105449"/>
    <w:rsid w:val="00116743"/>
    <w:rsid w:val="001171FB"/>
    <w:rsid w:val="001172E3"/>
    <w:rsid w:val="00122F33"/>
    <w:rsid w:val="0013720F"/>
    <w:rsid w:val="00147834"/>
    <w:rsid w:val="00147F6C"/>
    <w:rsid w:val="00153128"/>
    <w:rsid w:val="001531B2"/>
    <w:rsid w:val="00164F66"/>
    <w:rsid w:val="001672CE"/>
    <w:rsid w:val="00176280"/>
    <w:rsid w:val="001A5788"/>
    <w:rsid w:val="001B37B9"/>
    <w:rsid w:val="001B42D2"/>
    <w:rsid w:val="001D77AD"/>
    <w:rsid w:val="001E2677"/>
    <w:rsid w:val="001E633A"/>
    <w:rsid w:val="001F2B39"/>
    <w:rsid w:val="001F407B"/>
    <w:rsid w:val="0020039C"/>
    <w:rsid w:val="00213AAB"/>
    <w:rsid w:val="00217CB8"/>
    <w:rsid w:val="00221D09"/>
    <w:rsid w:val="00233491"/>
    <w:rsid w:val="00240BD1"/>
    <w:rsid w:val="002435A7"/>
    <w:rsid w:val="00243FCD"/>
    <w:rsid w:val="00245CE6"/>
    <w:rsid w:val="0026170D"/>
    <w:rsid w:val="0026610E"/>
    <w:rsid w:val="00282A03"/>
    <w:rsid w:val="002865FD"/>
    <w:rsid w:val="002C72E5"/>
    <w:rsid w:val="002D0979"/>
    <w:rsid w:val="002D69AA"/>
    <w:rsid w:val="002E5F7C"/>
    <w:rsid w:val="002E5FE0"/>
    <w:rsid w:val="002E7035"/>
    <w:rsid w:val="002E754A"/>
    <w:rsid w:val="002F33B1"/>
    <w:rsid w:val="002F71CA"/>
    <w:rsid w:val="0030080C"/>
    <w:rsid w:val="00300895"/>
    <w:rsid w:val="00301DAB"/>
    <w:rsid w:val="00304B1B"/>
    <w:rsid w:val="00305D37"/>
    <w:rsid w:val="00310B33"/>
    <w:rsid w:val="00317B15"/>
    <w:rsid w:val="003218E7"/>
    <w:rsid w:val="00330DAD"/>
    <w:rsid w:val="003341F1"/>
    <w:rsid w:val="0033547E"/>
    <w:rsid w:val="00337D20"/>
    <w:rsid w:val="00341780"/>
    <w:rsid w:val="00343E83"/>
    <w:rsid w:val="00357E09"/>
    <w:rsid w:val="00361CE6"/>
    <w:rsid w:val="00362F79"/>
    <w:rsid w:val="00367058"/>
    <w:rsid w:val="003A2207"/>
    <w:rsid w:val="003A2E9E"/>
    <w:rsid w:val="003B1EA6"/>
    <w:rsid w:val="003B1F34"/>
    <w:rsid w:val="003B6D01"/>
    <w:rsid w:val="003B6FEC"/>
    <w:rsid w:val="003D0096"/>
    <w:rsid w:val="003D0ED7"/>
    <w:rsid w:val="003D29F6"/>
    <w:rsid w:val="003E5C5F"/>
    <w:rsid w:val="003F0E92"/>
    <w:rsid w:val="003F1ABC"/>
    <w:rsid w:val="00402F31"/>
    <w:rsid w:val="00403B24"/>
    <w:rsid w:val="004049E9"/>
    <w:rsid w:val="00410C99"/>
    <w:rsid w:val="004408A6"/>
    <w:rsid w:val="00451C2A"/>
    <w:rsid w:val="00452D49"/>
    <w:rsid w:val="004634D9"/>
    <w:rsid w:val="00474114"/>
    <w:rsid w:val="004758FD"/>
    <w:rsid w:val="00484F6D"/>
    <w:rsid w:val="004910D9"/>
    <w:rsid w:val="0049251B"/>
    <w:rsid w:val="00494399"/>
    <w:rsid w:val="004A2715"/>
    <w:rsid w:val="004A2BA0"/>
    <w:rsid w:val="004A532A"/>
    <w:rsid w:val="004A6A02"/>
    <w:rsid w:val="004B14CB"/>
    <w:rsid w:val="004B40C8"/>
    <w:rsid w:val="004B444A"/>
    <w:rsid w:val="004B68E3"/>
    <w:rsid w:val="004C6518"/>
    <w:rsid w:val="004D60C6"/>
    <w:rsid w:val="004E03F2"/>
    <w:rsid w:val="004F3D5B"/>
    <w:rsid w:val="004F4690"/>
    <w:rsid w:val="00513D0B"/>
    <w:rsid w:val="0051544B"/>
    <w:rsid w:val="00526577"/>
    <w:rsid w:val="0053678F"/>
    <w:rsid w:val="005448F0"/>
    <w:rsid w:val="00555CA2"/>
    <w:rsid w:val="00567DE6"/>
    <w:rsid w:val="00576CB7"/>
    <w:rsid w:val="00581DEB"/>
    <w:rsid w:val="00582CAB"/>
    <w:rsid w:val="00584778"/>
    <w:rsid w:val="005879A7"/>
    <w:rsid w:val="0059115D"/>
    <w:rsid w:val="00592BD7"/>
    <w:rsid w:val="00594397"/>
    <w:rsid w:val="00594B02"/>
    <w:rsid w:val="005A1108"/>
    <w:rsid w:val="005C0653"/>
    <w:rsid w:val="005C0E28"/>
    <w:rsid w:val="005D3392"/>
    <w:rsid w:val="005E5F09"/>
    <w:rsid w:val="005F37D6"/>
    <w:rsid w:val="00601BC1"/>
    <w:rsid w:val="00610B54"/>
    <w:rsid w:val="0063005A"/>
    <w:rsid w:val="00631ECC"/>
    <w:rsid w:val="00632189"/>
    <w:rsid w:val="006438B0"/>
    <w:rsid w:val="00647ABA"/>
    <w:rsid w:val="00661318"/>
    <w:rsid w:val="00662CF7"/>
    <w:rsid w:val="00666B28"/>
    <w:rsid w:val="006A14CB"/>
    <w:rsid w:val="006A2540"/>
    <w:rsid w:val="006A4275"/>
    <w:rsid w:val="006B466A"/>
    <w:rsid w:val="006C023B"/>
    <w:rsid w:val="006D144D"/>
    <w:rsid w:val="006D2B23"/>
    <w:rsid w:val="006D2F59"/>
    <w:rsid w:val="006D4D21"/>
    <w:rsid w:val="0071337D"/>
    <w:rsid w:val="00713695"/>
    <w:rsid w:val="00714D87"/>
    <w:rsid w:val="00721425"/>
    <w:rsid w:val="0073190D"/>
    <w:rsid w:val="00734F40"/>
    <w:rsid w:val="0073721C"/>
    <w:rsid w:val="00745A9D"/>
    <w:rsid w:val="0074660D"/>
    <w:rsid w:val="00756AE1"/>
    <w:rsid w:val="00773912"/>
    <w:rsid w:val="007773AA"/>
    <w:rsid w:val="00786D7E"/>
    <w:rsid w:val="007A2E6F"/>
    <w:rsid w:val="007A3420"/>
    <w:rsid w:val="007A674F"/>
    <w:rsid w:val="007B75B8"/>
    <w:rsid w:val="007C141F"/>
    <w:rsid w:val="007C329F"/>
    <w:rsid w:val="007D1B5A"/>
    <w:rsid w:val="007D39C9"/>
    <w:rsid w:val="007E4885"/>
    <w:rsid w:val="007E6135"/>
    <w:rsid w:val="007F55DF"/>
    <w:rsid w:val="0080098D"/>
    <w:rsid w:val="0080480C"/>
    <w:rsid w:val="00813ACD"/>
    <w:rsid w:val="00816ECC"/>
    <w:rsid w:val="008334C2"/>
    <w:rsid w:val="00836EFF"/>
    <w:rsid w:val="008633F0"/>
    <w:rsid w:val="00870738"/>
    <w:rsid w:val="00876E49"/>
    <w:rsid w:val="00890D4C"/>
    <w:rsid w:val="0089448D"/>
    <w:rsid w:val="008A21BA"/>
    <w:rsid w:val="008A3BC6"/>
    <w:rsid w:val="008C5CC7"/>
    <w:rsid w:val="008C5DA6"/>
    <w:rsid w:val="008D181F"/>
    <w:rsid w:val="008D5CF2"/>
    <w:rsid w:val="008F5DF5"/>
    <w:rsid w:val="008F600B"/>
    <w:rsid w:val="00906354"/>
    <w:rsid w:val="009209C0"/>
    <w:rsid w:val="00927E81"/>
    <w:rsid w:val="0093074F"/>
    <w:rsid w:val="00930AA3"/>
    <w:rsid w:val="00946633"/>
    <w:rsid w:val="00951D30"/>
    <w:rsid w:val="00953E14"/>
    <w:rsid w:val="00954E5F"/>
    <w:rsid w:val="00960669"/>
    <w:rsid w:val="00973A71"/>
    <w:rsid w:val="0097534E"/>
    <w:rsid w:val="0097736D"/>
    <w:rsid w:val="0097797C"/>
    <w:rsid w:val="00983C56"/>
    <w:rsid w:val="00986CA6"/>
    <w:rsid w:val="009900F3"/>
    <w:rsid w:val="00991CFB"/>
    <w:rsid w:val="00994D7F"/>
    <w:rsid w:val="00995EA6"/>
    <w:rsid w:val="00996C39"/>
    <w:rsid w:val="009A1520"/>
    <w:rsid w:val="009A71D9"/>
    <w:rsid w:val="009B24EB"/>
    <w:rsid w:val="009D56F6"/>
    <w:rsid w:val="009D68E3"/>
    <w:rsid w:val="009E1656"/>
    <w:rsid w:val="009E1AB4"/>
    <w:rsid w:val="009E1FB5"/>
    <w:rsid w:val="009F1427"/>
    <w:rsid w:val="009F2835"/>
    <w:rsid w:val="009F65FD"/>
    <w:rsid w:val="00A1381D"/>
    <w:rsid w:val="00A407A3"/>
    <w:rsid w:val="00A513BB"/>
    <w:rsid w:val="00A5338F"/>
    <w:rsid w:val="00A544D6"/>
    <w:rsid w:val="00A55B02"/>
    <w:rsid w:val="00A57CAE"/>
    <w:rsid w:val="00A601DD"/>
    <w:rsid w:val="00A81B67"/>
    <w:rsid w:val="00A8427E"/>
    <w:rsid w:val="00A95C3F"/>
    <w:rsid w:val="00A96545"/>
    <w:rsid w:val="00AA1CDC"/>
    <w:rsid w:val="00AB1EBC"/>
    <w:rsid w:val="00AC3AD4"/>
    <w:rsid w:val="00AD7903"/>
    <w:rsid w:val="00AE5509"/>
    <w:rsid w:val="00AF2DB3"/>
    <w:rsid w:val="00AF532B"/>
    <w:rsid w:val="00B00480"/>
    <w:rsid w:val="00B2131C"/>
    <w:rsid w:val="00B221C7"/>
    <w:rsid w:val="00B22BFC"/>
    <w:rsid w:val="00B25789"/>
    <w:rsid w:val="00B4431D"/>
    <w:rsid w:val="00B456D8"/>
    <w:rsid w:val="00B46809"/>
    <w:rsid w:val="00B548BD"/>
    <w:rsid w:val="00B65696"/>
    <w:rsid w:val="00B65B69"/>
    <w:rsid w:val="00B66D0A"/>
    <w:rsid w:val="00B75853"/>
    <w:rsid w:val="00B82EEA"/>
    <w:rsid w:val="00B831B0"/>
    <w:rsid w:val="00B8565D"/>
    <w:rsid w:val="00B85EE0"/>
    <w:rsid w:val="00BA7D1A"/>
    <w:rsid w:val="00BB0821"/>
    <w:rsid w:val="00BB64C6"/>
    <w:rsid w:val="00BC3391"/>
    <w:rsid w:val="00BD4D21"/>
    <w:rsid w:val="00BD54C6"/>
    <w:rsid w:val="00BF37C5"/>
    <w:rsid w:val="00C10C43"/>
    <w:rsid w:val="00C14F9D"/>
    <w:rsid w:val="00C30D5E"/>
    <w:rsid w:val="00C47A26"/>
    <w:rsid w:val="00C508FC"/>
    <w:rsid w:val="00C62140"/>
    <w:rsid w:val="00C62415"/>
    <w:rsid w:val="00C64865"/>
    <w:rsid w:val="00C706E8"/>
    <w:rsid w:val="00C75B4C"/>
    <w:rsid w:val="00C763B8"/>
    <w:rsid w:val="00C80C2B"/>
    <w:rsid w:val="00C8192C"/>
    <w:rsid w:val="00C8426F"/>
    <w:rsid w:val="00C96F7B"/>
    <w:rsid w:val="00CD5619"/>
    <w:rsid w:val="00CD7DDF"/>
    <w:rsid w:val="00CE2F4A"/>
    <w:rsid w:val="00CE44CD"/>
    <w:rsid w:val="00D1426A"/>
    <w:rsid w:val="00D266E0"/>
    <w:rsid w:val="00D273C3"/>
    <w:rsid w:val="00D4709F"/>
    <w:rsid w:val="00D479B3"/>
    <w:rsid w:val="00D47BC1"/>
    <w:rsid w:val="00D63CC8"/>
    <w:rsid w:val="00D704B2"/>
    <w:rsid w:val="00D7374F"/>
    <w:rsid w:val="00D83D0F"/>
    <w:rsid w:val="00D871AE"/>
    <w:rsid w:val="00D90DAA"/>
    <w:rsid w:val="00D970C6"/>
    <w:rsid w:val="00DA0C06"/>
    <w:rsid w:val="00DA21D5"/>
    <w:rsid w:val="00DD24FE"/>
    <w:rsid w:val="00DE48DC"/>
    <w:rsid w:val="00DE5F98"/>
    <w:rsid w:val="00DF3F4F"/>
    <w:rsid w:val="00E019EB"/>
    <w:rsid w:val="00E11297"/>
    <w:rsid w:val="00E12F4F"/>
    <w:rsid w:val="00E17524"/>
    <w:rsid w:val="00E24E0F"/>
    <w:rsid w:val="00E30C57"/>
    <w:rsid w:val="00E32D4E"/>
    <w:rsid w:val="00E407CC"/>
    <w:rsid w:val="00E47DF4"/>
    <w:rsid w:val="00E52F51"/>
    <w:rsid w:val="00E57F88"/>
    <w:rsid w:val="00E62817"/>
    <w:rsid w:val="00E63193"/>
    <w:rsid w:val="00E64431"/>
    <w:rsid w:val="00E825F0"/>
    <w:rsid w:val="00E87956"/>
    <w:rsid w:val="00E9281C"/>
    <w:rsid w:val="00E95533"/>
    <w:rsid w:val="00EA6190"/>
    <w:rsid w:val="00EB034F"/>
    <w:rsid w:val="00EB2BE1"/>
    <w:rsid w:val="00EB5ACF"/>
    <w:rsid w:val="00EC1BF9"/>
    <w:rsid w:val="00EE233E"/>
    <w:rsid w:val="00EE3B3E"/>
    <w:rsid w:val="00EF1FF2"/>
    <w:rsid w:val="00EF5936"/>
    <w:rsid w:val="00F05E6A"/>
    <w:rsid w:val="00F140DA"/>
    <w:rsid w:val="00F1486E"/>
    <w:rsid w:val="00F16849"/>
    <w:rsid w:val="00F21ED3"/>
    <w:rsid w:val="00F264F9"/>
    <w:rsid w:val="00F31057"/>
    <w:rsid w:val="00F36111"/>
    <w:rsid w:val="00F43A5D"/>
    <w:rsid w:val="00F4561E"/>
    <w:rsid w:val="00F558DA"/>
    <w:rsid w:val="00F61B67"/>
    <w:rsid w:val="00F66C1E"/>
    <w:rsid w:val="00F67E0E"/>
    <w:rsid w:val="00F70D1E"/>
    <w:rsid w:val="00F8541F"/>
    <w:rsid w:val="00F97AED"/>
    <w:rsid w:val="00FB0DB0"/>
    <w:rsid w:val="00FB4D82"/>
    <w:rsid w:val="00FB70B8"/>
    <w:rsid w:val="00FC2D12"/>
    <w:rsid w:val="00FC490C"/>
    <w:rsid w:val="00FC62E4"/>
    <w:rsid w:val="00FE4D3E"/>
    <w:rsid w:val="00FF7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62612-87D2-4EFE-8D1F-6293626E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403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3BB"/>
    <w:rPr>
      <w:lang w:val="en-US"/>
    </w:rPr>
  </w:style>
  <w:style w:type="paragraph" w:styleId="Footer">
    <w:name w:val="footer"/>
    <w:basedOn w:val="Normal"/>
    <w:link w:val="FooterChar"/>
    <w:uiPriority w:val="99"/>
    <w:unhideWhenUsed/>
    <w:rsid w:val="00A51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3BB"/>
    <w:rPr>
      <w:lang w:val="en-US"/>
    </w:rPr>
  </w:style>
  <w:style w:type="paragraph" w:styleId="ListParagraph">
    <w:name w:val="List Paragraph"/>
    <w:basedOn w:val="Normal"/>
    <w:uiPriority w:val="34"/>
    <w:qFormat/>
    <w:rsid w:val="00EC1BF9"/>
    <w:pPr>
      <w:ind w:left="720"/>
      <w:contextualSpacing/>
    </w:pPr>
  </w:style>
  <w:style w:type="paragraph" w:customStyle="1" w:styleId="Default">
    <w:name w:val="Default"/>
    <w:rsid w:val="00C706E8"/>
    <w:pPr>
      <w:autoSpaceDE w:val="0"/>
      <w:autoSpaceDN w:val="0"/>
      <w:adjustRightInd w:val="0"/>
      <w:spacing w:after="0" w:line="240" w:lineRule="auto"/>
    </w:pPr>
    <w:rPr>
      <w:rFonts w:ascii="Frutiger Next Pro" w:hAnsi="Frutiger Next Pro" w:cs="Frutiger Next Pro"/>
      <w:color w:val="000000"/>
      <w:sz w:val="24"/>
      <w:szCs w:val="24"/>
    </w:rPr>
  </w:style>
  <w:style w:type="table" w:styleId="TableGrid">
    <w:name w:val="Table Grid"/>
    <w:basedOn w:val="TableNormal"/>
    <w:uiPriority w:val="39"/>
    <w:rsid w:val="00FE4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B0821"/>
  </w:style>
  <w:style w:type="character" w:customStyle="1" w:styleId="Heading1Char">
    <w:name w:val="Heading 1 Char"/>
    <w:basedOn w:val="DefaultParagraphFont"/>
    <w:link w:val="Heading1"/>
    <w:uiPriority w:val="9"/>
    <w:rsid w:val="00403B2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03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611">
      <w:bodyDiv w:val="1"/>
      <w:marLeft w:val="0"/>
      <w:marRight w:val="0"/>
      <w:marTop w:val="0"/>
      <w:marBottom w:val="0"/>
      <w:divBdr>
        <w:top w:val="none" w:sz="0" w:space="0" w:color="auto"/>
        <w:left w:val="none" w:sz="0" w:space="0" w:color="auto"/>
        <w:bottom w:val="none" w:sz="0" w:space="0" w:color="auto"/>
        <w:right w:val="none" w:sz="0" w:space="0" w:color="auto"/>
      </w:divBdr>
    </w:div>
    <w:div w:id="245502757">
      <w:bodyDiv w:val="1"/>
      <w:marLeft w:val="0"/>
      <w:marRight w:val="0"/>
      <w:marTop w:val="0"/>
      <w:marBottom w:val="0"/>
      <w:divBdr>
        <w:top w:val="none" w:sz="0" w:space="0" w:color="auto"/>
        <w:left w:val="none" w:sz="0" w:space="0" w:color="auto"/>
        <w:bottom w:val="none" w:sz="0" w:space="0" w:color="auto"/>
        <w:right w:val="none" w:sz="0" w:space="0" w:color="auto"/>
      </w:divBdr>
    </w:div>
    <w:div w:id="1351948368">
      <w:bodyDiv w:val="1"/>
      <w:marLeft w:val="0"/>
      <w:marRight w:val="0"/>
      <w:marTop w:val="0"/>
      <w:marBottom w:val="0"/>
      <w:divBdr>
        <w:top w:val="none" w:sz="0" w:space="0" w:color="auto"/>
        <w:left w:val="none" w:sz="0" w:space="0" w:color="auto"/>
        <w:bottom w:val="none" w:sz="0" w:space="0" w:color="auto"/>
        <w:right w:val="none" w:sz="0" w:space="0" w:color="auto"/>
      </w:divBdr>
    </w:div>
    <w:div w:id="1450130143">
      <w:bodyDiv w:val="1"/>
      <w:marLeft w:val="0"/>
      <w:marRight w:val="0"/>
      <w:marTop w:val="0"/>
      <w:marBottom w:val="0"/>
      <w:divBdr>
        <w:top w:val="none" w:sz="0" w:space="0" w:color="auto"/>
        <w:left w:val="none" w:sz="0" w:space="0" w:color="auto"/>
        <w:bottom w:val="none" w:sz="0" w:space="0" w:color="auto"/>
        <w:right w:val="none" w:sz="0" w:space="0" w:color="auto"/>
      </w:divBdr>
    </w:div>
    <w:div w:id="1881084950">
      <w:bodyDiv w:val="1"/>
      <w:marLeft w:val="0"/>
      <w:marRight w:val="0"/>
      <w:marTop w:val="0"/>
      <w:marBottom w:val="0"/>
      <w:divBdr>
        <w:top w:val="none" w:sz="0" w:space="0" w:color="auto"/>
        <w:left w:val="none" w:sz="0" w:space="0" w:color="auto"/>
        <w:bottom w:val="none" w:sz="0" w:space="0" w:color="auto"/>
        <w:right w:val="none" w:sz="0" w:space="0" w:color="auto"/>
      </w:divBdr>
    </w:div>
    <w:div w:id="205530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Ste13</b:Tag>
    <b:SourceType>InternetSite</b:SourceType>
    <b:Guid>{0115462E-16FD-4EA1-83FA-03B7358C7DF5}</b:Guid>
    <b:Title>What is Debtors Day Calculation?</b:Title>
    <b:Year>2013</b:Year>
    <b:URL>http://www.accountingtools.com/questions-and-answers/what-is-the-debtor-days-calculation.html</b:URL>
    <b:Author>
      <b:Author>
        <b:NameList>
          <b:Person>
            <b:Last>Bragg</b:Last>
            <b:First>Steven</b:First>
          </b:Person>
        </b:NameList>
      </b:Author>
    </b:Author>
    <b:InternetSiteTitle>Accounting Tools</b:InternetSiteTitle>
    <b:Month>May </b:Month>
    <b:Day>18</b:Day>
    <b:RefOrder>4</b:RefOrder>
  </b:Source>
  <b:Source>
    <b:Tag>Cha06</b:Tag>
    <b:SourceType>Book</b:SourceType>
    <b:Guid>{43184A4E-6693-4ECB-AABB-A06C30E00380}</b:Guid>
    <b:Author>
      <b:Author>
        <b:NameList>
          <b:Person>
            <b:Last>Bose</b:Last>
            <b:First>Chandra</b:First>
            <b:Middle>D.</b:Middle>
          </b:Person>
        </b:NameList>
      </b:Author>
    </b:Author>
    <b:Title>Inventory Management</b:Title>
    <b:Year>2006</b:Year>
    <b:City>New Delhi</b:City>
    <b:Publisher>PHI Learning Pvt. Ltd.</b:Publisher>
    <b:RefOrder>5</b:RefOrder>
  </b:Source>
  <b:Source>
    <b:Tag>VSB08</b:Tag>
    <b:SourceType>Book</b:SourceType>
    <b:Guid>{A40D963A-7D7A-4665-BCD4-1BE0EDE8448E}</b:Guid>
    <b:Author>
      <b:Author>
        <b:NameList>
          <b:Person>
            <b:Last>V.S.Bagad</b:Last>
          </b:Person>
        </b:NameList>
      </b:Author>
    </b:Author>
    <b:Title>Managerial Economics And Financial Analysis</b:Title>
    <b:Year>2008</b:Year>
    <b:City>New York</b:City>
    <b:Publisher>Technical Publications</b:Publisher>
    <b:RefOrder>3</b:RefOrder>
  </b:Source>
  <b:Source>
    <b:Tag>GSK17</b:Tag>
    <b:SourceType>InternetSite</b:SourceType>
    <b:Guid>{295869BB-C0AF-418F-863D-4FFEB08CD61C}</b:Guid>
    <b:Title>Annual Report and Responsible Business Supplement 2016 </b:Title>
    <b:Year>2017</b:Year>
    <b:URL>http://www.gsk.com/</b:URL>
    <b:Author>
      <b:Author>
        <b:Corporate>GSK</b:Corporate>
      </b:Author>
    </b:Author>
    <b:InternetSiteTitle>GSK</b:InternetSiteTitle>
    <b:RefOrder>2</b:RefOrder>
  </b:Source>
  <b:Source>
    <b:Tag>AMS17</b:Tag>
    <b:SourceType>InternetSite</b:SourceType>
    <b:Guid>{0E1E6E83-75BA-4D71-B04B-A77B598E0F5D}</b:Guid>
    <b:Title>Advanced Medical Solutions</b:Title>
    <b:Year>2017</b:Year>
    <b:URL>http://www.admedsol.com/</b:URL>
    <b:Author>
      <b:Author>
        <b:Corporate>AMS</b:Corporate>
      </b:Author>
    </b:Author>
    <b:InternetSiteTitle>Advanced Medical Solutions Group plc</b:InternetSiteTitle>
    <b:RefOrder>1</b:RefOrder>
  </b:Source>
</b:Sources>
</file>

<file path=customXml/itemProps1.xml><?xml version="1.0" encoding="utf-8"?>
<ds:datastoreItem xmlns:ds="http://schemas.openxmlformats.org/officeDocument/2006/customXml" ds:itemID="{89918D3F-E0AD-4544-A059-4B7F8F01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NGUNJIRI</dc:creator>
  <cp:keywords/>
  <dc:description/>
  <cp:lastModifiedBy>STEPHEN W NGUNJIRI</cp:lastModifiedBy>
  <cp:revision>2</cp:revision>
  <dcterms:created xsi:type="dcterms:W3CDTF">2017-03-17T06:00:00Z</dcterms:created>
  <dcterms:modified xsi:type="dcterms:W3CDTF">2017-03-17T06:00:00Z</dcterms:modified>
</cp:coreProperties>
</file>