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HealthTrack 1.0_V2 — Product Requirements Document</w:t>
      </w:r>
    </w:p>
    <w:p>
      <w:pPr>
        <w:pStyle w:val="Subtitle"/>
      </w:pPr>
      <w:r>
        <w:t>Buildable PRD | Screens, workflows, data contracts and acceptance criteria</w:t>
      </w:r>
    </w:p>
    <w:p>
      <w:r>
        <w:t>Status: consolidated product specification • 23 October 2026 • Not a claim of completed implementation</w:t>
      </w:r>
    </w:p>
    <w:p>
      <w:pPr>
        <w:pStyle w:val="Heading1"/>
      </w:pPr>
      <w:r>
        <w:t>Product outcome</w:t>
      </w:r>
    </w:p>
    <w:p>
      <w:r>
        <w:t>Enable adults to understand and improve everyday wellness through four trackers, a deterministic Wellness Tracker, optional independent Biomarker Tracker and consent-based context-aware Health Genie.</w:t>
      </w:r>
    </w:p>
    <w:p>
      <w:pPr>
        <w:pStyle w:val="Heading1"/>
      </w:pPr>
      <w:r>
        <w:t>Scope and priorities</w:t>
      </w:r>
    </w:p>
    <w:p>
      <w:r>
        <w:t>P0: auth/onboarding, manual mode, four-tracker logging, deterministic Wellness Tracker and eligibility, two-ring states, secure persistence, cycle opt-in/privacy, navigation. P1: device sync, photo meals, lab upload/connected insights, Health Genie actions, subscriptions and notifications. P2: GPS routes, leaderboards, rewards, consultation marketplace and advanced athlete analytics.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Requirement</w:t>
            </w:r>
          </w:p>
        </w:tc>
        <w:tc>
          <w:tcPr>
            <w:tcW w:type="dxa" w:w="3360"/>
          </w:tcPr>
          <w:p>
            <w:r>
              <w:t>Behavior</w:t>
            </w:r>
          </w:p>
        </w:tc>
        <w:tc>
          <w:tcPr>
            <w:tcW w:type="dxa" w:w="3360"/>
          </w:tcPr>
          <w:p>
            <w:r>
              <w:t>Acceptance</w:t>
            </w:r>
          </w:p>
        </w:tc>
      </w:tr>
      <w:tr>
        <w:tc>
          <w:tcPr>
            <w:tcW w:type="dxa" w:w="3360"/>
          </w:tcPr>
          <w:p>
            <w:r>
              <w:t>PRD-01 Authentication</w:t>
            </w:r>
          </w:p>
        </w:tc>
        <w:tc>
          <w:tcPr>
            <w:tcW w:type="dxa" w:w="3360"/>
          </w:tcPr>
          <w:p>
            <w:r>
              <w:t>Register, sign in/out, reset, protect sessions</w:t>
            </w:r>
          </w:p>
        </w:tc>
        <w:tc>
          <w:tcPr>
            <w:tcW w:type="dxa" w:w="3360"/>
          </w:tcPr>
          <w:p>
            <w:r>
              <w:t>New/returning users routed correctly; user isolation enforced</w:t>
            </w:r>
          </w:p>
        </w:tc>
      </w:tr>
      <w:tr>
        <w:tc>
          <w:tcPr>
            <w:tcW w:type="dxa" w:w="3360"/>
          </w:tcPr>
          <w:p>
            <w:r>
              <w:t>PRD-02 Onboarding</w:t>
            </w:r>
          </w:p>
        </w:tc>
        <w:tc>
          <w:tcPr>
            <w:tcW w:type="dxa" w:w="3360"/>
          </w:tcPr>
          <w:p>
            <w:r>
              <w:t>Goals, profile, preferences, baseline, manual/device path</w:t>
            </w:r>
          </w:p>
        </w:tc>
        <w:tc>
          <w:tcPr>
            <w:tcW w:type="dxa" w:w="3360"/>
          </w:tcPr>
          <w:p>
            <w:r>
              <w:t>Resume state; optional questions skippable</w:t>
            </w:r>
          </w:p>
        </w:tc>
      </w:tr>
      <w:tr>
        <w:tc>
          <w:tcPr>
            <w:tcW w:type="dxa" w:w="3360"/>
          </w:tcPr>
          <w:p>
            <w:r>
              <w:t>PRD-03 Four trackers</w:t>
            </w:r>
          </w:p>
        </w:tc>
        <w:tc>
          <w:tcPr>
            <w:tcW w:type="dxa" w:w="3360"/>
          </w:tcPr>
          <w:p>
            <w:r>
              <w:t>Log/edit/delete meals, hydration, sleep, activity, recovery</w:t>
            </w:r>
          </w:p>
        </w:tc>
        <w:tc>
          <w:tcPr>
            <w:tcW w:type="dxa" w:w="3360"/>
          </w:tcPr>
          <w:p>
            <w:r>
              <w:t>Persisted records; source and timestamp retained</w:t>
            </w:r>
          </w:p>
        </w:tc>
      </w:tr>
      <w:tr>
        <w:tc>
          <w:tcPr>
            <w:tcW w:type="dxa" w:w="3360"/>
          </w:tcPr>
          <w:p>
            <w:r>
              <w:t>PRD-04 Wellness Tracker</w:t>
            </w:r>
          </w:p>
        </w:tc>
        <w:tc>
          <w:tcPr>
            <w:tcW w:type="dxa" w:w="3360"/>
          </w:tcPr>
          <w:p>
            <w:r>
              <w:t>Single 0–100 deterministic score, only four trackers</w:t>
            </w:r>
          </w:p>
        </w:tc>
        <w:tc>
          <w:tcPr>
            <w:tcW w:type="dxa" w:w="3360"/>
          </w:tcPr>
          <w:p>
            <w:r>
              <w:t>Same inputs = same score; no labs in dependencies</w:t>
            </w:r>
          </w:p>
        </w:tc>
      </w:tr>
      <w:tr>
        <w:tc>
          <w:tcPr>
            <w:tcW w:type="dxa" w:w="3360"/>
          </w:tcPr>
          <w:p>
            <w:r>
              <w:t>PRD-05 Two rings</w:t>
            </w:r>
          </w:p>
        </w:tc>
        <w:tc>
          <w:tcPr>
            <w:tcW w:type="dxa" w:w="3360"/>
          </w:tcPr>
          <w:p>
            <w:r>
              <w:t>Personal and population comparison states</w:t>
            </w:r>
          </w:p>
        </w:tc>
        <w:tc>
          <w:tcPr>
            <w:tcW w:type="dxa" w:w="3360"/>
          </w:tcPr>
          <w:p>
            <w:r>
              <w:t>No fabricated cohorts; missing reference labeled</w:t>
            </w:r>
          </w:p>
        </w:tc>
      </w:tr>
      <w:tr>
        <w:tc>
          <w:tcPr>
            <w:tcW w:type="dxa" w:w="3360"/>
          </w:tcPr>
          <w:p>
            <w:r>
              <w:t>PRD-06 Biomarker Tracker</w:t>
            </w:r>
          </w:p>
        </w:tc>
        <w:tc>
          <w:tcPr>
            <w:tcW w:type="dxa" w:w="3360"/>
          </w:tcPr>
          <w:p>
            <w:r>
              <w:t>Optional lab upload, review, history, cross-tracker insight</w:t>
            </w:r>
          </w:p>
        </w:tc>
        <w:tc>
          <w:tcPr>
            <w:tcW w:type="dxa" w:w="3360"/>
          </w:tcPr>
          <w:p>
            <w:r>
              <w:t>Upload/change/expiry does not change score</w:t>
            </w:r>
          </w:p>
        </w:tc>
      </w:tr>
      <w:tr>
        <w:tc>
          <w:tcPr>
            <w:tcW w:type="dxa" w:w="3360"/>
          </w:tcPr>
          <w:p>
            <w:r>
              <w:t>PRD-07 Cycle context</w:t>
            </w:r>
          </w:p>
        </w:tc>
        <w:tc>
          <w:tcPr>
            <w:tcW w:type="dxa" w:w="3360"/>
          </w:tcPr>
          <w:p>
            <w:r>
              <w:t>Optional consent, symptom tracking and pattern insight</w:t>
            </w:r>
          </w:p>
        </w:tc>
        <w:tc>
          <w:tcPr>
            <w:tcW w:type="dxa" w:w="3360"/>
          </w:tcPr>
          <w:p>
            <w:r>
              <w:t>No phase penalties; revoke hides context</w:t>
            </w:r>
          </w:p>
        </w:tc>
      </w:tr>
      <w:tr>
        <w:tc>
          <w:tcPr>
            <w:tcW w:type="dxa" w:w="3360"/>
          </w:tcPr>
          <w:p>
            <w:r>
              <w:t>PRD-08 Health Genie</w:t>
            </w:r>
          </w:p>
        </w:tc>
        <w:tc>
          <w:tcPr>
            <w:tcW w:type="dxa" w:w="3360"/>
          </w:tcPr>
          <w:p>
            <w:r>
              <w:t>Grounded coaching, Today’s ONE, Repeat ONE</w:t>
            </w:r>
          </w:p>
        </w:tc>
        <w:tc>
          <w:tcPr>
            <w:tcW w:type="dxa" w:w="3360"/>
          </w:tcPr>
          <w:p>
            <w:r>
              <w:t>Actions persist; model cannot overwrite score</w:t>
            </w:r>
          </w:p>
        </w:tc>
      </w:tr>
      <w:tr>
        <w:tc>
          <w:tcPr>
            <w:tcW w:type="dxa" w:w="3360"/>
          </w:tcPr>
          <w:p>
            <w:r>
              <w:t>PRD-09 Trends/Progress</w:t>
            </w:r>
          </w:p>
        </w:tc>
        <w:tc>
          <w:tcPr>
            <w:tcW w:type="dxa" w:w="3360"/>
          </w:tcPr>
          <w:p>
            <w:r>
              <w:t>7/30-day views, goals, reflections</w:t>
            </w:r>
          </w:p>
        </w:tc>
        <w:tc>
          <w:tcPr>
            <w:tcW w:type="dxa" w:w="3360"/>
          </w:tcPr>
          <w:p>
            <w:r>
              <w:t>Real data only; missingness visible</w:t>
            </w:r>
          </w:p>
        </w:tc>
      </w:tr>
      <w:tr>
        <w:tc>
          <w:tcPr>
            <w:tcW w:type="dxa" w:w="3360"/>
          </w:tcPr>
          <w:p>
            <w:r>
              <w:t>PRD-10 Devices</w:t>
            </w:r>
          </w:p>
        </w:tc>
        <w:tc>
          <w:tcPr>
            <w:tcW w:type="dxa" w:w="3360"/>
          </w:tcPr>
          <w:p>
            <w:r>
              <w:t>Opt-in sync, provenance, reconciliation, disconnect</w:t>
            </w:r>
          </w:p>
        </w:tc>
        <w:tc>
          <w:tcPr>
            <w:tcW w:type="dxa" w:w="3360"/>
          </w:tcPr>
          <w:p>
            <w:r>
              <w:t>Manual mode always usable; no duplicate counts</w:t>
            </w:r>
          </w:p>
        </w:tc>
      </w:tr>
      <w:tr>
        <w:tc>
          <w:tcPr>
            <w:tcW w:type="dxa" w:w="3360"/>
          </w:tcPr>
          <w:p>
            <w:r>
              <w:t>PRD-11 Privacy</w:t>
            </w:r>
          </w:p>
        </w:tc>
        <w:tc>
          <w:tcPr>
            <w:tcW w:type="dxa" w:w="3360"/>
          </w:tcPr>
          <w:p>
            <w:r>
              <w:t>Export/delete, RLS, private files, consent</w:t>
            </w:r>
          </w:p>
        </w:tc>
        <w:tc>
          <w:tcPr>
            <w:tcW w:type="dxa" w:w="3360"/>
          </w:tcPr>
          <w:p>
            <w:r>
              <w:t>Cross-account access tests pass</w:t>
            </w:r>
          </w:p>
        </w:tc>
      </w:tr>
      <w:tr>
        <w:tc>
          <w:tcPr>
            <w:tcW w:type="dxa" w:w="3360"/>
          </w:tcPr>
          <w:p>
            <w:r>
              <w:t>PRD-12 Commerce</w:t>
            </w:r>
          </w:p>
        </w:tc>
        <w:tc>
          <w:tcPr>
            <w:tcW w:type="dxa" w:w="3360"/>
          </w:tcPr>
          <w:p>
            <w:r>
              <w:t>Trial, checkout, entitlement, cancellation</w:t>
            </w:r>
          </w:p>
        </w:tc>
        <w:tc>
          <w:tcPr>
            <w:tcW w:type="dxa" w:w="3360"/>
          </w:tcPr>
          <w:p>
            <w:r>
              <w:t>Provider-verified state; no mock charging</w:t>
            </w:r>
          </w:p>
        </w:tc>
      </w:tr>
    </w:tbl>
    <w:p>
      <w:pPr>
        <w:pStyle w:val="Heading1"/>
      </w:pPr>
      <w:r>
        <w:t>Cross-cutting UI states</w:t>
      </w:r>
    </w:p>
    <w:p>
      <w:r>
        <w:t>Every primary workflow needs loading, empty, invalid-input, permission-denied, offline/failure, success and edit/delete states. Shared components should implement variants rather than duplicate routes.</w:t>
      </w:r>
    </w:p>
    <w:p>
      <w:pPr>
        <w:pStyle w:val="Heading1"/>
      </w:pPr>
      <w:r>
        <w:t>Cycle-aware integration acceptance</w:t>
      </w:r>
    </w:p>
    <w:p>
      <w:r>
        <w:t>Sleep: optional correlations with sleep patterns; Nutrition: appetite/hydration context; Activity: personal energy and perceived exertion; Recovery: symptoms and fatigue. Insights require sufficient longitudinal history, are described as associations, and never imply a deterministic cycle-phase performance effect.</w:t>
      </w:r>
    </w:p>
    <w:p>
      <w:pPr>
        <w:pStyle w:val="Heading1"/>
      </w:pPr>
      <w:r>
        <w:t>Wellness Tracker acceptance tests</w:t>
      </w:r>
    </w:p>
    <w:p>
      <w:r>
        <w:t>Verify four-pillar full score, three-eligible renormalization, less-than-minimum insufficient-data state, lab upload/update/delete/expiry invariance, cycle phase invariance unless a genuine core input changes, wearable/manual equivalence for same canonical inputs, baseline unavailable states, and score audit provenance.</w:t>
      </w:r>
    </w:p>
    <w:p>
      <w:pPr>
        <w:pStyle w:val="Heading1"/>
      </w:pPr>
      <w:r>
        <w:t>User journey QA</w:t>
      </w:r>
    </w:p>
    <w:p>
      <w:r>
        <w:t>Test new manual-only account; returning account; connected device; failed sync; incomplete check-in; irregular-cycle user; opt-out/revocation; no labs; labs present; uploaded stale lab; expired trial; deleted account. Record actual screenshots, API evidence and test outcomes.</w:t>
      </w:r>
    </w:p>
    <w:p>
      <w:pPr>
        <w:pStyle w:val="Heading1"/>
      </w:pPr>
      <w:r>
        <w:t>Definition of done</w:t>
      </w:r>
    </w:p>
    <w:p>
      <w:r>
        <w:t>A screen is done only when its UI, route, input validation, authenticated persistence, accessibility, error states, security checks and acceptance tests are demonstrated. AI Studio visuals are not evidence of backend completion.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23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234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2346"/>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