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Calibri" w:cs="Calibri" w:eastAsia="Calibri" w:hAnsi="Calibri"/>
          <w:color w:val="555555"/>
          <w:sz w:val="24"/>
          <w:szCs w:val="24"/>
        </w:rPr>
        <w:t xml:space="preserve">01 · Governing Document</w:t>
      </w:r>
    </w:p>
    <w:p>
      <w:pPr>
        <w:spacing w:after="140"/>
      </w:pPr>
      <w:r>
        <w:rPr>
          <w:rFonts w:ascii="Calibri" w:cs="Calibri" w:eastAsia="Calibri" w:hAnsi="Calibri"/>
          <w:b/>
          <w:bCs/>
          <w:color w:val="1F3864"/>
          <w:sz w:val="40"/>
          <w:szCs w:val="40"/>
        </w:rPr>
        <w:t xml:space="preserve">Revised Novelty Statement</w:t>
      </w:r>
    </w:p>
    <w:p>
      <w:pPr>
        <w:spacing w:after="200"/>
      </w:pPr>
      <w:r>
        <w:rPr>
          <w:rFonts w:ascii="Calibri" w:cs="Calibri" w:eastAsia="Calibri" w:hAnsi="Calibri"/>
          <w:i/>
          <w:iCs/>
          <w:sz w:val="22"/>
          <w:szCs w:val="22"/>
        </w:rPr>
        <w:t xml:space="preserve">Working title: Deep-Learning Surrogate Digital Twins for Predictive Capacity Auditing and Maintenance Optimization: A Case Study of the Jemo–Lancha Drainage Corridor, Addis Ababa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20"/>
                <w:szCs w:val="20"/>
              </w:rPr>
              <w:t xml:space="preserve">Document control</w:t>
            </w:r>
          </w:p>
        </w:tc>
        <w:tc>
          <w:tcPr>
            <w:tcW w:type="dxa" w:w="696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p>
        </w:tc>
      </w:tr>
      <w:tr>
        <w:trPr>
          <w:cantSplit/>
          <w:tblHeader w:val="off"/>
        </w:trPr>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20"/>
                <w:szCs w:val="20"/>
              </w:rPr>
              <w:t xml:space="preserve">Version / date</w:t>
            </w:r>
          </w:p>
        </w:tc>
        <w:tc>
          <w:tcPr>
            <w:tcW w:type="dxa" w:w="69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20"/>
                <w:szCs w:val="20"/>
              </w:rPr>
              <w:t xml:space="preserve">Draft v1 · 24 October 2026</w:t>
            </w:r>
          </w:p>
        </w:tc>
      </w:tr>
      <w:tr>
        <w:trPr>
          <w:cantSplit/>
          <w:tblHeader w:val="off"/>
        </w:trPr>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20"/>
                <w:szCs w:val="20"/>
              </w:rPr>
              <w:t xml:space="preserve">Target journals</w:t>
            </w:r>
          </w:p>
        </w:tc>
        <w:tc>
          <w:tcPr>
            <w:tcW w:type="dxa" w:w="69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20"/>
                <w:szCs w:val="20"/>
              </w:rPr>
              <w:t xml:space="preserve">Reliability Engineering &amp; System Safety; Journal of Hydrology</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20"/>
                <w:szCs w:val="20"/>
              </w:rPr>
              <w:t xml:space="preserve">Companion document</w:t>
            </w:r>
          </w:p>
        </w:tc>
        <w:tc>
          <w:tcPr>
            <w:tcW w:type="dxa" w:w="69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20"/>
                <w:szCs w:val="20"/>
              </w:rPr>
              <w:t xml:space="preserve">02 Revised Paper Outline and Illustration Table (holds the data-verification register)</w:t>
            </w:r>
          </w:p>
        </w:tc>
      </w:tr>
      <w:tr>
        <w:trPr>
          <w:cantSplit/>
          <w:tblHeader w:val="off"/>
        </w:trPr>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20"/>
                <w:szCs w:val="20"/>
              </w:rPr>
              <w:t xml:space="preserve">Rule</w:t>
            </w:r>
          </w:p>
        </w:tc>
        <w:tc>
          <w:tcPr>
            <w:tcW w:type="dxa" w:w="69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20"/>
                <w:szCs w:val="20"/>
              </w:rPr>
              <w:t xml:space="preserve">Every number or claim used here must be traceable to the register in Document 02. Items marked [TO CONFIRM] are not yet supported.</w:t>
            </w:r>
          </w:p>
        </w:tc>
      </w:tr>
    </w:tbl>
    <w:p>
      <w:pPr>
        <w:spacing w:after="80"/>
      </w:pPr>
    </w:p>
    <w:p>
      <w:pPr>
        <w:pStyle w:val="Heading1"/>
      </w:pPr>
      <w:r>
        <w:rPr>
          <w:rFonts w:ascii="Calibri" w:cs="Calibri" w:eastAsia="Calibri" w:hAnsi="Calibri"/>
        </w:rPr>
        <w:t xml:space="preserve">1. What changed from the first version</w:t>
      </w:r>
    </w:p>
    <w:p>
      <w:pPr>
        <w:pStyle w:val="ListParagraph"/>
        <w:numPr>
          <w:ilvl w:val="0"/>
          <w:numId w:val="2"/>
        </w:numPr>
        <w:spacing w:after="50" w:line="264"/>
      </w:pPr>
      <w:r>
        <w:rPr>
          <w:rFonts w:ascii="Calibri" w:cs="Calibri" w:eastAsia="Calibri" w:hAnsi="Calibri"/>
          <w:b/>
          <w:bCs/>
        </w:rPr>
        <w:t xml:space="preserve">New case study.</w:t>
      </w:r>
      <w:r>
        <w:rPr>
          <w:rFonts w:ascii="Calibri" w:cs="Calibri" w:eastAsia="Calibri" w:hAnsi="Calibri"/>
        </w:rPr>
        <w:t xml:space="preserve"> CMC–Ayat (five stations, the 52.6% constriction, LRT ballast) is replaced by the Jemo–Lancha corridor: four box-culvert nodes, with capacity loss driven by siltation (β). No LRT or ballast claims remain.</w:t>
      </w:r>
    </w:p>
    <w:p>
      <w:pPr>
        <w:pStyle w:val="ListParagraph"/>
        <w:numPr>
          <w:ilvl w:val="0"/>
          <w:numId w:val="2"/>
        </w:numPr>
        <w:spacing w:after="50" w:line="264"/>
      </w:pPr>
      <w:r>
        <w:rPr>
          <w:rFonts w:ascii="Calibri" w:cs="Calibri" w:eastAsia="Calibri" w:hAnsi="Calibri"/>
          <w:b/>
          <w:bCs/>
        </w:rPr>
        <w:t xml:space="preserve">Claims limited to the evidence.</w:t>
      </w:r>
      <w:r>
        <w:rPr>
          <w:rFonts w:ascii="Calibri" w:cs="Calibri" w:eastAsia="Calibri" w:hAnsi="Calibri"/>
        </w:rPr>
        <w:t xml:space="preserve"> The data registry is a desk study (30 m DEM, design manuals, assumed coefficients) with no flow gauges or flood marks. The statement therefore promises a verified surrogate of a dynamic-wave model, not a validated flood predictor.</w:t>
      </w:r>
    </w:p>
    <w:p>
      <w:pPr>
        <w:pStyle w:val="ListParagraph"/>
        <w:numPr>
          <w:ilvl w:val="0"/>
          <w:numId w:val="2"/>
        </w:numPr>
        <w:spacing w:after="50" w:line="264"/>
      </w:pPr>
      <w:r>
        <w:rPr>
          <w:rFonts w:ascii="Calibri" w:cs="Calibri" w:eastAsia="Calibri" w:hAnsi="Calibri"/>
          <w:b/>
          <w:bCs/>
        </w:rPr>
        <w:t xml:space="preserve">The surrogate emulates SWMM, not the algebra.</w:t>
      </w:r>
      <w:r>
        <w:rPr>
          <w:rFonts w:ascii="Calibri" w:cs="Calibri" w:eastAsia="Calibri" w:hAnsi="Calibri"/>
        </w:rPr>
        <w:t xml:space="preserve"> Rational plus Manning is closed-form and already instantaneous. It stays as the deterministic baseline.</w:t>
      </w:r>
    </w:p>
    <w:p>
      <w:pPr>
        <w:pStyle w:val="ListParagraph"/>
        <w:numPr>
          <w:ilvl w:val="0"/>
          <w:numId w:val="2"/>
        </w:numPr>
        <w:spacing w:after="50" w:line="264"/>
      </w:pPr>
      <w:r>
        <w:rPr>
          <w:rFonts w:ascii="Calibri" w:cs="Calibri" w:eastAsia="Calibri" w:hAnsi="Calibri"/>
          <w:b/>
          <w:bCs/>
        </w:rPr>
        <w:t xml:space="preserve">“Digital twin” is used carefully.</w:t>
      </w:r>
      <w:r>
        <w:rPr>
          <w:rFonts w:ascii="Calibri" w:cs="Calibri" w:eastAsia="Calibri" w:hAnsi="Calibri"/>
        </w:rPr>
        <w:t xml:space="preserve"> With no live sensor link, the text says “digital-twin-ready” and describes the update pathway.</w:t>
      </w:r>
    </w:p>
    <w:p>
      <w:pPr>
        <w:pStyle w:val="ListParagraph"/>
        <w:numPr>
          <w:ilvl w:val="0"/>
          <w:numId w:val="2"/>
        </w:numPr>
        <w:spacing w:after="50" w:line="264"/>
      </w:pPr>
      <w:r>
        <w:rPr>
          <w:rFonts w:ascii="Calibri" w:cs="Calibri" w:eastAsia="Calibri" w:hAnsi="Calibri"/>
          <w:b/>
          <w:bCs/>
        </w:rPr>
        <w:t xml:space="preserve">Gap statement grounded in local studies.</w:t>
      </w:r>
      <w:r>
        <w:rPr>
          <w:rFonts w:ascii="Calibri" w:cs="Calibri" w:eastAsia="Calibri" w:hAnsi="Calibri"/>
        </w:rPr>
        <w:t xml:space="preserve"> It now rests on published Addis Ababa drainage studies (Section 5). Quantitative results appear nowhere yet; they are added only after the code runs.</w:t>
      </w:r>
    </w:p>
    <w:p>
      <w:pPr>
        <w:pStyle w:val="Heading1"/>
      </w:pPr>
      <w:r>
        <w:rPr>
          <w:rFonts w:ascii="Calibri" w:cs="Calibri" w:eastAsia="Calibri" w:hAnsi="Calibri"/>
        </w:rPr>
        <w:t xml:space="preserve">2. Novelty statement (cover letter)</w:t>
      </w:r>
    </w:p>
    <w:p>
      <w:pPr>
        <w:spacing w:after="120" w:line="276"/>
        <w:ind w:left="360" w:right="360"/>
      </w:pPr>
      <w:r>
        <w:rPr>
          <w:rFonts w:ascii="Calibri" w:cs="Calibri" w:eastAsia="Calibri" w:hAnsi="Calibri"/>
        </w:rPr>
        <w:t xml:space="preserve">Culvert corridors in fast-growing cities are still audited with deterministic point estimates: one design storm, one runoff coefficient, one roughness and a clean-channel capacity. Published Addis Ababa audits we reviewed report that many drains are adequately sized on paper yet overtop every rainy season, and attribute this to sediment and dumped waste, which they describe qualitatively but do not propagate into failure probabilities. Audits therefore show where capacity is short, not how likely failure is, which uncertain drivers control it, or when maintenance should be triggered.</w:t>
      </w:r>
    </w:p>
    <w:p>
      <w:pPr>
        <w:spacing w:after="120" w:line="276"/>
        <w:ind w:left="360" w:right="360"/>
      </w:pPr>
      <w:r>
        <w:rPr>
          <w:rFonts w:ascii="Calibri" w:cs="Calibri" w:eastAsia="Calibri" w:hAnsi="Calibri"/>
        </w:rPr>
        <w:t xml:space="preserve">This manuscript closes that gap for the Jemo–Lancha corridor (Nifas Silk-Lafto, Addis Ababa). We convert a deterministic Rational–Manning capacity audit of four box-culvert nodes into a probabilistic, queryable asset model. A Latin Hypercube ensemble of design-storm, runoff, roughness, slope and progressive-siltation states is propagated through a dynamic-wave hydraulic model, and deep-learning and Gaussian-process surrogates are trained on the results. The selected surrogate acts as a digital-twin-ready emulator returning node-level surcharge deficits, failure probabilities and global sensitivity indices at millisecond cost, with calibrated predictive uncertainty.</w:t>
      </w:r>
    </w:p>
    <w:p>
      <w:pPr>
        <w:spacing w:after="120" w:line="276"/>
        <w:ind w:left="360" w:right="360"/>
      </w:pPr>
      <w:r>
        <w:rPr>
          <w:rFonts w:ascii="Calibri" w:cs="Calibri" w:eastAsia="Calibri" w:hAnsi="Calibri"/>
        </w:rPr>
        <w:t xml:space="preserve">The novelty is threefold: (i) a reproducible pipeline linking a desk-based hydraulic audit to structural-reliability metrics for culvert systems; (ii) an uncertainty-aware surrogate that replaces repeated simulation for audit-scale decisions; and (iii) an automated, condition-based maintenance matrix driven by predicted failure probability. Because observed flood records are unavailable, results are verified against the dynamic-wave solver and the deterministic baseline, not against measured floods. The framework targets data-scarce urban corridors where continuous hydrodynamic modelling is impractical.</w:t>
      </w:r>
    </w:p>
    <w:p>
      <w:pPr>
        <w:spacing w:after="120" w:line="276"/>
      </w:pPr>
      <w:r>
        <w:rPr>
          <w:rFonts w:ascii="Calibri" w:cs="Calibri" w:eastAsia="Calibri" w:hAnsi="Calibri"/>
          <w:i/>
          <w:iCs/>
          <w:sz w:val="20"/>
          <w:szCs w:val="20"/>
        </w:rPr>
        <w:t xml:space="preserve">Word count: 245. The phrases “millisecond cost” and “calibrated predictive uncertainty” must be backed by measured results (Section 3) before submission; soften them otherwise.</w:t>
      </w:r>
    </w:p>
    <w:p>
      <w:pPr>
        <w:pStyle w:val="Heading1"/>
      </w:pPr>
      <w:r>
        <w:rPr>
          <w:rFonts w:ascii="Calibri" w:cs="Calibri" w:eastAsia="Calibri" w:hAnsi="Calibri"/>
        </w:rPr>
        <w:t xml:space="preserve">3. Claim-to-evidence table</w:t>
      </w:r>
    </w:p>
    <w:p>
      <w:pPr>
        <w:spacing w:after="120" w:line="276"/>
      </w:pPr>
      <w:r>
        <w:rPr>
          <w:rFonts w:ascii="Calibri" w:cs="Calibri" w:eastAsia="Calibri" w:hAnsi="Calibri"/>
          <w:sz w:val="20"/>
          <w:szCs w:val="20"/>
        </w:rPr>
        <w:t xml:space="preserve">Each sentence of the statement must be supported in the paper. Status reflects 24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cantSplit/>
          <w:tblHeader/>
        </w:trPr>
        <w:tc>
          <w:tcPr>
            <w:tcW w:type="dxa" w:w="27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9"/>
                <w:szCs w:val="19"/>
              </w:rPr>
              <w:t xml:space="preserve">Claim</w:t>
            </w:r>
          </w:p>
        </w:tc>
        <w:tc>
          <w:tcPr>
            <w:tcW w:type="dxa" w:w="426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9"/>
                <w:szCs w:val="19"/>
              </w:rPr>
              <w:t xml:space="preserve">Evidence the paper must contain</w:t>
            </w:r>
          </w:p>
        </w:tc>
        <w:tc>
          <w:tcPr>
            <w:tcW w:type="dxa" w:w="24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9"/>
                <w:szCs w:val="19"/>
              </w:rPr>
              <w:t xml:space="preserve">Status</w:t>
            </w:r>
          </w:p>
        </w:tc>
      </w:tr>
      <w:tr>
        <w:trPr>
          <w:cantSplit/>
          <w:tblHeader w:val="off"/>
        </w:trPr>
        <w:tc>
          <w:tcPr>
            <w:tcW w:type="dxa" w:w="27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Audits are deterministic and treat clogging qualitatively</w:t>
            </w:r>
          </w:p>
        </w:tc>
        <w:tc>
          <w:tcPr>
            <w:tcW w:type="dxa" w:w="42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Literature table of local audits (Section 5) extended by a systematic search; method and uncertainty treatment per study</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7 studies read from records only; full texts and systematic search still needed</w:t>
            </w:r>
          </w:p>
        </w:tc>
      </w:tr>
      <w:tr>
        <w:trPr>
          <w:cantSplit/>
          <w:tblHeader w:val="off"/>
        </w:trPr>
        <w:tc>
          <w:tcPr>
            <w:tcW w:type="dxa" w:w="27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Four culvert nodes audited</w:t>
            </w:r>
          </w:p>
        </w:tc>
        <w:tc>
          <w:tcPr>
            <w:tcW w:type="dxa" w:w="42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Recomputed baseline table (Q_peak, Q_cap(β), capacity factor, Tc)</w:t>
            </w:r>
          </w:p>
        </w:tc>
        <w:tc>
          <w:tcPr>
            <w:tcW w:type="dxa" w:w="2400"/>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9"/>
                <w:szCs w:val="19"/>
              </w:rPr>
              <w:t xml:space="preserve">BLOCKED: registry Q_cap and IDF values fail reproduction (see Doc 02, register)</w:t>
            </w:r>
          </w:p>
        </w:tc>
      </w:tr>
      <w:tr>
        <w:trPr>
          <w:cantSplit/>
          <w:tblHeader w:val="off"/>
        </w:trPr>
        <w:tc>
          <w:tcPr>
            <w:tcW w:type="dxa" w:w="27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Dynamic-wave model is the reference</w:t>
            </w:r>
          </w:p>
        </w:tc>
        <w:tc>
          <w:tcPr>
            <w:tcW w:type="dxa" w:w="42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SWMM model description, continuity-error check, comparison with Rational peaks</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model not yet built</w:t>
            </w:r>
          </w:p>
        </w:tc>
      </w:tr>
      <w:tr>
        <w:trPr>
          <w:cantSplit/>
          <w:tblHeader w:val="off"/>
        </w:trPr>
        <w:tc>
          <w:tcPr>
            <w:tcW w:type="dxa" w:w="27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Surrogate accuracy</w:t>
            </w:r>
          </w:p>
        </w:tc>
        <w:tc>
          <w:tcPr>
            <w:tcW w:type="dxa" w:w="42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R², RMSE, NRMSE on held-out and tail test sets, per node</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results</w:t>
            </w:r>
          </w:p>
        </w:tc>
      </w:tr>
      <w:tr>
        <w:trPr>
          <w:cantSplit/>
          <w:tblHeader w:val="off"/>
        </w:trPr>
        <w:tc>
          <w:tcPr>
            <w:tcW w:type="dxa" w:w="27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Millisecond inference</w:t>
            </w:r>
          </w:p>
        </w:tc>
        <w:tc>
          <w:tcPr>
            <w:tcW w:type="dxa" w:w="42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Measured wall-clock per query versus SWMM on stated hardware</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benchmark</w:t>
            </w:r>
          </w:p>
        </w:tc>
      </w:tr>
      <w:tr>
        <w:trPr>
          <w:cantSplit/>
          <w:tblHeader w:val="off"/>
        </w:trPr>
        <w:tc>
          <w:tcPr>
            <w:tcW w:type="dxa" w:w="27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Calibrated uncertainty</w:t>
            </w:r>
          </w:p>
        </w:tc>
        <w:tc>
          <w:tcPr>
            <w:tcW w:type="dxa" w:w="42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PICP at 95%, CRPS, reliability diagram</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results</w:t>
            </w:r>
          </w:p>
        </w:tc>
      </w:tr>
      <w:tr>
        <w:trPr>
          <w:cantSplit/>
          <w:tblHeader w:val="off"/>
        </w:trPr>
        <w:tc>
          <w:tcPr>
            <w:tcW w:type="dxa" w:w="27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Failure probabilities and sensitivity ranking</w:t>
            </w:r>
          </w:p>
        </w:tc>
        <w:tc>
          <w:tcPr>
            <w:tcW w:type="dxa" w:w="42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Monte Carlo on the surrogate, Sobol indices, spot-checks against direct SWMM runs</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results</w:t>
            </w:r>
          </w:p>
        </w:tc>
      </w:tr>
      <w:tr>
        <w:trPr>
          <w:cantSplit/>
          <w:tblHeader w:val="off"/>
        </w:trPr>
        <w:tc>
          <w:tcPr>
            <w:tcW w:type="dxa" w:w="27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Condition-based maintenance matrix</w:t>
            </w:r>
          </w:p>
        </w:tc>
        <w:tc>
          <w:tcPr>
            <w:tcW w:type="dxa" w:w="42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Thresholds defended by acceptance criteria and consequence logic</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thresholds [TO CONFIRM]</w:t>
            </w:r>
          </w:p>
        </w:tc>
      </w:tr>
      <w:tr>
        <w:trPr>
          <w:cantSplit/>
          <w:tblHeader w:val="off"/>
        </w:trPr>
        <w:tc>
          <w:tcPr>
            <w:tcW w:type="dxa" w:w="27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“Digital-twin-ready”</w:t>
            </w:r>
          </w:p>
        </w:tc>
        <w:tc>
          <w:tcPr>
            <w:tcW w:type="dxa" w:w="42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9"/>
                <w:szCs w:val="19"/>
              </w:rPr>
              <w:t xml:space="preserve">Described update path (level loggers, assimilation) or an implemented dashboard</w:t>
            </w:r>
          </w:p>
        </w:tc>
        <w:tc>
          <w:tcPr>
            <w:tcW w:type="dxa" w:w="2400"/>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9"/>
                <w:szCs w:val="19"/>
              </w:rPr>
              <w:t xml:space="preserve">PENDING: author decision</w:t>
            </w:r>
          </w:p>
        </w:tc>
      </w:tr>
      <w:tr>
        <w:trPr>
          <w:cantSplit/>
          <w:tblHeader w:val="off"/>
        </w:trPr>
        <w:tc>
          <w:tcPr>
            <w:tcW w:type="dxa" w:w="27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Siltation range β = 0–0.75</w:t>
            </w:r>
          </w:p>
        </w:tc>
        <w:tc>
          <w:tcPr>
            <w:tcW w:type="dxa" w:w="42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9"/>
                <w:szCs w:val="19"/>
              </w:rPr>
              <w:t xml:space="preserve">Elicitation basis; no local study quantifies blockage ratios</w:t>
            </w:r>
          </w:p>
        </w:tc>
        <w:tc>
          <w:tcPr>
            <w:tcW w:type="dxa" w:w="2400"/>
            <w:tcBorders>
              <w:top w:val="single" w:color="A0A0A0" w:sz="4"/>
              <w:left w:val="single" w:color="A0A0A0" w:sz="4"/>
              <w:bottom w:val="single" w:color="A0A0A0" w:sz="4"/>
              <w:right w:val="single" w:color="A0A0A0" w:sz="4"/>
            </w:tcBorders>
            <w:shd w:fill="FCE4D6" w:color="auto" w:val="clear"/>
            <w:tcMar>
              <w:top w:type="dxa" w:w="50"/>
              <w:left w:type="dxa" w:w="90"/>
              <w:bottom w:type="dxa" w:w="50"/>
              <w:right w:type="dxa" w:w="90"/>
            </w:tcMar>
          </w:tcPr>
          <w:p>
            <w:pPr>
              <w:spacing w:after="20"/>
            </w:pPr>
            <w:r>
              <w:rPr>
                <w:rFonts w:ascii="Calibri" w:cs="Calibri" w:eastAsia="Calibri" w:hAnsi="Calibri"/>
                <w:sz w:val="19"/>
                <w:szCs w:val="19"/>
              </w:rPr>
              <w:t xml:space="preserve">NOT VERIFIED: treat as assumption, test by sensitivity analysis</w:t>
            </w:r>
          </w:p>
        </w:tc>
      </w:tr>
    </w:tbl>
    <w:p>
      <w:pPr>
        <w:pStyle w:val="Heading1"/>
      </w:pPr>
      <w:r>
        <w:rPr>
          <w:rFonts w:ascii="Calibri" w:cs="Calibri" w:eastAsia="Calibri" w:hAnsi="Calibri"/>
        </w:rPr>
        <w:t xml:space="preserve">4. Short version (submission form, about 100 words)</w:t>
      </w:r>
    </w:p>
    <w:p>
      <w:pPr>
        <w:spacing w:after="120" w:line="276"/>
        <w:ind w:left="360" w:right="360"/>
      </w:pPr>
      <w:r>
        <w:rPr>
          <w:rFonts w:ascii="Calibri" w:cs="Calibri" w:eastAsia="Calibri" w:hAnsi="Calibri"/>
        </w:rPr>
        <w:t xml:space="preserve">We convert a deterministic Rational–Manning audit of four culvert nodes in an Addis Ababa corridor into a probabilistic, instantly queryable asset model. A Latin Hypercube ensemble of storm, runoff, roughness and siltation states is run through a dynamic-wave hydraulic model, and a surrogate trained on it returns surcharge deficits, failure probabilities and sensitivity indices at millisecond cost with calibrated uncertainty. Failure probability is translated automatically into a condition-based maintenance matrix, moving drainage asset management from one-off sizing checks to risk-informed, schedulable decisions in data-scarce cities. Verification is against the solver and the deterministic baseline, not measured floods.</w:t>
      </w:r>
    </w:p>
    <w:p>
      <w:pPr>
        <w:spacing w:after="120" w:line="276"/>
      </w:pPr>
      <w:r>
        <w:rPr>
          <w:rFonts w:ascii="Calibri" w:cs="Calibri" w:eastAsia="Calibri" w:hAnsi="Calibri"/>
          <w:i/>
          <w:iCs/>
          <w:sz w:val="20"/>
          <w:szCs w:val="20"/>
        </w:rPr>
        <w:t xml:space="preserve">Word count: 97.</w:t>
      </w:r>
    </w:p>
    <w:p>
      <w:pPr>
        <w:pStyle w:val="Heading1"/>
      </w:pPr>
      <w:r>
        <w:rPr>
          <w:rFonts w:ascii="Calibri" w:cs="Calibri" w:eastAsia="Calibri" w:hAnsi="Calibri"/>
        </w:rPr>
        <w:t xml:space="preserve">5. Positioning against local studies</w:t>
      </w:r>
    </w:p>
    <w:p>
      <w:pPr>
        <w:spacing w:after="120" w:line="276"/>
      </w:pPr>
      <w:r>
        <w:rPr>
          <w:rFonts w:ascii="Calibri" w:cs="Calibri" w:eastAsia="Calibri" w:hAnsi="Calibri"/>
          <w:i/>
          <w:iCs/>
          <w:sz w:val="20"/>
          <w:szCs w:val="20"/>
        </w:rPr>
        <w:t xml:space="preserve">Drawn from repository records and abstracts only. Read the full texts before citing specifics in the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cantSplit/>
          <w:tblHeader/>
        </w:trPr>
        <w:tc>
          <w:tcPr>
            <w:tcW w:type="dxa" w:w="19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Study</w:t>
            </w:r>
          </w:p>
        </w:tc>
        <w:tc>
          <w:tcPr>
            <w:tcW w:type="dxa" w:w="446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What the record reports</w:t>
            </w:r>
          </w:p>
        </w:tc>
        <w:tc>
          <w:tcPr>
            <w:tcW w:type="dxa" w:w="30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Gap relative to this paper</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Fisha (2015), AAU thesis, Meshualekiya–Gotera LRT corridor</w:t>
            </w:r>
          </w:p>
        </w:tc>
        <w:tc>
          <w:tcPr>
            <w:tcW w:type="dxa" w:w="44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ArcGIS and EPA SWMM; SWMM peaks compared with the Rational Method and reported as nearly the same; manhole flooding of 10–20 min; track flooded 10.2 min at the 100-year storm; larger pipes recommended</w:t>
            </w:r>
          </w:p>
        </w:tc>
        <w:tc>
          <w:tcPr>
            <w:tcW w:type="dxa" w:w="3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Deterministic return-period scenarios; no uncertainty or siltation states</w:t>
            </w:r>
          </w:p>
        </w:tc>
      </w:tr>
      <w:tr>
        <w:trPr>
          <w:cantSplit/>
          <w:tblHeader w:val="off"/>
        </w:trPr>
        <w:tc>
          <w:tcPr>
            <w:tcW w:type="dxa" w:w="1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Kiwanuka (2019), AAU thesis, Mesualekia–Nefas Silk 2 stretch</w:t>
            </w:r>
          </w:p>
        </w:tc>
        <w:tc>
          <w:tcPr>
            <w:tcW w:type="dxa" w:w="44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Rational and HEC-HMS flows; a 900 mm side drain could not convey 6.2 m³/s; a 4000 × 3300 mm box culvert was adequate; desilting and inlet screens recommended</w:t>
            </w:r>
          </w:p>
        </w:tc>
        <w:tc>
          <w:tcPr>
            <w:tcW w:type="dxa" w:w="3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Silt effect not quantified; no failure probability</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Adugna et al. (2019), J. Hydrology: Regional Studies 25</w:t>
            </w:r>
          </w:p>
        </w:tc>
        <w:tc>
          <w:tcPr>
            <w:tcW w:type="dxa" w:w="44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469 road and 202 drain segments surveyed; 14% (new areas) and 28% (old areas) inadequate; more than 72% oversized; overtopping attributed mainly to waste dumping</w:t>
            </w:r>
          </w:p>
        </w:tc>
        <w:tc>
          <w:tcPr>
            <w:tcW w:type="dxa" w:w="3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Capacity survey; clogging not measured</w:t>
            </w:r>
          </w:p>
        </w:tc>
      </w:tr>
      <w:tr>
        <w:trPr>
          <w:cantSplit/>
          <w:tblHeader w:val="off"/>
        </w:trPr>
        <w:tc>
          <w:tcPr>
            <w:tcW w:type="dxa" w:w="1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Alemu (2017), AAU thesis, Zenebe Werk</w:t>
            </w:r>
          </w:p>
        </w:tc>
        <w:tc>
          <w:tcPr>
            <w:tcW w:type="dxa" w:w="44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Gumbel and log-Pearson III frequency analysis with the Rational Method; most inlets closed by sediment</w:t>
            </w:r>
          </w:p>
        </w:tc>
        <w:tc>
          <w:tcPr>
            <w:tcW w:type="dxa" w:w="3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Qualitative cause; no probabilistic treatment in the record</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Tessema (2016), AAU thesis, Jemo-III site</w:t>
            </w:r>
          </w:p>
        </w:tc>
        <w:tc>
          <w:tcPr>
            <w:tcW w:type="dxa" w:w="44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Rational Method at 10 years; AACRA (2003) IDF curve used because meteorological records were incomplete</w:t>
            </w:r>
          </w:p>
        </w:tc>
        <w:tc>
          <w:tcPr>
            <w:tcW w:type="dxa" w:w="3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Deterministic; shows the rainfall-data scarcity this paper must handle</w:t>
            </w:r>
          </w:p>
        </w:tc>
      </w:tr>
      <w:tr>
        <w:trPr>
          <w:cantSplit/>
          <w:tblHeader w:val="off"/>
        </w:trPr>
        <w:tc>
          <w:tcPr>
            <w:tcW w:type="dxa" w:w="1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Abdissa (2023), AAU thesis, Addis Ababa IDF</w:t>
            </w:r>
          </w:p>
        </w:tc>
        <w:tc>
          <w:tcPr>
            <w:tcW w:type="dxa" w:w="446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GEV-based IDF for 10–180 min and 2–100 years; future intensities 27–79% (2010–2039), 37–88% (2040–2069) and 55–104% (2069–2099) above historical under RCP 8.5</w:t>
            </w:r>
          </w:p>
        </w:tc>
        <w:tc>
          <w:tcPr>
            <w:tcW w:type="dxa" w:w="3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8"/>
                <w:szCs w:val="18"/>
              </w:rPr>
              <w:t xml:space="preserve">Source for rainfall scenarios; not a drainage audit</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Akaki Kality drain-failure study (2024)</w:t>
            </w:r>
          </w:p>
        </w:tc>
        <w:tc>
          <w:tcPr>
            <w:tcW w:type="dxa" w:w="446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Survey-based; main causes are sedimentation, litter and debris build-up</w:t>
            </w:r>
          </w:p>
        </w:tc>
        <w:tc>
          <w:tcPr>
            <w:tcW w:type="dxa" w:w="3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8"/>
                <w:szCs w:val="18"/>
              </w:rPr>
              <w:t xml:space="preserve">Qualitative; no capacity or probability figures in the record</w:t>
            </w:r>
          </w:p>
        </w:tc>
      </w:tr>
    </w:tbl>
    <w:p>
      <w:pPr>
        <w:pStyle w:val="Heading1"/>
      </w:pPr>
      <w:r>
        <w:rPr>
          <w:rFonts w:ascii="Calibri" w:cs="Calibri" w:eastAsia="Calibri" w:hAnsi="Calibri"/>
        </w:rPr>
        <w:t xml:space="preserve">6. Sources</w:t>
      </w:r>
    </w:p>
    <w:p>
      <w:pPr>
        <w:pStyle w:val="ListParagraph"/>
        <w:numPr>
          <w:ilvl w:val="0"/>
          <w:numId w:val="2"/>
        </w:numPr>
        <w:spacing w:after="50" w:line="264"/>
      </w:pPr>
      <w:r>
        <w:rPr>
          <w:rFonts w:ascii="Calibri" w:cs="Calibri" w:eastAsia="Calibri" w:hAnsi="Calibri"/>
          <w:sz w:val="20"/>
          <w:szCs w:val="20"/>
        </w:rPr>
        <w:t xml:space="preserve">Fisha H. (2015). </w:t>
      </w:r>
      <w:hyperlink w:history="1" r:id="rIdsbr2amgtkpef5f3a4wx6q">
        <w:r>
          <w:rPr>
            <w:rFonts w:ascii="Calibri" w:cs="Calibri" w:eastAsia="Calibri" w:hAnsi="Calibri"/>
            <w:color w:val="0563C1"/>
            <w:sz w:val="20"/>
            <w:szCs w:val="20"/>
            <w:u w:val="single"/>
          </w:rPr>
          <w:t xml:space="preserve">Flood Assessment on Addis Ababa LRT (Meshualekiya–Gotera)</w:t>
        </w:r>
      </w:hyperlink>
    </w:p>
    <w:p>
      <w:pPr>
        <w:pStyle w:val="ListParagraph"/>
        <w:numPr>
          <w:ilvl w:val="0"/>
          <w:numId w:val="2"/>
        </w:numPr>
        <w:spacing w:after="50" w:line="264"/>
      </w:pPr>
      <w:r>
        <w:rPr>
          <w:rFonts w:ascii="Calibri" w:cs="Calibri" w:eastAsia="Calibri" w:hAnsi="Calibri"/>
          <w:sz w:val="20"/>
          <w:szCs w:val="20"/>
        </w:rPr>
        <w:t xml:space="preserve">Kiwanuka M. (2019). </w:t>
      </w:r>
      <w:hyperlink w:history="1" r:id="rIdyfwdwnsmbtrjsyhxjh7qp">
        <w:r>
          <w:rPr>
            <w:rFonts w:ascii="Calibri" w:cs="Calibri" w:eastAsia="Calibri" w:hAnsi="Calibri"/>
            <w:color w:val="0563C1"/>
            <w:sz w:val="20"/>
            <w:szCs w:val="20"/>
            <w:u w:val="single"/>
          </w:rPr>
          <w:t xml:space="preserve">Flood Analysis and Hydraulic Competence of Drainage Structures along Addis Ababa LRT</w:t>
        </w:r>
      </w:hyperlink>
    </w:p>
    <w:p>
      <w:pPr>
        <w:pStyle w:val="ListParagraph"/>
        <w:numPr>
          <w:ilvl w:val="0"/>
          <w:numId w:val="2"/>
        </w:numPr>
        <w:spacing w:after="50" w:line="264"/>
      </w:pPr>
      <w:r>
        <w:rPr>
          <w:rFonts w:ascii="Calibri" w:cs="Calibri" w:eastAsia="Calibri" w:hAnsi="Calibri"/>
          <w:sz w:val="20"/>
          <w:szCs w:val="20"/>
        </w:rPr>
        <w:t xml:space="preserve">Adugna D. et al. (2019). </w:t>
      </w:r>
      <w:hyperlink w:history="1" r:id="rIdepvwjtzrlsznc5jjqcvv-">
        <w:r>
          <w:rPr>
            <w:rFonts w:ascii="Calibri" w:cs="Calibri" w:eastAsia="Calibri" w:hAnsi="Calibri"/>
            <w:color w:val="0563C1"/>
            <w:sz w:val="20"/>
            <w:szCs w:val="20"/>
            <w:u w:val="single"/>
          </w:rPr>
          <w:t xml:space="preserve">Evaluating the hydraulic capacity of existing drain systems… in Addis Ababa</w:t>
        </w:r>
      </w:hyperlink>
    </w:p>
    <w:p>
      <w:pPr>
        <w:pStyle w:val="ListParagraph"/>
        <w:numPr>
          <w:ilvl w:val="0"/>
          <w:numId w:val="2"/>
        </w:numPr>
        <w:spacing w:after="50" w:line="264"/>
      </w:pPr>
      <w:r>
        <w:rPr>
          <w:rFonts w:ascii="Calibri" w:cs="Calibri" w:eastAsia="Calibri" w:hAnsi="Calibri"/>
          <w:sz w:val="20"/>
          <w:szCs w:val="20"/>
        </w:rPr>
        <w:t xml:space="preserve">Alemu H. (2017). </w:t>
      </w:r>
      <w:hyperlink w:history="1" r:id="rIdhihqpnkmgebia7scqbw83">
        <w:r>
          <w:rPr>
            <w:rFonts w:ascii="Calibri" w:cs="Calibri" w:eastAsia="Calibri" w:hAnsi="Calibri"/>
            <w:color w:val="0563C1"/>
            <w:sz w:val="20"/>
            <w:szCs w:val="20"/>
            <w:u w:val="single"/>
          </w:rPr>
          <w:t xml:space="preserve">Flooding Problems in Urban Drainage System: Zenebe Werk</w:t>
        </w:r>
      </w:hyperlink>
    </w:p>
    <w:p>
      <w:pPr>
        <w:pStyle w:val="ListParagraph"/>
        <w:numPr>
          <w:ilvl w:val="0"/>
          <w:numId w:val="2"/>
        </w:numPr>
        <w:spacing w:after="50" w:line="264"/>
      </w:pPr>
      <w:r>
        <w:rPr>
          <w:rFonts w:ascii="Calibri" w:cs="Calibri" w:eastAsia="Calibri" w:hAnsi="Calibri"/>
          <w:sz w:val="20"/>
          <w:szCs w:val="20"/>
        </w:rPr>
        <w:t xml:space="preserve">Tessema T. (2016). </w:t>
      </w:r>
      <w:hyperlink w:history="1" r:id="rId90i9qrcmbxgsozdxrwm7m">
        <w:r>
          <w:rPr>
            <w:rFonts w:ascii="Calibri" w:cs="Calibri" w:eastAsia="Calibri" w:hAnsi="Calibri"/>
            <w:color w:val="0563C1"/>
            <w:sz w:val="20"/>
            <w:szCs w:val="20"/>
            <w:u w:val="single"/>
          </w:rPr>
          <w:t xml:space="preserve">Storm Water Drainage Situation in Addis Ababa: Jemo-III Condominium Site</w:t>
        </w:r>
      </w:hyperlink>
    </w:p>
    <w:p>
      <w:pPr>
        <w:pStyle w:val="ListParagraph"/>
        <w:numPr>
          <w:ilvl w:val="0"/>
          <w:numId w:val="2"/>
        </w:numPr>
        <w:spacing w:after="50" w:line="264"/>
      </w:pPr>
      <w:r>
        <w:rPr>
          <w:rFonts w:ascii="Calibri" w:cs="Calibri" w:eastAsia="Calibri" w:hAnsi="Calibri"/>
          <w:sz w:val="20"/>
          <w:szCs w:val="20"/>
        </w:rPr>
        <w:t xml:space="preserve">Abdissa L. (2023). </w:t>
      </w:r>
      <w:hyperlink w:history="1" r:id="rIdryaif5ij4gbhkzkhrpndx">
        <w:r>
          <w:rPr>
            <w:rFonts w:ascii="Calibri" w:cs="Calibri" w:eastAsia="Calibri" w:hAnsi="Calibri"/>
            <w:color w:val="0563C1"/>
            <w:sz w:val="20"/>
            <w:szCs w:val="20"/>
            <w:u w:val="single"/>
          </w:rPr>
          <w:t xml:space="preserve">Rainfall IDF Curves for Addis Ababa under the Changing Climate</w:t>
        </w:r>
      </w:hyperlink>
    </w:p>
    <w:p>
      <w:pPr>
        <w:pStyle w:val="ListParagraph"/>
        <w:numPr>
          <w:ilvl w:val="0"/>
          <w:numId w:val="2"/>
        </w:numPr>
        <w:spacing w:after="50" w:line="264"/>
      </w:pPr>
      <w:r>
        <w:rPr>
          <w:rFonts w:ascii="Calibri" w:cs="Calibri" w:eastAsia="Calibri" w:hAnsi="Calibri"/>
          <w:sz w:val="20"/>
          <w:szCs w:val="20"/>
        </w:rPr>
        <w:t xml:space="preserve">Akaki Kality subcity (2024). </w:t>
      </w:r>
      <w:hyperlink w:history="1" r:id="rIdobw_-zrbpmsmpgyf2uyy2">
        <w:r>
          <w:rPr>
            <w:rFonts w:ascii="Calibri" w:cs="Calibri" w:eastAsia="Calibri" w:hAnsi="Calibri"/>
            <w:color w:val="0563C1"/>
            <w:sz w:val="20"/>
            <w:szCs w:val="20"/>
            <w:u w:val="single"/>
          </w:rPr>
          <w:t xml:space="preserve">Investigating the Causes of Stormwater Drain Failure</w:t>
        </w:r>
      </w:hyperlink>
    </w:p>
    <w:sectPr>
      <w:footerReference w:type="default" r:id="rId6"/>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01 Revised Novelty Statement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10" w:before="220"/>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br2amgtkpef5f3a4wx6q" Type="http://schemas.openxmlformats.org/officeDocument/2006/relationships/hyperlink" Target="https://etd.aau.edu.et/items/ecd2dac8-43fc-4f48-bf26-8ce2ab787abf/full" TargetMode="External"/><Relationship Id="rIdyfwdwnsmbtrjsyhxjh7qp" Type="http://schemas.openxmlformats.org/officeDocument/2006/relationships/hyperlink" Target="https://etd.aau.edu.et/items/56528229-cc87-4d85-9339-07d330cba806/full" TargetMode="External"/><Relationship Id="rIdepvwjtzrlsznc5jjqcvv-" Type="http://schemas.openxmlformats.org/officeDocument/2006/relationships/hyperlink" Target="https://doaj.org/article/caeb811f3faa4e5588d2f77d883b2958" TargetMode="External"/><Relationship Id="rIdhihqpnkmgebia7scqbw83" Type="http://schemas.openxmlformats.org/officeDocument/2006/relationships/hyperlink" Target="https://etd.aau.edu.et/items/4324bf0e-01ec-4853-bde3-911d806cfc2a/full" TargetMode="External"/><Relationship Id="rId90i9qrcmbxgsozdxrwm7m" Type="http://schemas.openxmlformats.org/officeDocument/2006/relationships/hyperlink" Target="https://etd.aau.edu.et/bitstreams/0ef2d9ac-1755-4730-905a-9b1eb6e9742d/download" TargetMode="External"/><Relationship Id="rIdryaif5ij4gbhkzkhrpndx" Type="http://schemas.openxmlformats.org/officeDocument/2006/relationships/hyperlink" Target="https://etd.aau.edu.et/items/7b79743b-4e3d-411f-a9c6-1e99d34b5318/full" TargetMode="External"/><Relationship Id="rIdobw_-zrbpmsmpgyf2uyy2" Type="http://schemas.openxmlformats.org/officeDocument/2006/relationships/hyperlink" Target="https://etd.aau.edu.et/items/970624d1-526f-4b78-a414-c24979ed5587"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2026-10-24T11:03:05.976Z</dcterms:created>
  <dcterms:modified xsi:type="dcterms:W3CDTF">2026-10-24T11:03:05.977Z</dcterms:modified>
</cp:coreProperties>
</file>

<file path=docProps/custom.xml><?xml version="1.0" encoding="utf-8"?>
<Properties xmlns="http://schemas.openxmlformats.org/officeDocument/2006/custom-properties" xmlns:vt="http://schemas.openxmlformats.org/officeDocument/2006/docPropsVTypes"/>
</file>