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rFonts w:ascii="Calibri" w:cs="Calibri" w:eastAsia="Calibri" w:hAnsi="Calibri"/>
          <w:color w:val="555555"/>
          <w:sz w:val="24"/>
          <w:szCs w:val="24"/>
        </w:rPr>
        <w:t xml:space="preserve">02 · Governing Document</w:t>
      </w:r>
    </w:p>
    <w:p>
      <w:pPr>
        <w:spacing w:after="140"/>
      </w:pPr>
      <w:r>
        <w:rPr>
          <w:rFonts w:ascii="Calibri" w:cs="Calibri" w:eastAsia="Calibri" w:hAnsi="Calibri"/>
          <w:b/>
          <w:bCs/>
          <w:color w:val="1F3864"/>
          <w:sz w:val="40"/>
          <w:szCs w:val="40"/>
        </w:rPr>
        <w:t xml:space="preserve">Revised Paper Outline and Illustration Table</w:t>
      </w:r>
    </w:p>
    <w:p>
      <w:pPr>
        <w:spacing w:after="200"/>
      </w:pPr>
      <w:r>
        <w:rPr>
          <w:rFonts w:ascii="Calibri" w:cs="Calibri" w:eastAsia="Calibri" w:hAnsi="Calibri"/>
          <w:i/>
          <w:iCs/>
          <w:sz w:val="22"/>
          <w:szCs w:val="22"/>
        </w:rPr>
        <w:t xml:space="preserve">Jemo–Lancha drainage corridor, Nifas Silk-Lafto, Addis Ababa · Draft v1 · 24 October 2026</w:t>
      </w:r>
    </w:p>
    <w:p>
      <w:pPr>
        <w:spacing w:after="120" w:line="276"/>
      </w:pPr>
      <w:r>
        <w:rPr>
          <w:rFonts w:ascii="Calibri" w:cs="Calibri" w:eastAsia="Calibri" w:hAnsi="Calibri"/>
        </w:rPr>
        <w:t xml:space="preserve">This document governs the paper. </w:t>
      </w:r>
      <w:r>
        <w:rPr>
          <w:rFonts w:ascii="Calibri" w:cs="Calibri" w:eastAsia="Calibri" w:hAnsi="Calibri"/>
          <w:b/>
          <w:bCs/>
        </w:rPr>
        <w:t xml:space="preserve">Part A</w:t>
      </w:r>
      <w:r>
        <w:rPr>
          <w:rFonts w:ascii="Calibri" w:cs="Calibri" w:eastAsia="Calibri" w:hAnsi="Calibri"/>
        </w:rPr>
        <w:t xml:space="preserve"> is the data-verification register: no number enters the manuscript or the code unless its row says VERIFIED, or it is marked as an assumption. </w:t>
      </w:r>
      <w:r>
        <w:rPr>
          <w:rFonts w:ascii="Calibri" w:cs="Calibri" w:eastAsia="Calibri" w:hAnsi="Calibri"/>
          <w:b/>
          <w:bCs/>
        </w:rPr>
        <w:t xml:space="preserve">Part B</w:t>
      </w:r>
      <w:r>
        <w:rPr>
          <w:rFonts w:ascii="Calibri" w:cs="Calibri" w:eastAsia="Calibri" w:hAnsi="Calibri"/>
        </w:rPr>
        <w:t xml:space="preserve"> is the IMRaD outline. </w:t>
      </w:r>
      <w:r>
        <w:rPr>
          <w:rFonts w:ascii="Calibri" w:cs="Calibri" w:eastAsia="Calibri" w:hAnsi="Calibri"/>
          <w:b/>
          <w:bCs/>
        </w:rPr>
        <w:t xml:space="preserve">Part C</w:t>
      </w:r>
      <w:r>
        <w:rPr>
          <w:rFonts w:ascii="Calibri" w:cs="Calibri" w:eastAsia="Calibri" w:hAnsi="Calibri"/>
        </w:rPr>
        <w:t xml:space="preserve"> lists every figure and table with its data source and code module. </w:t>
      </w:r>
      <w:r>
        <w:rPr>
          <w:rFonts w:ascii="Calibri" w:cs="Calibri" w:eastAsia="Calibri" w:hAnsi="Calibri"/>
          <w:b/>
          <w:bCs/>
        </w:rPr>
        <w:t xml:space="preserve">Part D</w:t>
      </w:r>
      <w:r>
        <w:rPr>
          <w:rFonts w:ascii="Calibri" w:cs="Calibri" w:eastAsia="Calibri" w:hAnsi="Calibri"/>
        </w:rPr>
        <w:t xml:space="preserve"> gives the next steps.</w:t>
      </w:r>
    </w:p>
    <w:p>
      <w:pPr>
        <w:pStyle w:val="Heading1"/>
      </w:pPr>
      <w:r>
        <w:rPr>
          <w:rFonts w:ascii="Calibri" w:cs="Calibri" w:eastAsia="Calibri" w:hAnsi="Calibri"/>
        </w:rPr>
        <w:t xml:space="preserve">Part A. Data-Verification Register</w:t>
      </w:r>
    </w:p>
    <w:p>
      <w:pPr>
        <w:spacing w:after="120" w:line="276"/>
      </w:pPr>
      <w:r>
        <w:rPr>
          <w:rFonts w:ascii="Calibri" w:cs="Calibri" w:eastAsia="Calibri" w:hAnsi="Calibri"/>
          <w:sz w:val="20"/>
          <w:szCs w:val="20"/>
        </w:rPr>
        <w:t xml:space="preserve">Method: each registry value was recomputed where it is a formula, and searched for in accessible published sources (Addis Ababa University theses, Journal of Hydrology: Regional Studies, the Crown Agents/AfCAP ERA workshop record, Chow’s Manning table). The ERA Drainage Design Manual and AACRA standard drawings themselves could not be opened, so values attributed to them remain unconfirmed. Colour key: green verified, yellow partly verified or concern, orange not verified, red fails.</w:t>
      </w:r>
    </w:p>
    <w:tbl>
      <w:tblPr>
        <w:tblW w:type="dxa" w:w="14292"/>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300"/>
        <w:gridCol w:w="2400"/>
        <w:gridCol w:w="3092"/>
      </w:tblGrid>
      <w:tr>
        <w:trPr>
          <w:cantSplit/>
          <w:tblHeader/>
        </w:trPr>
        <w:tc>
          <w:tcPr>
            <w:tcW w:type="dxa" w:w="15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Item</w:t>
            </w:r>
          </w:p>
        </w:tc>
        <w:tc>
          <w:tcPr>
            <w:tcW w:type="dxa" w:w="20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Registry value</w:t>
            </w:r>
          </w:p>
        </w:tc>
        <w:tc>
          <w:tcPr>
            <w:tcW w:type="dxa" w:w="53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Check result</w:t>
            </w:r>
          </w:p>
        </w:tc>
        <w:tc>
          <w:tcPr>
            <w:tcW w:type="dxa" w:w="24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Source / evidence</w:t>
            </w:r>
          </w:p>
        </w:tc>
        <w:tc>
          <w:tcPr>
            <w:tcW w:type="dxa" w:w="3092"/>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Status and action</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Rational formula</w:t>
            </w:r>
          </w:p>
        </w:tc>
        <w:tc>
          <w:tcPr>
            <w:tcW w:type="dxa" w:w="2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Q = 0.00278·C·i·A</w:t>
            </w:r>
          </w:p>
        </w:tc>
        <w:tc>
          <w:tcPr>
            <w:tcW w:type="dxa" w:w="5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Matches the form used in Tessema (2016): Q in m³/s, i in mm/hr, A in ha. All four registry Q_peak values recompute exactly (7.25, 10.44, 6.51, 8.55 m³/s).</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Tessema 2016; own recomputation</w:t>
            </w:r>
          </w:p>
        </w:tc>
        <w:tc>
          <w:tcPr>
            <w:tcW w:type="dxa" w:w="3092"/>
            <w:tcBorders>
              <w:top w:val="single" w:color="A0A0A0" w:sz="4"/>
              <w:left w:val="single" w:color="A0A0A0" w:sz="4"/>
              <w:bottom w:val="single" w:color="A0A0A0" w:sz="4"/>
              <w:right w:val="single" w:color="A0A0A0" w:sz="4"/>
            </w:tcBorders>
            <w:shd w:fill="E2F0D9" w:color="auto" w:val="clear"/>
            <w:tcMar>
              <w:top w:type="dxa" w:w="50"/>
              <w:left w:type="dxa" w:w="90"/>
              <w:bottom w:type="dxa" w:w="50"/>
              <w:right w:type="dxa" w:w="90"/>
            </w:tcMar>
          </w:tcPr>
          <w:p>
            <w:pPr>
              <w:spacing w:after="20"/>
            </w:pPr>
            <w:r>
              <w:rPr>
                <w:rFonts w:ascii="Calibri" w:cs="Calibri" w:eastAsia="Calibri" w:hAnsi="Calibri"/>
                <w:sz w:val="17"/>
                <w:szCs w:val="17"/>
              </w:rPr>
              <w:t xml:space="preserve">VERIFIED. Keep.</w:t>
            </w:r>
          </w:p>
        </w:tc>
      </w:tr>
      <w:tr>
        <w:trPr>
          <w:cantSplit/>
          <w:tblHeader w:val="off"/>
        </w:trPr>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IDF constants</w:t>
            </w:r>
          </w:p>
        </w:tc>
        <w:tc>
          <w:tcPr>
            <w:tcW w:type="dxa" w:w="2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a = 520.4, b = 14.5, c = 0.78, m = 0.19; “Region A2”</w:t>
            </w:r>
          </w:p>
        </w:tc>
        <w:tc>
          <w:tcPr>
            <w:tcW w:type="dxa" w:w="5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Could not be found in any accessible source. The ERA edition is not stated (sources cite both 2002 and 2013). Abdissa (2023) and Tessema (2016) give no constants on the pages read.</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Searched; ERA manual not accessible</w:t>
            </w:r>
          </w:p>
        </w:tc>
        <w:tc>
          <w:tcPr>
            <w:tcW w:type="dxa" w:w="3092"/>
            <w:tcBorders>
              <w:top w:val="single" w:color="A0A0A0" w:sz="4"/>
              <w:left w:val="single" w:color="A0A0A0" w:sz="4"/>
              <w:bottom w:val="single" w:color="A0A0A0" w:sz="4"/>
              <w:right w:val="single" w:color="A0A0A0" w:sz="4"/>
            </w:tcBorders>
            <w:shd w:fill="FCE4D6" w:color="auto" w:val="clear"/>
            <w:tcMar>
              <w:top w:type="dxa" w:w="50"/>
              <w:left w:type="dxa" w:w="90"/>
              <w:bottom w:type="dxa" w:w="50"/>
              <w:right w:type="dxa" w:w="90"/>
            </w:tcMar>
          </w:tcPr>
          <w:p>
            <w:pPr>
              <w:spacing w:after="20"/>
            </w:pPr>
            <w:r>
              <w:rPr>
                <w:rFonts w:ascii="Calibri" w:cs="Calibri" w:eastAsia="Calibri" w:hAnsi="Calibri"/>
                <w:sz w:val="17"/>
                <w:szCs w:val="17"/>
              </w:rPr>
              <w:t xml:space="preserve">NOT VERIFIED. Author 1: give manual edition and table page, or replace with a published Addis Ababa IDF (Abdissa 2023 full text, AACRA 2003).</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IDF table, 30 min</w:t>
            </w:r>
          </w:p>
        </w:tc>
        <w:tc>
          <w:tcPr>
            <w:tcW w:type="dxa" w:w="2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10-yr 68.0 mm/hr; 2-yr 42.5; 100-yr 108.5</w:t>
            </w:r>
          </w:p>
        </w:tc>
        <w:tc>
          <w:tcPr>
            <w:tcW w:type="dxa" w:w="5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The registry formula with its own constants gives 41.7 mm/hr (10-yr), 30.7 (2-yr), 64.7 (100-yr). The table is 1.4–1.7 times higher at every return period.</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Own recomputation</w:t>
            </w:r>
          </w:p>
        </w:tc>
        <w:tc>
          <w:tcPr>
            <w:tcW w:type="dxa" w:w="3092"/>
            <w:tcBorders>
              <w:top w:val="single" w:color="A0A0A0" w:sz="4"/>
              <w:left w:val="single" w:color="A0A0A0" w:sz="4"/>
              <w:bottom w:val="single" w:color="A0A0A0" w:sz="4"/>
              <w:right w:val="single" w:color="A0A0A0" w:sz="4"/>
            </w:tcBorders>
            <w:shd w:fill="F4B6A6" w:color="auto" w:val="clear"/>
            <w:tcMar>
              <w:top w:type="dxa" w:w="50"/>
              <w:left w:type="dxa" w:w="90"/>
              <w:bottom w:type="dxa" w:w="50"/>
              <w:right w:type="dxa" w:w="90"/>
            </w:tcMar>
          </w:tcPr>
          <w:p>
            <w:pPr>
              <w:spacing w:after="20"/>
            </w:pPr>
            <w:r>
              <w:rPr>
                <w:rFonts w:ascii="Calibri" w:cs="Calibri" w:eastAsia="Calibri" w:hAnsi="Calibri"/>
                <w:sz w:val="17"/>
                <w:szCs w:val="17"/>
              </w:rPr>
              <w:t xml:space="preserve">FAILS internal consistency. Resolve before any run; every Q_peak depends on it.</w:t>
            </w:r>
          </w:p>
        </w:tc>
      </w:tr>
      <w:tr>
        <w:trPr>
          <w:cantSplit/>
          <w:tblHeader w:val="off"/>
        </w:trPr>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Storm duration</w:t>
            </w:r>
          </w:p>
        </w:tc>
        <w:tc>
          <w:tcPr>
            <w:tcW w:type="dxa" w:w="2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td = 30 min</w:t>
            </w:r>
          </w:p>
        </w:tc>
        <w:tc>
          <w:tcPr>
            <w:tcW w:type="dxa" w:w="5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A secondary source describes the ERA curves as covering storm lengths of 1–3 h, so 30 min may be an extrapolation. Abdissa (2023) derived 10–180 min by disaggregating daily data.</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Bulti et al. (secondary); Abdissa 2023</w:t>
            </w:r>
          </w:p>
        </w:tc>
        <w:tc>
          <w:tcPr>
            <w:tcW w:type="dxa" w:w="30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CONCERN. Confirm the ERA duration range; tie duration to Tc.</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Rational Method applicability</w:t>
            </w:r>
          </w:p>
        </w:tc>
        <w:tc>
          <w:tcPr>
            <w:tcW w:type="dxa" w:w="2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Catchments 42–65 ha</w:t>
            </w:r>
          </w:p>
        </w:tc>
        <w:tc>
          <w:tcPr>
            <w:tcW w:type="dxa" w:w="5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Workshop record: area limit 0.5 km² extendable to 0.8 km²; method not to be used when Tc exceeds 30 min. Node 2 (65 ha) exceeds 50 ha. Full-flow channel travel time alone, from registry Q_cap, is about 13–20 min per reach before any overland time, so Tc may reach or exceed 30 min.</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Crown Agents/AfCAP 2012; own estimate (indicative)</w:t>
            </w:r>
          </w:p>
        </w:tc>
        <w:tc>
          <w:tcPr>
            <w:tcW w:type="dxa" w:w="30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CONCERN. Compute Tc per node. This supports using SWMM as the reference solver.</w:t>
            </w:r>
          </w:p>
        </w:tc>
      </w:tr>
      <w:tr>
        <w:trPr>
          <w:cantSplit/>
          <w:tblHeader w:val="off"/>
        </w:trPr>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Runoff coefficient C</w:t>
            </w:r>
          </w:p>
        </w:tc>
        <w:tc>
          <w:tcPr>
            <w:tcW w:type="dxa" w:w="2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0.78–0.85, “ERA Manual Table 5-2”</w:t>
            </w:r>
          </w:p>
        </w:tc>
        <w:tc>
          <w:tcPr>
            <w:tcW w:type="dxa" w:w="5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Table number not confirmed. Reference ranges in Tessema (2016): asphalt 0.70–0.95, concrete 0.80–0.95, business neighbourhood 0.30–0.70, pervious surfaces 0.15–0.48 by slope. Registry values imply near-fully sealed catchments.</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Tessema 2016, Tables 4-2 and 4-3</w:t>
            </w:r>
          </w:p>
        </w:tc>
        <w:tc>
          <w:tcPr>
            <w:tcW w:type="dxa" w:w="3092"/>
            <w:tcBorders>
              <w:top w:val="single" w:color="A0A0A0" w:sz="4"/>
              <w:left w:val="single" w:color="A0A0A0" w:sz="4"/>
              <w:bottom w:val="single" w:color="A0A0A0" w:sz="4"/>
              <w:right w:val="single" w:color="A0A0A0" w:sz="4"/>
            </w:tcBorders>
            <w:shd w:fill="FCE4D6" w:color="auto" w:val="clear"/>
            <w:tcMar>
              <w:top w:type="dxa" w:w="50"/>
              <w:left w:type="dxa" w:w="90"/>
              <w:bottom w:type="dxa" w:w="50"/>
              <w:right w:type="dxa" w:w="90"/>
            </w:tcMar>
          </w:tcPr>
          <w:p>
            <w:pPr>
              <w:spacing w:after="20"/>
            </w:pPr>
            <w:r>
              <w:rPr>
                <w:rFonts w:ascii="Calibri" w:cs="Calibri" w:eastAsia="Calibri" w:hAnsi="Calibri"/>
                <w:sz w:val="17"/>
                <w:szCs w:val="17"/>
              </w:rPr>
              <w:t xml:space="preserve">NOT VERIFIED. Derive a composite C from land-use mapping; carry a range, not a point.</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Manning n</w:t>
            </w:r>
          </w:p>
        </w:tc>
        <w:tc>
          <w:tcPr>
            <w:tcW w:type="dxa" w:w="2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0.015 “concrete with sediment”</w:t>
            </w:r>
          </w:p>
        </w:tc>
        <w:tc>
          <w:tcPr>
            <w:tcW w:type="dxa" w:w="5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Chow (1959): finished or trowel-finished concrete normal 0.012–0.013, maximum 0.014–0.015; culvert with bends and some debris 0.011–0.014. So 0.015 is the upper bound. Siltation is already modelled by β, so “with sediment” in n counts it twice.</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Chow 1959 via Ponce (SDSU)</w:t>
            </w:r>
          </w:p>
        </w:tc>
        <w:tc>
          <w:tcPr>
            <w:tcW w:type="dxa" w:w="3092"/>
            <w:tcBorders>
              <w:top w:val="single" w:color="A0A0A0" w:sz="4"/>
              <w:left w:val="single" w:color="A0A0A0" w:sz="4"/>
              <w:bottom w:val="single" w:color="A0A0A0" w:sz="4"/>
              <w:right w:val="single" w:color="A0A0A0" w:sz="4"/>
            </w:tcBorders>
            <w:shd w:fill="E2F0D9" w:color="auto" w:val="clear"/>
            <w:tcMar>
              <w:top w:type="dxa" w:w="50"/>
              <w:left w:type="dxa" w:w="90"/>
              <w:bottom w:type="dxa" w:w="50"/>
              <w:right w:type="dxa" w:w="90"/>
            </w:tcMar>
          </w:tcPr>
          <w:p>
            <w:pPr>
              <w:spacing w:after="20"/>
            </w:pPr>
            <w:r>
              <w:rPr>
                <w:rFonts w:ascii="Calibri" w:cs="Calibri" w:eastAsia="Calibri" w:hAnsi="Calibri"/>
                <w:sz w:val="17"/>
                <w:szCs w:val="17"/>
              </w:rPr>
              <w:t xml:space="preserve">VERIFIED as plausible upper bound. Use a triangular distribution (about 0.012–0.015) and keep β for siltation.</w:t>
            </w:r>
          </w:p>
        </w:tc>
      </w:tr>
      <w:tr>
        <w:trPr>
          <w:cantSplit/>
          <w:tblHeader w:val="off"/>
        </w:trPr>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Design return period</w:t>
            </w:r>
          </w:p>
        </w:tc>
        <w:tc>
          <w:tcPr>
            <w:tcW w:type="dxa" w:w="2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10-year baseline</w:t>
            </w:r>
          </w:p>
        </w:tc>
        <w:tc>
          <w:tcPr>
            <w:tcW w:type="dxa" w:w="5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Tessema (2016) used 10 years for storm drains. Kiwanuka (2019) cites AREMA (2003): storm water 10 years, culverts and ditches 50 years.</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Tessema 2016; Kiwanuka 2019</w:t>
            </w:r>
          </w:p>
        </w:tc>
        <w:tc>
          <w:tcPr>
            <w:tcW w:type="dxa" w:w="30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PARTLY. State the ERA/AACRA requirement for culverts; run 10, 25 and 50 years.</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Culvert dimensions</w:t>
            </w:r>
          </w:p>
        </w:tc>
        <w:tc>
          <w:tcPr>
            <w:tcW w:type="dxa" w:w="2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B × H: 1.5×1.2, 1.8×1.4, 1.5×1.2, 2.0×1.5 m</w:t>
            </w:r>
          </w:p>
        </w:tc>
        <w:tc>
          <w:tcPr>
            <w:tcW w:type="dxa" w:w="5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No accessible AACRA drawings. For scale, Kiwanuka (2019) reports an existing 4000 × 3300 mm box culvert on a nearby LRT stretch (a different structure). Number of barrels at Nodes 2 and 4 (“twin”, “double”) unstated.</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Kiwanuka 2019</w:t>
            </w:r>
          </w:p>
        </w:tc>
        <w:tc>
          <w:tcPr>
            <w:tcW w:type="dxa" w:w="3092"/>
            <w:tcBorders>
              <w:top w:val="single" w:color="A0A0A0" w:sz="4"/>
              <w:left w:val="single" w:color="A0A0A0" w:sz="4"/>
              <w:bottom w:val="single" w:color="A0A0A0" w:sz="4"/>
              <w:right w:val="single" w:color="A0A0A0" w:sz="4"/>
            </w:tcBorders>
            <w:shd w:fill="FCE4D6" w:color="auto" w:val="clear"/>
            <w:tcMar>
              <w:top w:type="dxa" w:w="50"/>
              <w:left w:type="dxa" w:w="90"/>
              <w:bottom w:type="dxa" w:w="50"/>
              <w:right w:type="dxa" w:w="90"/>
            </w:tcMar>
          </w:tcPr>
          <w:p>
            <w:pPr>
              <w:spacing w:after="20"/>
            </w:pPr>
            <w:r>
              <w:rPr>
                <w:rFonts w:ascii="Calibri" w:cs="Calibri" w:eastAsia="Calibri" w:hAnsi="Calibri"/>
                <w:sz w:val="17"/>
                <w:szCs w:val="17"/>
              </w:rPr>
              <w:t xml:space="preserve">NOT VERIFIED. Author 1: drawing numbers or survey; confirm barrels.</w:t>
            </w:r>
          </w:p>
        </w:tc>
      </w:tr>
      <w:tr>
        <w:trPr>
          <w:cantSplit/>
          <w:tblHeader w:val="off"/>
        </w:trPr>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Clean capacity Q_cap, β table</w:t>
            </w:r>
          </w:p>
        </w:tc>
        <w:tc>
          <w:tcPr>
            <w:tcW w:type="dxa" w:w="2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5.12, 7.04, 3.14, 6.28 m³/s at β = 0</w:t>
            </w:r>
          </w:p>
        </w:tc>
        <w:tc>
          <w:tcPr>
            <w:tcW w:type="dxa" w:w="5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Does not reproduce from the registry Manning formula. Closed box: 6.32, 8.07, 3.87, 8.43. Open top (registry perimeter B+2H): 7.85, 10.06, 4.81, 10.55. Reported/closed ratio varies by node (0.75–0.87), so no single correction explains it.</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Own recomputation</w:t>
            </w:r>
          </w:p>
        </w:tc>
        <w:tc>
          <w:tcPr>
            <w:tcW w:type="dxa" w:w="3092"/>
            <w:tcBorders>
              <w:top w:val="single" w:color="A0A0A0" w:sz="4"/>
              <w:left w:val="single" w:color="A0A0A0" w:sz="4"/>
              <w:bottom w:val="single" w:color="A0A0A0" w:sz="4"/>
              <w:right w:val="single" w:color="A0A0A0" w:sz="4"/>
            </w:tcBorders>
            <w:shd w:fill="F4B6A6" w:color="auto" w:val="clear"/>
            <w:tcMar>
              <w:top w:type="dxa" w:w="50"/>
              <w:left w:type="dxa" w:w="90"/>
              <w:bottom w:type="dxa" w:w="50"/>
              <w:right w:type="dxa" w:w="90"/>
            </w:tcMar>
          </w:tcPr>
          <w:p>
            <w:pPr>
              <w:spacing w:after="20"/>
            </w:pPr>
            <w:r>
              <w:rPr>
                <w:rFonts w:ascii="Calibri" w:cs="Calibri" w:eastAsia="Calibri" w:hAnsi="Calibri"/>
                <w:sz w:val="17"/>
                <w:szCs w:val="17"/>
              </w:rPr>
              <w:t xml:space="preserve">FAILS reproduction. Identify the tool or formula; rebuild the table in code module 1.</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Bed slopes</w:t>
            </w:r>
          </w:p>
        </w:tc>
        <w:tc>
          <w:tcPr>
            <w:tcW w:type="dxa" w:w="2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0.0120, 0.0080, 0.0045, 0.0055</w:t>
            </w:r>
          </w:p>
        </w:tc>
        <w:tc>
          <w:tcPr>
            <w:tcW w:type="dxa" w:w="5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Arithmetic verified from the registry elevations and lengths. The elevations come from a 30 m DEM and were not independently checked.</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Own recomputation</w:t>
            </w:r>
          </w:p>
        </w:tc>
        <w:tc>
          <w:tcPr>
            <w:tcW w:type="dxa" w:w="3092"/>
            <w:tcBorders>
              <w:top w:val="single" w:color="A0A0A0" w:sz="4"/>
              <w:left w:val="single" w:color="A0A0A0" w:sz="4"/>
              <w:bottom w:val="single" w:color="A0A0A0" w:sz="4"/>
              <w:right w:val="single" w:color="A0A0A0" w:sz="4"/>
            </w:tcBorders>
            <w:shd w:fill="E2F0D9" w:color="auto" w:val="clear"/>
            <w:tcMar>
              <w:top w:type="dxa" w:w="50"/>
              <w:left w:type="dxa" w:w="90"/>
              <w:bottom w:type="dxa" w:w="50"/>
              <w:right w:type="dxa" w:w="90"/>
            </w:tcMar>
          </w:tcPr>
          <w:p>
            <w:pPr>
              <w:spacing w:after="20"/>
            </w:pPr>
            <w:r>
              <w:rPr>
                <w:rFonts w:ascii="Calibri" w:cs="Calibri" w:eastAsia="Calibri" w:hAnsi="Calibri"/>
                <w:sz w:val="17"/>
                <w:szCs w:val="17"/>
              </w:rPr>
              <w:t xml:space="preserve">VERIFIED (arithmetic). Re-extract from Copernicus GLO-30 by script; report DEM error.</w:t>
            </w:r>
          </w:p>
        </w:tc>
      </w:tr>
      <w:tr>
        <w:trPr>
          <w:cantSplit/>
          <w:tblHeader w:val="off"/>
        </w:trPr>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Areas and coordinates</w:t>
            </w:r>
          </w:p>
        </w:tc>
        <w:tc>
          <w:tcPr>
            <w:tcW w:type="dxa" w:w="2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48, 65, 42, 58 ha; four coordinate pairs</w:t>
            </w:r>
          </w:p>
        </w:tc>
        <w:tc>
          <w:tcPr>
            <w:tcW w:type="dxa" w:w="5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Hydro-GIS delineation not reproducible from the registry; coordinates not cross-checked.</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None accessible</w:t>
            </w:r>
          </w:p>
        </w:tc>
        <w:tc>
          <w:tcPr>
            <w:tcW w:type="dxa" w:w="3092"/>
            <w:tcBorders>
              <w:top w:val="single" w:color="A0A0A0" w:sz="4"/>
              <w:left w:val="single" w:color="A0A0A0" w:sz="4"/>
              <w:bottom w:val="single" w:color="A0A0A0" w:sz="4"/>
              <w:right w:val="single" w:color="A0A0A0" w:sz="4"/>
            </w:tcBorders>
            <w:shd w:fill="FCE4D6" w:color="auto" w:val="clear"/>
            <w:tcMar>
              <w:top w:type="dxa" w:w="50"/>
              <w:left w:type="dxa" w:w="90"/>
              <w:bottom w:type="dxa" w:w="50"/>
              <w:right w:type="dxa" w:w="90"/>
            </w:tcMar>
          </w:tcPr>
          <w:p>
            <w:pPr>
              <w:spacing w:after="20"/>
            </w:pPr>
            <w:r>
              <w:rPr>
                <w:rFonts w:ascii="Calibri" w:cs="Calibri" w:eastAsia="Calibri" w:hAnsi="Calibri"/>
                <w:sz w:val="17"/>
                <w:szCs w:val="17"/>
              </w:rPr>
              <w:t xml:space="preserve">NOT VERIFIED. Re-delineate in code; publish boundary files.</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Surcharge volume</w:t>
            </w:r>
          </w:p>
        </w:tc>
        <w:tc>
          <w:tcPr>
            <w:tcW w:type="dxa" w:w="2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13,824 … 15,876 m³ per node; 65,916 m³ total</w:t>
            </w:r>
          </w:p>
        </w:tc>
        <w:tc>
          <w:tcPr>
            <w:tcW w:type="dxa" w:w="5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Arithmetic verified: (Q_peak − Q_cap) × 3600 s. The volume assumes constant excess for 1 h from a 30 min storm, and the corridor totals treat nodes as independent.</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Own recomputation</w:t>
            </w:r>
          </w:p>
        </w:tc>
        <w:tc>
          <w:tcPr>
            <w:tcW w:type="dxa" w:w="30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CONCERN. Replace with routed SWMM volumes.</w:t>
            </w:r>
          </w:p>
        </w:tc>
      </w:tr>
      <w:tr>
        <w:trPr>
          <w:cantSplit/>
          <w:tblHeader w:val="off"/>
        </w:trPr>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Siltation range</w:t>
            </w:r>
          </w:p>
        </w:tc>
        <w:tc>
          <w:tcPr>
            <w:tcW w:type="dxa" w:w="2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β = 0 to 0.75</w:t>
            </w:r>
          </w:p>
        </w:tc>
        <w:tc>
          <w:tcPr>
            <w:tcW w:type="dxa" w:w="5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No local study quantifies blockage ratios. Adugna et al. (2019) link overtopping to waste dumping without measurements; Alemu (2017) reports inlets closed by sediment; the Akaki Kality study is qualitative.</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Adugna 2019; Alemu 2017; Akaki Kality 2024</w:t>
            </w:r>
          </w:p>
        </w:tc>
        <w:tc>
          <w:tcPr>
            <w:tcW w:type="dxa" w:w="3092"/>
            <w:tcBorders>
              <w:top w:val="single" w:color="A0A0A0" w:sz="4"/>
              <w:left w:val="single" w:color="A0A0A0" w:sz="4"/>
              <w:bottom w:val="single" w:color="A0A0A0" w:sz="4"/>
              <w:right w:val="single" w:color="A0A0A0" w:sz="4"/>
            </w:tcBorders>
            <w:shd w:fill="FCE4D6" w:color="auto" w:val="clear"/>
            <w:tcMar>
              <w:top w:type="dxa" w:w="50"/>
              <w:left w:type="dxa" w:w="90"/>
              <w:bottom w:type="dxa" w:w="50"/>
              <w:right w:type="dxa" w:w="90"/>
            </w:tcMar>
          </w:tcPr>
          <w:p>
            <w:pPr>
              <w:spacing w:after="20"/>
            </w:pPr>
            <w:r>
              <w:rPr>
                <w:rFonts w:ascii="Calibri" w:cs="Calibri" w:eastAsia="Calibri" w:hAnsi="Calibri"/>
                <w:sz w:val="17"/>
                <w:szCs w:val="17"/>
              </w:rPr>
              <w:t xml:space="preserve">NOT VERIFIED. Treat β as an elicited assumption; test by sensitivity analysis; add a field or expert-elicitation step if possible.</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Climate scenario</w:t>
            </w:r>
          </w:p>
        </w:tc>
        <w:tc>
          <w:tcPr>
            <w:tcW w:type="dxa" w:w="2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Not in registry</w:t>
            </w:r>
          </w:p>
        </w:tc>
        <w:tc>
          <w:tcPr>
            <w:tcW w:type="dxa" w:w="5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Abdissa (2023) reports future intensities above historical of 27–79% (2010–2039), 37–88% (2040–2069), 55–104% (2069–2099) under RCP 8.5 (abstract).</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Abdissa 2023</w:t>
            </w:r>
          </w:p>
        </w:tc>
        <w:tc>
          <w:tcPr>
            <w:tcW w:type="dxa" w:w="3092"/>
            <w:tcBorders>
              <w:top w:val="single" w:color="A0A0A0" w:sz="4"/>
              <w:left w:val="single" w:color="A0A0A0" w:sz="4"/>
              <w:bottom w:val="single" w:color="A0A0A0" w:sz="4"/>
              <w:right w:val="single" w:color="A0A0A0" w:sz="4"/>
            </w:tcBorders>
            <w:shd w:fill="E2F0D9" w:color="auto" w:val="clear"/>
            <w:tcMar>
              <w:top w:type="dxa" w:w="50"/>
              <w:left w:type="dxa" w:w="90"/>
              <w:bottom w:type="dxa" w:w="50"/>
              <w:right w:type="dxa" w:w="90"/>
            </w:tcMar>
          </w:tcPr>
          <w:p>
            <w:pPr>
              <w:spacing w:after="20"/>
            </w:pPr>
            <w:r>
              <w:rPr>
                <w:rFonts w:ascii="Calibri" w:cs="Calibri" w:eastAsia="Calibri" w:hAnsi="Calibri"/>
                <w:sz w:val="17"/>
                <w:szCs w:val="17"/>
              </w:rPr>
              <w:t xml:space="preserve">USEFUL. Use as a storm-multiplier scenario after reading the full text.</w:t>
            </w:r>
          </w:p>
        </w:tc>
      </w:tr>
      <w:tr>
        <w:trPr>
          <w:cantSplit/>
          <w:tblHeader w:val="off"/>
        </w:trPr>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Observational validation</w:t>
            </w:r>
          </w:p>
        </w:tc>
        <w:tc>
          <w:tcPr>
            <w:tcW w:type="dxa" w:w="2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None</w:t>
            </w:r>
          </w:p>
        </w:tc>
        <w:tc>
          <w:tcPr>
            <w:tcW w:type="dxa" w:w="5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No flow records, flood marks or complaint logs in the registry.</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None</w:t>
            </w:r>
          </w:p>
        </w:tc>
        <w:tc>
          <w:tcPr>
            <w:tcW w:type="dxa" w:w="3092"/>
            <w:tcBorders>
              <w:top w:val="single" w:color="A0A0A0" w:sz="4"/>
              <w:left w:val="single" w:color="A0A0A0" w:sz="4"/>
              <w:bottom w:val="single" w:color="A0A0A0" w:sz="4"/>
              <w:right w:val="single" w:color="A0A0A0" w:sz="4"/>
            </w:tcBorders>
            <w:shd w:fill="F4B6A6" w:color="auto" w:val="clear"/>
            <w:tcMar>
              <w:top w:type="dxa" w:w="50"/>
              <w:left w:type="dxa" w:w="90"/>
              <w:bottom w:type="dxa" w:w="50"/>
              <w:right w:type="dxa" w:w="90"/>
            </w:tcMar>
          </w:tcPr>
          <w:p>
            <w:pPr>
              <w:spacing w:after="20"/>
            </w:pPr>
            <w:r>
              <w:rPr>
                <w:rFonts w:ascii="Calibri" w:cs="Calibri" w:eastAsia="Calibri" w:hAnsi="Calibri"/>
                <w:sz w:val="17"/>
                <w:szCs w:val="17"/>
              </w:rPr>
              <w:t xml:space="preserve">NONE. Say so; frame results as verification against the solver, not validation against floods.</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Registry title</w:t>
            </w:r>
          </w:p>
        </w:tc>
        <w:tc>
          <w:tcPr>
            <w:tcW w:type="dxa" w:w="2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“Empirical” data registry</w:t>
            </w:r>
          </w:p>
        </w:tc>
        <w:tc>
          <w:tcPr>
            <w:tcW w:type="dxa" w:w="5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Values are desk-derived (DEM, manuals, assumptions), not measured.</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w:t>
            </w:r>
          </w:p>
        </w:tc>
        <w:tc>
          <w:tcPr>
            <w:tcW w:type="dxa" w:w="30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CONCERN. Rename “desk-study data registry” in the paper.</w:t>
            </w:r>
          </w:p>
        </w:tc>
      </w:tr>
    </w:tbl>
    <w:p>
      <w:pPr>
        <w:sectPr>
          <w:footerReference w:type="default" r:id="rId6"/>
          <w:pgSz w:w="16838" w:h="11906" w:orient="landscape"/>
          <w:pgMar w:top="1100" w:right="1273" w:bottom="1100" w:left="1273" w:header="708" w:footer="708" w:gutter="0"/>
          <w:pgNumType/>
          <w:docGrid w:linePitch="360"/>
        </w:sectPr>
      </w:pPr>
    </w:p>
    <w:p>
      <w:pPr>
        <w:pStyle w:val="Heading1"/>
      </w:pPr>
      <w:r>
        <w:rPr>
          <w:rFonts w:ascii="Calibri" w:cs="Calibri" w:eastAsia="Calibri" w:hAnsi="Calibri"/>
        </w:rPr>
        <w:t xml:space="preserve">Part B. Detailed IMRaD Outline</w:t>
      </w:r>
    </w:p>
    <w:p>
      <w:pPr>
        <w:spacing w:after="120" w:line="276"/>
      </w:pPr>
      <w:r>
        <w:rPr>
          <w:rFonts w:ascii="Calibri" w:cs="Calibri" w:eastAsia="Calibri" w:hAnsi="Calibri"/>
          <w:i/>
          <w:iCs/>
          <w:sz w:val="20"/>
          <w:szCs w:val="20"/>
        </w:rPr>
        <w:t xml:space="preserve">Keywords: surrogate modelling; digital twin; Latin Hypercube Sampling; culvert capacity; siltation; structural reliability; SWMM; Addis Ababa. Graphical abstract: Figure 1.</w:t>
      </w:r>
    </w:p>
    <w:p>
      <w:pPr>
        <w:pStyle w:val="Heading2"/>
      </w:pPr>
      <w:r>
        <w:rPr>
          <w:rFonts w:ascii="Calibri" w:cs="Calibri" w:eastAsia="Calibri" w:hAnsi="Calibri"/>
        </w:rPr>
        <w:t xml:space="preserve">Abstract (structured, about 250 words)</w:t>
      </w:r>
    </w:p>
    <w:p>
      <w:pPr>
        <w:pStyle w:val="ListParagraph"/>
        <w:numPr>
          <w:ilvl w:val="0"/>
          <w:numId w:val="2"/>
        </w:numPr>
        <w:spacing w:after="50" w:line="264"/>
      </w:pPr>
      <w:r>
        <w:rPr>
          <w:rFonts w:ascii="Calibri" w:cs="Calibri" w:eastAsia="Calibri" w:hAnsi="Calibri"/>
        </w:rPr>
        <w:t xml:space="preserve">Problem, gap, method, quantitative results (R², speed-up factor, failure probability at the weakest node) and the maintenance outcome. Results are written only after the code has run.</w:t>
      </w:r>
    </w:p>
    <w:p>
      <w:pPr>
        <w:pStyle w:val="Heading2"/>
      </w:pPr>
      <w:r>
        <w:rPr>
          <w:rFonts w:ascii="Calibri" w:cs="Calibri" w:eastAsia="Calibri" w:hAnsi="Calibri"/>
        </w:rPr>
        <w:t xml:space="preserve">1. Introduction</w:t>
      </w:r>
    </w:p>
    <w:p>
      <w:pPr>
        <w:pStyle w:val="ListParagraph"/>
        <w:numPr>
          <w:ilvl w:val="0"/>
          <w:numId w:val="2"/>
        </w:numPr>
        <w:spacing w:after="50" w:line="264"/>
      </w:pPr>
      <w:r>
        <w:rPr>
          <w:rFonts w:ascii="Calibri" w:cs="Calibri" w:eastAsia="Calibri" w:hAnsi="Calibri"/>
        </w:rPr>
        <w:t xml:space="preserve">1.1 Urban pluvial flooding and drainage failure in Addis Ababa: surface sealing, no citywide drainage master plan, waste dumping</w:t>
      </w:r>
    </w:p>
    <w:p>
      <w:pPr>
        <w:pStyle w:val="ListParagraph"/>
        <w:numPr>
          <w:ilvl w:val="0"/>
          <w:numId w:val="2"/>
        </w:numPr>
        <w:spacing w:after="50" w:line="264"/>
      </w:pPr>
      <w:r>
        <w:rPr>
          <w:rFonts w:ascii="Calibri" w:cs="Calibri" w:eastAsia="Calibri" w:hAnsi="Calibri"/>
        </w:rPr>
        <w:t xml:space="preserve">1.2 Deterministic sizing and auditing (Rational Method, Manning) and its limits: one storm, one C, one n, clean capacity; Rational validity limits (area, Tc)</w:t>
      </w:r>
    </w:p>
    <w:p>
      <w:pPr>
        <w:pStyle w:val="ListParagraph"/>
        <w:numPr>
          <w:ilvl w:val="0"/>
          <w:numId w:val="2"/>
        </w:numPr>
        <w:spacing w:after="50" w:line="264"/>
      </w:pPr>
      <w:r>
        <w:rPr>
          <w:rFonts w:ascii="Calibri" w:cs="Calibri" w:eastAsia="Calibri" w:hAnsi="Calibri"/>
        </w:rPr>
        <w:t xml:space="preserve">1.3 Surrogates and digital twins for water infrastructure (ANN, GPR, polynomial chaos, DeepONet/FNO) and the reliability-engineering lineage</w:t>
      </w:r>
    </w:p>
    <w:p>
      <w:pPr>
        <w:pStyle w:val="ListParagraph"/>
        <w:numPr>
          <w:ilvl w:val="0"/>
          <w:numId w:val="2"/>
        </w:numPr>
        <w:spacing w:after="50" w:line="264"/>
      </w:pPr>
      <w:r>
        <w:rPr>
          <w:rFonts w:ascii="Calibri" w:cs="Calibri" w:eastAsia="Calibri" w:hAnsi="Calibri"/>
        </w:rPr>
        <w:t xml:space="preserve">1.4 Gaps: (a) audits are not linked to failure probability; (b) siltation is treated qualitatively; (c) surrogate studies rarely end in maintenance decisions; (d) data-scarce corridors are under-studied</w:t>
      </w:r>
    </w:p>
    <w:p>
      <w:pPr>
        <w:pStyle w:val="ListParagraph"/>
        <w:numPr>
          <w:ilvl w:val="0"/>
          <w:numId w:val="2"/>
        </w:numPr>
        <w:spacing w:after="50" w:line="264"/>
      </w:pPr>
      <w:r>
        <w:rPr>
          <w:rFonts w:ascii="Calibri" w:cs="Calibri" w:eastAsia="Calibri" w:hAnsi="Calibri"/>
        </w:rPr>
        <w:t xml:space="preserve">1.5 Objectives and numbered contributions, mapped to Sections 2–5</w:t>
      </w:r>
    </w:p>
    <w:p>
      <w:pPr>
        <w:pStyle w:val="ListParagraph"/>
        <w:numPr>
          <w:ilvl w:val="0"/>
          <w:numId w:val="2"/>
        </w:numPr>
        <w:spacing w:after="50" w:line="264"/>
      </w:pPr>
      <w:r>
        <w:rPr>
          <w:rFonts w:ascii="Calibri" w:cs="Calibri" w:eastAsia="Calibri" w:hAnsi="Calibri"/>
        </w:rPr>
        <w:t xml:space="preserve">1.6 Paper organisation</w:t>
      </w:r>
    </w:p>
    <w:p>
      <w:pPr>
        <w:pStyle w:val="Heading2"/>
      </w:pPr>
      <w:r>
        <w:rPr>
          <w:rFonts w:ascii="Calibri" w:cs="Calibri" w:eastAsia="Calibri" w:hAnsi="Calibri"/>
        </w:rPr>
        <w:t xml:space="preserve">2. Study Area and Desk-Study Baseline</w:t>
      </w:r>
    </w:p>
    <w:p>
      <w:pPr>
        <w:pStyle w:val="ListParagraph"/>
        <w:numPr>
          <w:ilvl w:val="0"/>
          <w:numId w:val="2"/>
        </w:numPr>
        <w:spacing w:after="50" w:line="264"/>
      </w:pPr>
      <w:r>
        <w:rPr>
          <w:rFonts w:ascii="Calibri" w:cs="Calibri" w:eastAsia="Calibri" w:hAnsi="Calibri"/>
        </w:rPr>
        <w:t xml:space="preserve">2.1 Jemo–Lancha corridor, Nifas Silk-Lafto: Node 1 Jemo 1, Node 2 Jemo 2/3, Node 3 German Sq., Node 4 Lancha outlet (registry: 2,240 to 2,172 m over 8,750 m of reach; to be re-extracted)</w:t>
      </w:r>
    </w:p>
    <w:p>
      <w:pPr>
        <w:pStyle w:val="ListParagraph"/>
        <w:numPr>
          <w:ilvl w:val="0"/>
          <w:numId w:val="2"/>
        </w:numPr>
        <w:spacing w:after="50" w:line="264"/>
      </w:pPr>
      <w:r>
        <w:rPr>
          <w:rFonts w:ascii="Calibri" w:cs="Calibri" w:eastAsia="Calibri" w:hAnsi="Calibri"/>
        </w:rPr>
        <w:t xml:space="preserve">2.2 Data sources and provenance: DEM, IDF, AACRA culvert drawings, ERA/AACRA standards (Table 1; register in Supplement S1)</w:t>
      </w:r>
    </w:p>
    <w:p>
      <w:pPr>
        <w:pStyle w:val="ListParagraph"/>
        <w:numPr>
          <w:ilvl w:val="0"/>
          <w:numId w:val="2"/>
        </w:numPr>
        <w:spacing w:after="50" w:line="264"/>
      </w:pPr>
      <w:r>
        <w:rPr>
          <w:rFonts w:ascii="Calibri" w:cs="Calibri" w:eastAsia="Calibri" w:hAnsi="Calibri"/>
        </w:rPr>
        <w:t xml:space="preserve">2.3 Node data: coordinates, elevations, length, slope, catchment area, C, culvert B × H, n</w:t>
      </w:r>
    </w:p>
    <w:p>
      <w:pPr>
        <w:pStyle w:val="ListParagraph"/>
        <w:numPr>
          <w:ilvl w:val="0"/>
          <w:numId w:val="2"/>
        </w:numPr>
        <w:spacing w:after="50" w:line="264"/>
      </w:pPr>
      <w:r>
        <w:rPr>
          <w:rFonts w:ascii="Calibri" w:cs="Calibri" w:eastAsia="Calibri" w:hAnsi="Calibri"/>
        </w:rPr>
        <w:t xml:space="preserve">2.4 Rainfall: IDF form and constants (verified or replaced), return periods 2–100 years, duration tied to Tc, climate multipliers from Abdissa (2023)</w:t>
      </w:r>
    </w:p>
    <w:p>
      <w:pPr>
        <w:pStyle w:val="ListParagraph"/>
        <w:numPr>
          <w:ilvl w:val="0"/>
          <w:numId w:val="2"/>
        </w:numPr>
        <w:spacing w:after="50" w:line="264"/>
      </w:pPr>
      <w:r>
        <w:rPr>
          <w:rFonts w:ascii="Calibri" w:cs="Calibri" w:eastAsia="Calibri" w:hAnsi="Calibri"/>
        </w:rPr>
        <w:t xml:space="preserve">2.5 Deterministic hydraulic audit</w:t>
      </w:r>
    </w:p>
    <w:p>
      <w:pPr>
        <w:pStyle w:val="ListParagraph"/>
        <w:numPr>
          <w:ilvl w:val="1"/>
          <w:numId w:val="2"/>
        </w:numPr>
        <w:spacing w:after="50" w:line="264"/>
      </w:pPr>
      <w:r>
        <w:rPr>
          <w:rFonts w:ascii="Calibri" w:cs="Calibri" w:eastAsia="Calibri" w:hAnsi="Calibri"/>
        </w:rPr>
        <w:t xml:space="preserve">Rational Method Q_peak = 0.00278·C·i·A</w:t>
      </w:r>
    </w:p>
    <w:p>
      <w:pPr>
        <w:pStyle w:val="ListParagraph"/>
        <w:numPr>
          <w:ilvl w:val="1"/>
          <w:numId w:val="2"/>
        </w:numPr>
        <w:spacing w:after="50" w:line="264"/>
      </w:pPr>
      <w:r>
        <w:rPr>
          <w:rFonts w:ascii="Calibri" w:cs="Calibri" w:eastAsia="Calibri" w:hAnsi="Calibri"/>
        </w:rPr>
        <w:t xml:space="preserve">Manning capacity with siltation: H_eff = H(1 − β), A_eff = B·H_eff, Q_cap = (1/n)·A_eff·R^(2/3)·S^(1/2)</w:t>
      </w:r>
    </w:p>
    <w:p>
      <w:pPr>
        <w:pStyle w:val="ListParagraph"/>
        <w:numPr>
          <w:ilvl w:val="1"/>
          <w:numId w:val="2"/>
        </w:numPr>
        <w:spacing w:after="50" w:line="264"/>
      </w:pPr>
      <w:r>
        <w:rPr>
          <w:rFonts w:ascii="Calibri" w:cs="Calibri" w:eastAsia="Calibri" w:hAnsi="Calibri"/>
        </w:rPr>
        <w:t xml:space="preserve">Capacity factor CF = Q_peak/Q_cap; critical β per node; Tc and Rational-validity check</w:t>
      </w:r>
    </w:p>
    <w:p>
      <w:pPr>
        <w:pStyle w:val="ListParagraph"/>
        <w:numPr>
          <w:ilvl w:val="0"/>
          <w:numId w:val="2"/>
        </w:numPr>
        <w:spacing w:after="50" w:line="264"/>
      </w:pPr>
      <w:r>
        <w:rPr>
          <w:rFonts w:ascii="Calibri" w:cs="Calibri" w:eastAsia="Calibri" w:hAnsi="Calibri"/>
        </w:rPr>
        <w:t xml:space="preserve">2.6 Failure mechanisms: siltation and waste → capacity loss → surcharge and street overtopping → road and asphalt damage (qualitative, supported by local studies)</w:t>
      </w:r>
    </w:p>
    <w:p>
      <w:pPr>
        <w:pStyle w:val="ListParagraph"/>
        <w:numPr>
          <w:ilvl w:val="0"/>
          <w:numId w:val="2"/>
        </w:numPr>
        <w:spacing w:after="50" w:line="264"/>
      </w:pPr>
      <w:r>
        <w:rPr>
          <w:rFonts w:ascii="Calibri" w:cs="Calibri" w:eastAsia="Calibri" w:hAnsi="Calibri"/>
        </w:rPr>
        <w:t xml:space="preserve">2.7 Evidence and its limits: no gauges, no flood marks; any complaint logs or photographs obtained later</w:t>
      </w:r>
    </w:p>
    <w:p>
      <w:pPr>
        <w:pStyle w:val="Heading2"/>
      </w:pPr>
      <w:r>
        <w:rPr>
          <w:rFonts w:ascii="Calibri" w:cs="Calibri" w:eastAsia="Calibri" w:hAnsi="Calibri"/>
        </w:rPr>
        <w:t xml:space="preserve">3. Methodology</w:t>
      </w:r>
    </w:p>
    <w:p>
      <w:pPr>
        <w:pStyle w:val="ListParagraph"/>
        <w:numPr>
          <w:ilvl w:val="0"/>
          <w:numId w:val="2"/>
        </w:numPr>
        <w:spacing w:after="50" w:line="264"/>
      </w:pPr>
      <w:r>
        <w:rPr>
          <w:rFonts w:ascii="Calibri" w:cs="Calibri" w:eastAsia="Calibri" w:hAnsi="Calibri"/>
        </w:rPr>
        <w:t xml:space="preserve">3.1 Framework overview (Figure 1)</w:t>
      </w:r>
    </w:p>
    <w:p>
      <w:pPr>
        <w:pStyle w:val="ListParagraph"/>
        <w:numPr>
          <w:ilvl w:val="0"/>
          <w:numId w:val="2"/>
        </w:numPr>
        <w:spacing w:after="50" w:line="264"/>
      </w:pPr>
      <w:r>
        <w:rPr>
          <w:rFonts w:ascii="Calibri" w:cs="Calibri" w:eastAsia="Calibri" w:hAnsi="Calibri"/>
        </w:rPr>
        <w:t xml:space="preserve">3.2 Problem formulation</w:t>
      </w:r>
    </w:p>
    <w:p>
      <w:pPr>
        <w:pStyle w:val="ListParagraph"/>
        <w:numPr>
          <w:ilvl w:val="1"/>
          <w:numId w:val="2"/>
        </w:numPr>
        <w:spacing w:after="50" w:line="264"/>
      </w:pPr>
      <w:r>
        <w:rPr>
          <w:rFonts w:ascii="Calibri" w:cs="Calibri" w:eastAsia="Calibri" w:hAnsi="Calibri"/>
        </w:rPr>
        <w:t xml:space="preserve">Input vector x = [storm intensity multiplier, storm duration, hyetograph peak position; for k = 1…4: C_k, n_k, S_k, β_k]; d = 19 (adding A_k gives 23)</w:t>
      </w:r>
    </w:p>
    <w:p>
      <w:pPr>
        <w:pStyle w:val="ListParagraph"/>
        <w:numPr>
          <w:ilvl w:val="1"/>
          <w:numId w:val="2"/>
        </w:numPr>
        <w:spacing w:after="50" w:line="264"/>
      </w:pPr>
      <w:r>
        <w:rPr>
          <w:rFonts w:ascii="Calibri" w:cs="Calibri" w:eastAsia="Calibri" w:hAnsi="Calibri"/>
        </w:rPr>
        <w:t xml:space="preserve">Algebraic limit state g_k = Q_cap,eff,k − Q_peak,k; SWMM outputs: flooded volume, peak flooding rate, maximum water level; ΔQ_k = max(0, −g_k)</w:t>
      </w:r>
    </w:p>
    <w:p>
      <w:pPr>
        <w:pStyle w:val="ListParagraph"/>
        <w:numPr>
          <w:ilvl w:val="0"/>
          <w:numId w:val="2"/>
        </w:numPr>
        <w:spacing w:after="50" w:line="264"/>
      </w:pPr>
      <w:r>
        <w:rPr>
          <w:rFonts w:ascii="Calibri" w:cs="Calibri" w:eastAsia="Calibri" w:hAnsi="Calibri"/>
        </w:rPr>
        <w:t xml:space="preserve">3.3 Uncertainty characterisation (Table 4)</w:t>
      </w:r>
    </w:p>
    <w:p>
      <w:pPr>
        <w:pStyle w:val="ListParagraph"/>
        <w:numPr>
          <w:ilvl w:val="1"/>
          <w:numId w:val="2"/>
        </w:numPr>
        <w:spacing w:after="50" w:line="264"/>
      </w:pPr>
      <w:r>
        <w:rPr>
          <w:rFonts w:ascii="Calibri" w:cs="Calibri" w:eastAsia="Calibri" w:hAnsi="Calibri"/>
        </w:rPr>
        <w:t xml:space="preserve">Storm: from IDF with Gumbel/GEV, or fixed return-period scenarios</w:t>
      </w:r>
    </w:p>
    <w:p>
      <w:pPr>
        <w:pStyle w:val="ListParagraph"/>
        <w:numPr>
          <w:ilvl w:val="1"/>
          <w:numId w:val="2"/>
        </w:numPr>
        <w:spacing w:after="50" w:line="264"/>
      </w:pPr>
      <w:r>
        <w:rPr>
          <w:rFonts w:ascii="Calibri" w:cs="Calibri" w:eastAsia="Calibri" w:hAnsi="Calibri"/>
        </w:rPr>
        <w:t xml:space="preserve">C: Beta or triangular within land-use ranges; n: triangular about 0.012–0.015; S: normal about the DEM value with DEM error; β: Beta, elicited and flagged as an assumption</w:t>
      </w:r>
    </w:p>
    <w:p>
      <w:pPr>
        <w:pStyle w:val="ListParagraph"/>
        <w:numPr>
          <w:ilvl w:val="1"/>
          <w:numId w:val="2"/>
        </w:numPr>
        <w:spacing w:after="50" w:line="264"/>
      </w:pPr>
      <w:r>
        <w:rPr>
          <w:rFonts w:ascii="Calibri" w:cs="Calibri" w:eastAsia="Calibri" w:hAnsi="Calibri"/>
        </w:rPr>
        <w:t xml:space="preserve">Gaussian copula for correlation (for example common maintenance regime across nodes)</w:t>
      </w:r>
    </w:p>
    <w:p>
      <w:pPr>
        <w:pStyle w:val="ListParagraph"/>
        <w:numPr>
          <w:ilvl w:val="0"/>
          <w:numId w:val="2"/>
        </w:numPr>
        <w:spacing w:after="50" w:line="264"/>
      </w:pPr>
      <w:r>
        <w:rPr>
          <w:rFonts w:ascii="Calibri" w:cs="Calibri" w:eastAsia="Calibri" w:hAnsi="Calibri"/>
        </w:rPr>
        <w:t xml:space="preserve">3.4 High-fidelity model: SWMM dynamic wave through PySWMM</w:t>
      </w:r>
    </w:p>
    <w:p>
      <w:pPr>
        <w:pStyle w:val="ListParagraph"/>
        <w:numPr>
          <w:ilvl w:val="1"/>
          <w:numId w:val="2"/>
        </w:numPr>
        <w:spacing w:after="50" w:line="264"/>
      </w:pPr>
      <w:r>
        <w:rPr>
          <w:rFonts w:ascii="Calibri" w:cs="Calibri" w:eastAsia="Calibri" w:hAnsi="Calibri"/>
        </w:rPr>
        <w:t xml:space="preserve">Four subcatchments, four box conduits, outfall; siltation as reduced effective section; independent or routed-in-series structure (decision needed)</w:t>
      </w:r>
    </w:p>
    <w:p>
      <w:pPr>
        <w:pStyle w:val="ListParagraph"/>
        <w:numPr>
          <w:ilvl w:val="1"/>
          <w:numId w:val="2"/>
        </w:numPr>
        <w:spacing w:after="50" w:line="264"/>
      </w:pPr>
      <w:r>
        <w:rPr>
          <w:rFonts w:ascii="Calibri" w:cs="Calibri" w:eastAsia="Calibri" w:hAnsi="Calibri"/>
        </w:rPr>
        <w:t xml:space="preserve">Continuity-error check; comparison with the Rational baseline (Fisha 2015 reports near-equal peaks on another corridor)</w:t>
      </w:r>
    </w:p>
    <w:p>
      <w:pPr>
        <w:pStyle w:val="ListParagraph"/>
        <w:numPr>
          <w:ilvl w:val="0"/>
          <w:numId w:val="2"/>
        </w:numPr>
        <w:spacing w:after="50" w:line="264"/>
      </w:pPr>
      <w:r>
        <w:rPr>
          <w:rFonts w:ascii="Calibri" w:cs="Calibri" w:eastAsia="Calibri" w:hAnsi="Calibri"/>
        </w:rPr>
        <w:t xml:space="preserve">3.5 Latin Hypercube Sampling</w:t>
      </w:r>
    </w:p>
    <w:p>
      <w:pPr>
        <w:pStyle w:val="ListParagraph"/>
        <w:numPr>
          <w:ilvl w:val="1"/>
          <w:numId w:val="2"/>
        </w:numPr>
        <w:spacing w:after="50" w:line="264"/>
      </w:pPr>
      <w:r>
        <w:rPr>
          <w:rFonts w:ascii="Calibri" w:cs="Calibri" w:eastAsia="Calibri" w:hAnsi="Calibri"/>
        </w:rPr>
        <w:t xml:space="preserve">N about 2,000–5,000 (100–250 per dimension), maximin optimisation, convergence of output statistics</w:t>
      </w:r>
    </w:p>
    <w:p>
      <w:pPr>
        <w:pStyle w:val="ListParagraph"/>
        <w:numPr>
          <w:ilvl w:val="1"/>
          <w:numId w:val="2"/>
        </w:numPr>
        <w:spacing w:after="50" w:line="264"/>
      </w:pPr>
      <w:r>
        <w:rPr>
          <w:rFonts w:ascii="Calibri" w:cs="Calibri" w:eastAsia="Calibri" w:hAnsi="Calibri"/>
        </w:rPr>
        <w:t xml:space="preserve">Split 70/15/15 plus a tail test set (return period of at least 50 years, β of at least 0.5)</w:t>
      </w:r>
    </w:p>
    <w:p>
      <w:pPr>
        <w:pStyle w:val="ListParagraph"/>
        <w:numPr>
          <w:ilvl w:val="0"/>
          <w:numId w:val="2"/>
        </w:numPr>
        <w:spacing w:after="50" w:line="264"/>
      </w:pPr>
      <w:r>
        <w:rPr>
          <w:rFonts w:ascii="Calibri" w:cs="Calibri" w:eastAsia="Calibri" w:hAnsi="Calibri"/>
        </w:rPr>
        <w:t xml:space="preserve">3.6 Surrogates: ANN ensemble, GPR (Matérn-5/2 ARD, sparse if needed), polynomial chaos baseline; neural operator only if hydrograph outputs are used; tuning and cross-validation</w:t>
      </w:r>
    </w:p>
    <w:p>
      <w:pPr>
        <w:pStyle w:val="ListParagraph"/>
        <w:numPr>
          <w:ilvl w:val="0"/>
          <w:numId w:val="2"/>
        </w:numPr>
        <w:spacing w:after="50" w:line="264"/>
      </w:pPr>
      <w:r>
        <w:rPr>
          <w:rFonts w:ascii="Calibri" w:cs="Calibri" w:eastAsia="Calibri" w:hAnsi="Calibri"/>
        </w:rPr>
        <w:t xml:space="preserve">3.7 Verification metrics: R², RMSE, NRMSE, MAE, Q², maximum error; F1 and ROC-AUC for surcharge classification; PICP at 95% and CRPS; wall-clock speed-up. Language: verification against the solver, not validation against observed floods</w:t>
      </w:r>
    </w:p>
    <w:p>
      <w:pPr>
        <w:pStyle w:val="ListParagraph"/>
        <w:numPr>
          <w:ilvl w:val="0"/>
          <w:numId w:val="2"/>
        </w:numPr>
        <w:spacing w:after="50" w:line="264"/>
      </w:pPr>
      <w:r>
        <w:rPr>
          <w:rFonts w:ascii="Calibri" w:cs="Calibri" w:eastAsia="Calibri" w:hAnsi="Calibri"/>
        </w:rPr>
        <w:t xml:space="preserve">3.8 Reliability and sensitivity</w:t>
      </w:r>
    </w:p>
    <w:p>
      <w:pPr>
        <w:pStyle w:val="ListParagraph"/>
        <w:numPr>
          <w:ilvl w:val="1"/>
          <w:numId w:val="2"/>
        </w:numPr>
        <w:spacing w:after="50" w:line="264"/>
      </w:pPr>
      <w:r>
        <w:rPr>
          <w:rFonts w:ascii="Calibri" w:cs="Calibri" w:eastAsia="Calibri" w:hAnsi="Calibri"/>
        </w:rPr>
        <w:t xml:space="preserve">Conditional failure probability P_f given a return-period scenario, and annual P_f by integrating over return period; β_R = −Φ⁻¹(P_f)</w:t>
      </w:r>
    </w:p>
    <w:p>
      <w:pPr>
        <w:pStyle w:val="ListParagraph"/>
        <w:numPr>
          <w:ilvl w:val="1"/>
          <w:numId w:val="2"/>
        </w:numPr>
        <w:spacing w:after="50" w:line="264"/>
      </w:pPr>
      <w:r>
        <w:rPr>
          <w:rFonts w:ascii="Calibri" w:cs="Calibri" w:eastAsia="Calibri" w:hAnsi="Calibri"/>
        </w:rPr>
        <w:t xml:space="preserve">Fragility curves, Sobol indices (S_i, S_Ti), direct-SWMM spot-checks, optional active learning near g ≈ 0</w:t>
      </w:r>
    </w:p>
    <w:p>
      <w:pPr>
        <w:pStyle w:val="ListParagraph"/>
        <w:numPr>
          <w:ilvl w:val="0"/>
          <w:numId w:val="2"/>
        </w:numPr>
        <w:spacing w:after="50" w:line="264"/>
      </w:pPr>
      <w:r>
        <w:rPr>
          <w:rFonts w:ascii="Calibri" w:cs="Calibri" w:eastAsia="Calibri" w:hAnsi="Calibri"/>
        </w:rPr>
        <w:t xml:space="preserve">3.9 Automated maintenance matrix</w:t>
      </w:r>
    </w:p>
    <w:p>
      <w:pPr>
        <w:pStyle w:val="ListParagraph"/>
        <w:numPr>
          <w:ilvl w:val="1"/>
          <w:numId w:val="2"/>
        </w:numPr>
        <w:spacing w:after="50" w:line="264"/>
      </w:pPr>
      <w:r>
        <w:rPr>
          <w:rFonts w:ascii="Calibri" w:cs="Calibri" w:eastAsia="Calibri" w:hAnsi="Calibri"/>
        </w:rPr>
        <w:t xml:space="preserve">Risk R_k = P_f,k × C_k, with consequence index C_k from surcharge volume, catchment area, downstream position and road criticality [TO CONFIRM]</w:t>
      </w:r>
    </w:p>
    <w:p>
      <w:pPr>
        <w:pStyle w:val="ListParagraph"/>
        <w:numPr>
          <w:ilvl w:val="1"/>
          <w:numId w:val="2"/>
        </w:numPr>
        <w:spacing w:after="50" w:line="264"/>
      </w:pPr>
      <w:r>
        <w:rPr>
          <w:rFonts w:ascii="Calibri" w:cs="Calibri" w:eastAsia="Calibri" w:hAnsi="Calibri"/>
        </w:rPr>
        <w:t xml:space="preserve">Tier thresholds, inspection intervals from an assumed siltation growth rate [TO CONFIRM], what-if queries, cost-benefit logic</w:t>
      </w:r>
    </w:p>
    <w:p>
      <w:pPr>
        <w:pStyle w:val="Heading2"/>
      </w:pPr>
      <w:r>
        <w:rPr>
          <w:rFonts w:ascii="Calibri" w:cs="Calibri" w:eastAsia="Calibri" w:hAnsi="Calibri"/>
        </w:rPr>
        <w:t xml:space="preserve">4. Results</w:t>
      </w:r>
    </w:p>
    <w:p>
      <w:pPr>
        <w:pStyle w:val="ListParagraph"/>
        <w:numPr>
          <w:ilvl w:val="0"/>
          <w:numId w:val="2"/>
        </w:numPr>
        <w:spacing w:after="50" w:line="264"/>
      </w:pPr>
      <w:r>
        <w:rPr>
          <w:rFonts w:ascii="Calibri" w:cs="Calibri" w:eastAsia="Calibri" w:hAnsi="Calibri"/>
        </w:rPr>
        <w:t xml:space="preserve">4.1 Recomputed deterministic audit: Q_peak, Q_cap(β), CF, critical β, Tc and validity table, hotspot ranking</w:t>
      </w:r>
    </w:p>
    <w:p>
      <w:pPr>
        <w:pStyle w:val="ListParagraph"/>
        <w:numPr>
          <w:ilvl w:val="0"/>
          <w:numId w:val="2"/>
        </w:numPr>
        <w:spacing w:after="50" w:line="264"/>
      </w:pPr>
      <w:r>
        <w:rPr>
          <w:rFonts w:ascii="Calibri" w:cs="Calibri" w:eastAsia="Calibri" w:hAnsi="Calibri"/>
        </w:rPr>
        <w:t xml:space="preserve">4.2 IDF check: formula, registry table and published curves compared (Figure 4)</w:t>
      </w:r>
    </w:p>
    <w:p>
      <w:pPr>
        <w:pStyle w:val="ListParagraph"/>
        <w:numPr>
          <w:ilvl w:val="0"/>
          <w:numId w:val="2"/>
        </w:numPr>
        <w:spacing w:after="50" w:line="264"/>
      </w:pPr>
      <w:r>
        <w:rPr>
          <w:rFonts w:ascii="Calibri" w:cs="Calibri" w:eastAsia="Calibri" w:hAnsi="Calibri"/>
        </w:rPr>
        <w:t xml:space="preserve">4.3 SWMM baseline versus Rational peaks, and effect of routing</w:t>
      </w:r>
    </w:p>
    <w:p>
      <w:pPr>
        <w:pStyle w:val="ListParagraph"/>
        <w:numPr>
          <w:ilvl w:val="0"/>
          <w:numId w:val="2"/>
        </w:numPr>
        <w:spacing w:after="50" w:line="264"/>
      </w:pPr>
      <w:r>
        <w:rPr>
          <w:rFonts w:ascii="Calibri" w:cs="Calibri" w:eastAsia="Calibri" w:hAnsi="Calibri"/>
        </w:rPr>
        <w:t xml:space="preserve">4.4 LHS dataset diagnostics</w:t>
      </w:r>
    </w:p>
    <w:p>
      <w:pPr>
        <w:pStyle w:val="ListParagraph"/>
        <w:numPr>
          <w:ilvl w:val="0"/>
          <w:numId w:val="2"/>
        </w:numPr>
        <w:spacing w:after="50" w:line="264"/>
      </w:pPr>
      <w:r>
        <w:rPr>
          <w:rFonts w:ascii="Calibri" w:cs="Calibri" w:eastAsia="Calibri" w:hAnsi="Calibri"/>
        </w:rPr>
        <w:t xml:space="preserve">4.5 Surrogate performance and model comparison, including tail behaviour</w:t>
      </w:r>
    </w:p>
    <w:p>
      <w:pPr>
        <w:pStyle w:val="ListParagraph"/>
        <w:numPr>
          <w:ilvl w:val="0"/>
          <w:numId w:val="2"/>
        </w:numPr>
        <w:spacing w:after="50" w:line="264"/>
      </w:pPr>
      <w:r>
        <w:rPr>
          <w:rFonts w:ascii="Calibri" w:cs="Calibri" w:eastAsia="Calibri" w:hAnsi="Calibri"/>
        </w:rPr>
        <w:t xml:space="preserve">4.6 Uncertainty calibration and computational speed-up</w:t>
      </w:r>
    </w:p>
    <w:p>
      <w:pPr>
        <w:pStyle w:val="ListParagraph"/>
        <w:numPr>
          <w:ilvl w:val="0"/>
          <w:numId w:val="2"/>
        </w:numPr>
        <w:spacing w:after="50" w:line="264"/>
      </w:pPr>
      <w:r>
        <w:rPr>
          <w:rFonts w:ascii="Calibri" w:cs="Calibri" w:eastAsia="Calibri" w:hAnsi="Calibri"/>
        </w:rPr>
        <w:t xml:space="preserve">4.7 Reliability: P_f and β_R per node, fragility curves</w:t>
      </w:r>
    </w:p>
    <w:p>
      <w:pPr>
        <w:pStyle w:val="ListParagraph"/>
        <w:numPr>
          <w:ilvl w:val="0"/>
          <w:numId w:val="2"/>
        </w:numPr>
        <w:spacing w:after="50" w:line="264"/>
      </w:pPr>
      <w:r>
        <w:rPr>
          <w:rFonts w:ascii="Calibri" w:cs="Calibri" w:eastAsia="Calibri" w:hAnsi="Calibri"/>
        </w:rPr>
        <w:t xml:space="preserve">4.8 Global sensitivity: expected dominant drivers are siltation and storm intensity; test, do not assume</w:t>
      </w:r>
    </w:p>
    <w:p>
      <w:pPr>
        <w:pStyle w:val="ListParagraph"/>
        <w:numPr>
          <w:ilvl w:val="0"/>
          <w:numId w:val="2"/>
        </w:numPr>
        <w:spacing w:after="50" w:line="264"/>
      </w:pPr>
      <w:r>
        <w:rPr>
          <w:rFonts w:ascii="Calibri" w:cs="Calibri" w:eastAsia="Calibri" w:hAnsi="Calibri"/>
        </w:rPr>
        <w:t xml:space="preserve">4.9 Maintenance matrix, what-if siltation growth and inspection schedule</w:t>
      </w:r>
    </w:p>
    <w:p>
      <w:pPr>
        <w:pStyle w:val="ListParagraph"/>
        <w:numPr>
          <w:ilvl w:val="0"/>
          <w:numId w:val="2"/>
        </w:numPr>
        <w:spacing w:after="50" w:line="264"/>
      </w:pPr>
      <w:r>
        <w:rPr>
          <w:rFonts w:ascii="Calibri" w:cs="Calibri" w:eastAsia="Calibri" w:hAnsi="Calibri"/>
        </w:rPr>
        <w:t xml:space="preserve">4.10 Climate-scenario run using storm multipliers based on Abdissa (2023)</w:t>
      </w:r>
    </w:p>
    <w:p>
      <w:pPr>
        <w:pStyle w:val="Heading2"/>
      </w:pPr>
      <w:r>
        <w:rPr>
          <w:rFonts w:ascii="Calibri" w:cs="Calibri" w:eastAsia="Calibri" w:hAnsi="Calibri"/>
        </w:rPr>
        <w:t xml:space="preserve">5. Discussion</w:t>
      </w:r>
    </w:p>
    <w:p>
      <w:pPr>
        <w:pStyle w:val="ListParagraph"/>
        <w:numPr>
          <w:ilvl w:val="0"/>
          <w:numId w:val="2"/>
        </w:numPr>
        <w:spacing w:after="50" w:line="264"/>
      </w:pPr>
      <w:r>
        <w:rPr>
          <w:rFonts w:ascii="Calibri" w:cs="Calibri" w:eastAsia="Calibri" w:hAnsi="Calibri"/>
        </w:rPr>
        <w:t xml:space="preserve">5.1 How probabilistic results change the conclusions of the deterministic audit</w:t>
      </w:r>
    </w:p>
    <w:p>
      <w:pPr>
        <w:pStyle w:val="ListParagraph"/>
        <w:numPr>
          <w:ilvl w:val="0"/>
          <w:numId w:val="2"/>
        </w:numPr>
        <w:spacing w:after="50" w:line="264"/>
      </w:pPr>
      <w:r>
        <w:rPr>
          <w:rFonts w:ascii="Calibri" w:cs="Calibri" w:eastAsia="Calibri" w:hAnsi="Calibri"/>
        </w:rPr>
        <w:t xml:space="preserve">5.2 Maintenance implications and comparison with local findings (desilting, inlet screens)</w:t>
      </w:r>
    </w:p>
    <w:p>
      <w:pPr>
        <w:pStyle w:val="ListParagraph"/>
        <w:numPr>
          <w:ilvl w:val="0"/>
          <w:numId w:val="2"/>
        </w:numPr>
        <w:spacing w:after="50" w:line="264"/>
      </w:pPr>
      <w:r>
        <w:rPr>
          <w:rFonts w:ascii="Calibri" w:cs="Calibri" w:eastAsia="Calibri" w:hAnsi="Calibri"/>
        </w:rPr>
        <w:t xml:space="preserve">5.3 Comparison with existing surrogate and digital-twin studies</w:t>
      </w:r>
    </w:p>
    <w:p>
      <w:pPr>
        <w:pStyle w:val="ListParagraph"/>
        <w:numPr>
          <w:ilvl w:val="0"/>
          <w:numId w:val="2"/>
        </w:numPr>
        <w:spacing w:after="50" w:line="264"/>
      </w:pPr>
      <w:r>
        <w:rPr>
          <w:rFonts w:ascii="Calibri" w:cs="Calibri" w:eastAsia="Calibri" w:hAnsi="Calibri"/>
        </w:rPr>
        <w:t xml:space="preserve">5.4 Deployment path: level loggers at culvert inlets, data assimilation, update frequency, municipal workflow</w:t>
      </w:r>
    </w:p>
    <w:p>
      <w:pPr>
        <w:pStyle w:val="ListParagraph"/>
        <w:numPr>
          <w:ilvl w:val="0"/>
          <w:numId w:val="2"/>
        </w:numPr>
        <w:spacing w:after="50" w:line="264"/>
      </w:pPr>
      <w:r>
        <w:rPr>
          <w:rFonts w:ascii="Calibri" w:cs="Calibri" w:eastAsia="Calibri" w:hAnsi="Calibri"/>
        </w:rPr>
        <w:t xml:space="preserve">5.5 Limitations: no observational validation; unverified IDF; 30 m DEM; elicited β; SWMM fidelity; node-independence assumption; stationary climate apart from the scenario run</w:t>
      </w:r>
    </w:p>
    <w:p>
      <w:pPr>
        <w:pStyle w:val="ListParagraph"/>
        <w:numPr>
          <w:ilvl w:val="0"/>
          <w:numId w:val="2"/>
        </w:numPr>
        <w:spacing w:after="50" w:line="264"/>
      </w:pPr>
      <w:r>
        <w:rPr>
          <w:rFonts w:ascii="Calibri" w:cs="Calibri" w:eastAsia="Calibri" w:hAnsi="Calibri"/>
        </w:rPr>
        <w:t xml:space="preserve">5.6 Generalisability and future work</w:t>
      </w:r>
    </w:p>
    <w:p>
      <w:pPr>
        <w:pStyle w:val="Heading2"/>
      </w:pPr>
      <w:r>
        <w:rPr>
          <w:rFonts w:ascii="Calibri" w:cs="Calibri" w:eastAsia="Calibri" w:hAnsi="Calibri"/>
        </w:rPr>
        <w:t xml:space="preserve">6. Conclusions</w:t>
      </w:r>
    </w:p>
    <w:p>
      <w:pPr>
        <w:pStyle w:val="ListParagraph"/>
        <w:numPr>
          <w:ilvl w:val="0"/>
          <w:numId w:val="2"/>
        </w:numPr>
        <w:spacing w:after="50" w:line="264"/>
      </w:pPr>
      <w:r>
        <w:rPr>
          <w:rFonts w:ascii="Calibri" w:cs="Calibri" w:eastAsia="Calibri" w:hAnsi="Calibri"/>
        </w:rPr>
        <w:t xml:space="preserve">Four to six numbered findings with quantitative results.</w:t>
      </w:r>
    </w:p>
    <w:p>
      <w:pPr>
        <w:pStyle w:val="Heading2"/>
      </w:pPr>
      <w:r>
        <w:rPr>
          <w:rFonts w:ascii="Calibri" w:cs="Calibri" w:eastAsia="Calibri" w:hAnsi="Calibri"/>
        </w:rPr>
        <w:t xml:space="preserve">Back Matter and Supplement</w:t>
      </w:r>
    </w:p>
    <w:p>
      <w:pPr>
        <w:pStyle w:val="ListParagraph"/>
        <w:numPr>
          <w:ilvl w:val="0"/>
          <w:numId w:val="2"/>
        </w:numPr>
        <w:spacing w:after="50" w:line="264"/>
      </w:pPr>
      <w:r>
        <w:rPr>
          <w:rFonts w:ascii="Calibri" w:cs="Calibri" w:eastAsia="Calibri" w:hAnsi="Calibri"/>
        </w:rPr>
        <w:t xml:space="preserve">CRediT: Author 1 (desk and field audit, data curation, conceptualisation); Author 2 (methodology, software, verification, formal analysis)</w:t>
      </w:r>
    </w:p>
    <w:p>
      <w:pPr>
        <w:pStyle w:val="ListParagraph"/>
        <w:numPr>
          <w:ilvl w:val="0"/>
          <w:numId w:val="2"/>
        </w:numPr>
        <w:spacing w:after="50" w:line="264"/>
      </w:pPr>
      <w:r>
        <w:rPr>
          <w:rFonts w:ascii="Calibri" w:cs="Calibri" w:eastAsia="Calibri" w:hAnsi="Calibri"/>
        </w:rPr>
        <w:t xml:space="preserve">Data and code availability: GitHub and Zenodo repository including DEM-derived files and the SWMM input files</w:t>
      </w:r>
    </w:p>
    <w:p>
      <w:pPr>
        <w:pStyle w:val="ListParagraph"/>
        <w:numPr>
          <w:ilvl w:val="0"/>
          <w:numId w:val="2"/>
        </w:numPr>
        <w:spacing w:after="50" w:line="264"/>
      </w:pPr>
      <w:r>
        <w:rPr>
          <w:rFonts w:ascii="Calibri" w:cs="Calibri" w:eastAsia="Calibri" w:hAnsi="Calibri"/>
        </w:rPr>
        <w:t xml:space="preserve">Supplement: S1 verification register, S2 full distribution table, S3 hyperparameters, S4 extra diagnostics, S5 reproducibility notebook</w:t>
      </w:r>
    </w:p>
    <w:p>
      <w:pPr>
        <w:sectPr>
          <w:footerReference w:type="default" r:id="rId7"/>
          <w:pgSz w:w="11906" w:h="16838" w:orient="portrait"/>
          <w:pgMar w:top="1300" w:right="1273" w:bottom="1300" w:left="1273" w:header="708" w:footer="708" w:gutter="0"/>
          <w:pgNumType/>
          <w:docGrid w:linePitch="360"/>
        </w:sectPr>
      </w:pPr>
    </w:p>
    <w:p>
      <w:pPr>
        <w:pStyle w:val="Heading1"/>
      </w:pPr>
      <w:r>
        <w:rPr>
          <w:rFonts w:ascii="Calibri" w:cs="Calibri" w:eastAsia="Calibri" w:hAnsi="Calibri"/>
        </w:rPr>
        <w:t xml:space="preserve">Part C. Illustration Table</w:t>
      </w:r>
    </w:p>
    <w:p>
      <w:pPr>
        <w:spacing w:after="120" w:line="276"/>
      </w:pPr>
      <w:r>
        <w:rPr>
          <w:rFonts w:ascii="Calibri" w:cs="Calibri" w:eastAsia="Calibri" w:hAnsi="Calibri"/>
          <w:sz w:val="20"/>
          <w:szCs w:val="20"/>
        </w:rPr>
        <w:t xml:space="preserve">Status: READY = can be built from verified inputs; PENDING = needs code results; BLOCKED = needs a register item resolved. Module numbers refer to the code plan: 0 config, 1 baseline, 2 IDF, 3 uncertainty and LHS, 4 SWMM solver, 5 dataset, 6 surrogates, 7 validation, 8 reliability, 9 maintenance, 10 figures and twin app.</w:t>
      </w:r>
    </w:p>
    <w:tbl>
      <w:tblPr>
        <w:tblW w:type="dxa" w:w="14292"/>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500"/>
        <w:gridCol w:w="4600"/>
        <w:gridCol w:w="2400"/>
        <w:gridCol w:w="1100"/>
        <w:gridCol w:w="1492"/>
      </w:tblGrid>
      <w:tr>
        <w:trPr>
          <w:cantSplit/>
          <w:tblHeader/>
        </w:trPr>
        <w:tc>
          <w:tcPr>
            <w:tcW w:type="dxa" w:w="9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ID</w:t>
            </w:r>
          </w:p>
        </w:tc>
        <w:tc>
          <w:tcPr>
            <w:tcW w:type="dxa" w:w="23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Title</w:t>
            </w:r>
          </w:p>
        </w:tc>
        <w:tc>
          <w:tcPr>
            <w:tcW w:type="dxa" w:w="15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Type</w:t>
            </w:r>
          </w:p>
        </w:tc>
        <w:tc>
          <w:tcPr>
            <w:tcW w:type="dxa" w:w="46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What to show</w:t>
            </w:r>
          </w:p>
        </w:tc>
        <w:tc>
          <w:tcPr>
            <w:tcW w:type="dxa" w:w="24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Data / code module</w:t>
            </w:r>
          </w:p>
        </w:tc>
        <w:tc>
          <w:tcPr>
            <w:tcW w:type="dxa" w:w="11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Section</w:t>
            </w:r>
          </w:p>
        </w:tc>
        <w:tc>
          <w:tcPr>
            <w:tcW w:type="dxa" w:w="1492"/>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Status</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Fig. 1</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Four-layer framework</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Schematic (vector)</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Layers 1–4 as specified in the table below; arrows labelled with the variable carried; feedback loops dashed</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All modules</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3.1</w:t>
            </w:r>
          </w:p>
        </w:tc>
        <w:tc>
          <w:tcPr>
            <w:tcW w:type="dxa" w:w="1492"/>
            <w:tcBorders>
              <w:top w:val="single" w:color="A0A0A0" w:sz="4"/>
              <w:left w:val="single" w:color="A0A0A0" w:sz="4"/>
              <w:bottom w:val="single" w:color="A0A0A0" w:sz="4"/>
              <w:right w:val="single" w:color="A0A0A0" w:sz="4"/>
            </w:tcBorders>
            <w:shd w:fill="E2F0D9" w:color="auto" w:val="clear"/>
            <w:tcMar>
              <w:top w:type="dxa" w:w="50"/>
              <w:left w:type="dxa" w:w="90"/>
              <w:bottom w:type="dxa" w:w="50"/>
              <w:right w:type="dxa" w:w="90"/>
            </w:tcMar>
          </w:tcPr>
          <w:p>
            <w:pPr>
              <w:spacing w:after="20"/>
            </w:pPr>
            <w:r>
              <w:rPr>
                <w:rFonts w:ascii="Calibri" w:cs="Calibri" w:eastAsia="Calibri" w:hAnsi="Calibri"/>
                <w:sz w:val="17"/>
                <w:szCs w:val="17"/>
              </w:rPr>
              <w:t xml:space="preserve">READY (spec below)</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Fig. 2</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Corridor map</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Map</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Nodes 1–4, culvert reaches, catchment polygons on DEM hillshade, flow direction</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 1 and GIS re-delineation</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2.1</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 boundaries</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Fig. 3</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Longitudinal profile</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Line plot</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Bed elevation against chainage, node limits, slopes labelled</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Module 1</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2.3</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 DEM re-extraction</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Fig. 4</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IDF check</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Line plot</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Formula curves, registry table points and published curves for 10–180 min</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 2</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2.4, 4.2</w:t>
            </w:r>
          </w:p>
        </w:tc>
        <w:tc>
          <w:tcPr>
            <w:tcW w:type="dxa" w:w="1492"/>
            <w:tcBorders>
              <w:top w:val="single" w:color="A0A0A0" w:sz="4"/>
              <w:left w:val="single" w:color="A0A0A0" w:sz="4"/>
              <w:bottom w:val="single" w:color="A0A0A0" w:sz="4"/>
              <w:right w:val="single" w:color="A0A0A0" w:sz="4"/>
            </w:tcBorders>
            <w:shd w:fill="F4B6A6" w:color="auto" w:val="clear"/>
            <w:tcMar>
              <w:top w:type="dxa" w:w="50"/>
              <w:left w:type="dxa" w:w="90"/>
              <w:bottom w:type="dxa" w:w="50"/>
              <w:right w:type="dxa" w:w="90"/>
            </w:tcMar>
          </w:tcPr>
          <w:p>
            <w:pPr>
              <w:spacing w:after="20"/>
            </w:pPr>
            <w:r>
              <w:rPr>
                <w:rFonts w:ascii="Calibri" w:cs="Calibri" w:eastAsia="Calibri" w:hAnsi="Calibri"/>
                <w:sz w:val="17"/>
                <w:szCs w:val="17"/>
              </w:rPr>
              <w:t xml:space="preserve">BLOCKED (IDF)</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Fig. 5</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Capacity versus siltation</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Line plot</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Q_cap(β) per node with Q_peak lines for 10, 25, 50 years; crossing gives critical β</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Module 1</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2.5, 4.1</w:t>
            </w:r>
          </w:p>
        </w:tc>
        <w:tc>
          <w:tcPr>
            <w:tcW w:type="dxa" w:w="1492"/>
            <w:tcBorders>
              <w:top w:val="single" w:color="A0A0A0" w:sz="4"/>
              <w:left w:val="single" w:color="A0A0A0" w:sz="4"/>
              <w:bottom w:val="single" w:color="A0A0A0" w:sz="4"/>
              <w:right w:val="single" w:color="A0A0A0" w:sz="4"/>
            </w:tcBorders>
            <w:shd w:fill="F4B6A6" w:color="auto" w:val="clear"/>
            <w:tcMar>
              <w:top w:type="dxa" w:w="50"/>
              <w:left w:type="dxa" w:w="90"/>
              <w:bottom w:type="dxa" w:w="50"/>
              <w:right w:type="dxa" w:w="90"/>
            </w:tcMar>
          </w:tcPr>
          <w:p>
            <w:pPr>
              <w:spacing w:after="20"/>
            </w:pPr>
            <w:r>
              <w:rPr>
                <w:rFonts w:ascii="Calibri" w:cs="Calibri" w:eastAsia="Calibri" w:hAnsi="Calibri"/>
                <w:sz w:val="17"/>
                <w:szCs w:val="17"/>
              </w:rPr>
              <w:t xml:space="preserve">BLOCKED (Q_cap)</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Fig. 6</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Culvert sections</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Schematic</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Four box sections B × H with siltation hatching at β values</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 10</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2.6</w:t>
            </w:r>
          </w:p>
        </w:tc>
        <w:tc>
          <w:tcPr>
            <w:tcW w:type="dxa" w:w="1492"/>
            <w:tcBorders>
              <w:top w:val="single" w:color="A0A0A0" w:sz="4"/>
              <w:left w:val="single" w:color="A0A0A0" w:sz="4"/>
              <w:bottom w:val="single" w:color="A0A0A0" w:sz="4"/>
              <w:right w:val="single" w:color="A0A0A0" w:sz="4"/>
            </w:tcBorders>
            <w:shd w:fill="F4B6A6" w:color="auto" w:val="clear"/>
            <w:tcMar>
              <w:top w:type="dxa" w:w="50"/>
              <w:left w:type="dxa" w:w="90"/>
              <w:bottom w:type="dxa" w:w="50"/>
              <w:right w:type="dxa" w:w="90"/>
            </w:tcMar>
          </w:tcPr>
          <w:p>
            <w:pPr>
              <w:spacing w:after="20"/>
            </w:pPr>
            <w:r>
              <w:rPr>
                <w:rFonts w:ascii="Calibri" w:cs="Calibri" w:eastAsia="Calibri" w:hAnsi="Calibri"/>
                <w:sz w:val="17"/>
                <w:szCs w:val="17"/>
              </w:rPr>
              <w:t xml:space="preserve">BLOCKED (barrels)</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Fig. 7</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SWMM model layout</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Schematic</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Subcatchments, conduits, outfall, rainfall input</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Module 4</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3.4</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 solver</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Fig. 8</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LHS diagnostics</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Panel</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Pairwise projections, marginals, correlation matrix</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 3</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4.4</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Fig. 9</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Training behaviour</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Line plot</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Loss curves and cross-validation spread per architecture</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Module 6</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4.5</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Fig. 10</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Parity plots</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Scatter panel</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Surrogate versus SWMM ΔQ per node, with the tail test set highlighted</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Modules 6–7</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4.5</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Fig. 11</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Uncertainty calibration</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Reliability diagram</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Coverage versus nominal level; CRPS bars</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Module 7</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4.6</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Fig. 12</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Computational speed-up</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Bar chart (log axis)</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Wall-clock per query: SWMM versus surrogate, hardware stated</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 7</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4.6</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Fig. 13</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Fragility curves</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Line plot</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P_f against storm intensity and against β, per node</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Module 8</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4.7</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Fig. 14</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Global sensitivity</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Bar chart</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Sobol S_i and S_Ti per node</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 8</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4.8</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Fig. 15</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Maintenance matrix</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Colour-coded matrix</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Nodes by risk tier with action and interval</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Module 9</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4.9</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 thresholds</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Fig. 16</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What-if siltation growth</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Line panel</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P_f against months of assumed siltation growth; time to threshold per node</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Modules 9–10</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4.9</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Fig. 17</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Climate scenario</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Bar chart</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P_f at baseline and at storm multipliers based on Abdissa (2023)</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Module 8</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4.10</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Table 1</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Node data and provenance</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Table</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Coordinates, elevations, L, S, A, C, B × H, n; source and status per value</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 0</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2.3</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 re-extraction</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Table 2</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IDF comparison</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Table</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Formula, registry and published intensities by return period</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Module 2</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2.4</w:t>
            </w:r>
          </w:p>
        </w:tc>
        <w:tc>
          <w:tcPr>
            <w:tcW w:type="dxa" w:w="1492"/>
            <w:tcBorders>
              <w:top w:val="single" w:color="A0A0A0" w:sz="4"/>
              <w:left w:val="single" w:color="A0A0A0" w:sz="4"/>
              <w:bottom w:val="single" w:color="A0A0A0" w:sz="4"/>
              <w:right w:val="single" w:color="A0A0A0" w:sz="4"/>
            </w:tcBorders>
            <w:shd w:fill="F4B6A6" w:color="auto" w:val="clear"/>
            <w:tcMar>
              <w:top w:type="dxa" w:w="50"/>
              <w:left w:type="dxa" w:w="90"/>
              <w:bottom w:type="dxa" w:w="50"/>
              <w:right w:type="dxa" w:w="90"/>
            </w:tcMar>
          </w:tcPr>
          <w:p>
            <w:pPr>
              <w:spacing w:after="20"/>
            </w:pPr>
            <w:r>
              <w:rPr>
                <w:rFonts w:ascii="Calibri" w:cs="Calibri" w:eastAsia="Calibri" w:hAnsi="Calibri"/>
                <w:sz w:val="17"/>
                <w:szCs w:val="17"/>
              </w:rPr>
              <w:t xml:space="preserve">BLOCKED (IDF)</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Table 3</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Recomputed deterministic audit</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Table</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Q_peak, Q_cap(β), CF, critical β, Tc, Rational validity</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 1</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4.1</w:t>
            </w:r>
          </w:p>
        </w:tc>
        <w:tc>
          <w:tcPr>
            <w:tcW w:type="dxa" w:w="1492"/>
            <w:tcBorders>
              <w:top w:val="single" w:color="A0A0A0" w:sz="4"/>
              <w:left w:val="single" w:color="A0A0A0" w:sz="4"/>
              <w:bottom w:val="single" w:color="A0A0A0" w:sz="4"/>
              <w:right w:val="single" w:color="A0A0A0" w:sz="4"/>
            </w:tcBorders>
            <w:shd w:fill="F4B6A6" w:color="auto" w:val="clear"/>
            <w:tcMar>
              <w:top w:type="dxa" w:w="50"/>
              <w:left w:type="dxa" w:w="90"/>
              <w:bottom w:type="dxa" w:w="50"/>
              <w:right w:type="dxa" w:w="90"/>
            </w:tcMar>
          </w:tcPr>
          <w:p>
            <w:pPr>
              <w:spacing w:after="20"/>
            </w:pPr>
            <w:r>
              <w:rPr>
                <w:rFonts w:ascii="Calibri" w:cs="Calibri" w:eastAsia="Calibri" w:hAnsi="Calibri"/>
                <w:sz w:val="17"/>
                <w:szCs w:val="17"/>
              </w:rPr>
              <w:t xml:space="preserve">BLOCKED (IDF, Q_cap)</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Table 4</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Input distributions</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Table</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Variable, distribution, parameters, justification, status (assumed or sourced)</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Module 3</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3.3</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Table 5</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Surrogate comparison</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Table</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R², RMSE, NRMSE, Q², PICP, F1/AUC, speed-up per model</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 7</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4.5</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Table 6</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Failure probabilities</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Table</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P_f, β_R, E[ΔQ] per node and scenario</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Module 8</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4.7</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Table 7</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Maintenance matrix</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Table</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Node, tier, action, interval, trigger</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 9</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4.9</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 thresholds</w:t>
            </w:r>
          </w:p>
        </w:tc>
      </w:tr>
      <w:tr>
        <w:trPr>
          <w:cantSplit/>
          <w:tblHeader w:val="off"/>
        </w:trPr>
        <w:tc>
          <w:tcPr>
            <w:tcW w:type="dxa" w:w="9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Table 8</w:t>
            </w:r>
          </w:p>
        </w:tc>
        <w:tc>
          <w:tcPr>
            <w:tcW w:type="dxa" w:w="2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Local studies compared</w:t>
            </w:r>
          </w:p>
        </w:tc>
        <w:tc>
          <w:tcPr>
            <w:tcW w:type="dxa" w:w="15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Table</w:t>
            </w:r>
          </w:p>
        </w:tc>
        <w:tc>
          <w:tcPr>
            <w:tcW w:type="dxa" w:w="46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As in Document 01, Section 5, extended by systematic search</w:t>
            </w:r>
          </w:p>
        </w:tc>
        <w:tc>
          <w:tcPr>
            <w:tcW w:type="dxa" w:w="24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Literature</w:t>
            </w:r>
          </w:p>
        </w:tc>
        <w:tc>
          <w:tcPr>
            <w:tcW w:type="dxa" w:w="11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1.4, 5.3</w:t>
            </w:r>
          </w:p>
        </w:tc>
        <w:tc>
          <w:tcPr>
            <w:tcW w:type="dxa" w:w="1492"/>
            <w:tcBorders>
              <w:top w:val="single" w:color="A0A0A0" w:sz="4"/>
              <w:left w:val="single" w:color="A0A0A0" w:sz="4"/>
              <w:bottom w:val="single" w:color="A0A0A0" w:sz="4"/>
              <w:right w:val="single" w:color="A0A0A0" w:sz="4"/>
            </w:tcBorders>
            <w:shd w:fill="FFF2CC" w:color="auto" w:val="clear"/>
            <w:tcMar>
              <w:top w:type="dxa" w:w="50"/>
              <w:left w:type="dxa" w:w="90"/>
              <w:bottom w:type="dxa" w:w="50"/>
              <w:right w:type="dxa" w:w="90"/>
            </w:tcMar>
          </w:tcPr>
          <w:p>
            <w:pPr>
              <w:spacing w:after="20"/>
            </w:pPr>
            <w:r>
              <w:rPr>
                <w:rFonts w:ascii="Calibri" w:cs="Calibri" w:eastAsia="Calibri" w:hAnsi="Calibri"/>
                <w:sz w:val="17"/>
                <w:szCs w:val="17"/>
              </w:rPr>
              <w:t xml:space="preserve">PENDING full texts</w:t>
            </w:r>
          </w:p>
        </w:tc>
      </w:tr>
      <w:tr>
        <w:trPr>
          <w:cantSplit/>
          <w:tblHeader w:val="off"/>
        </w:trPr>
        <w:tc>
          <w:tcPr>
            <w:tcW w:type="dxa" w:w="9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Table S1</w:t>
            </w:r>
          </w:p>
        </w:tc>
        <w:tc>
          <w:tcPr>
            <w:tcW w:type="dxa" w:w="2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Verification register</w:t>
            </w:r>
          </w:p>
        </w:tc>
        <w:tc>
          <w:tcPr>
            <w:tcW w:type="dxa" w:w="15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Table</w:t>
            </w:r>
          </w:p>
        </w:tc>
        <w:tc>
          <w:tcPr>
            <w:tcW w:type="dxa" w:w="46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Part A of this document, updated at submission</w:t>
            </w:r>
          </w:p>
        </w:tc>
        <w:tc>
          <w:tcPr>
            <w:tcW w:type="dxa" w:w="24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Module 0</w:t>
            </w:r>
          </w:p>
        </w:tc>
        <w:tc>
          <w:tcPr>
            <w:tcW w:type="dxa" w:w="11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Supplement</w:t>
            </w:r>
          </w:p>
        </w:tc>
        <w:tc>
          <w:tcPr>
            <w:tcW w:type="dxa" w:w="1492"/>
            <w:tcBorders>
              <w:top w:val="single" w:color="A0A0A0" w:sz="4"/>
              <w:left w:val="single" w:color="A0A0A0" w:sz="4"/>
              <w:bottom w:val="single" w:color="A0A0A0" w:sz="4"/>
              <w:right w:val="single" w:color="A0A0A0" w:sz="4"/>
            </w:tcBorders>
            <w:shd w:fill="E2F0D9" w:color="auto" w:val="clear"/>
            <w:tcMar>
              <w:top w:type="dxa" w:w="50"/>
              <w:left w:type="dxa" w:w="90"/>
              <w:bottom w:type="dxa" w:w="50"/>
              <w:right w:type="dxa" w:w="90"/>
            </w:tcMar>
          </w:tcPr>
          <w:p>
            <w:pPr>
              <w:spacing w:after="20"/>
            </w:pPr>
            <w:r>
              <w:rPr>
                <w:rFonts w:ascii="Calibri" w:cs="Calibri" w:eastAsia="Calibri" w:hAnsi="Calibri"/>
                <w:sz w:val="17"/>
                <w:szCs w:val="17"/>
              </w:rPr>
              <w:t xml:space="preserve">READY</w:t>
            </w:r>
          </w:p>
        </w:tc>
      </w:tr>
    </w:tbl>
    <w:p>
      <w:pPr>
        <w:spacing w:after="80"/>
      </w:pPr>
    </w:p>
    <w:p>
      <w:pPr>
        <w:pStyle w:val="Heading2"/>
      </w:pPr>
      <w:r>
        <w:rPr>
          <w:rFonts w:ascii="Calibri" w:cs="Calibri" w:eastAsia="Calibri" w:hAnsi="Calibri"/>
        </w:rPr>
        <w:t xml:space="preserve">Figure 1 specification (draw in Inkscape or Illustrator at 190 mm width, minimum 7 pt text, vector PDF/EPS)</w:t>
      </w:r>
    </w:p>
    <w:tbl>
      <w:tblPr>
        <w:tblW w:type="dxa" w:w="14292"/>
        <w:tblBorders>
          <w:top w:val="single" w:color="auto" w:sz="4"/>
          <w:left w:val="single" w:color="auto" w:sz="4"/>
          <w:bottom w:val="single" w:color="auto" w:sz="4"/>
          <w:right w:val="single" w:color="auto" w:sz="4"/>
          <w:insideH w:val="single" w:color="auto" w:sz="4"/>
          <w:insideV w:val="single" w:color="auto" w:sz="4"/>
        </w:tblBorders>
      </w:tblPr>
      <w:tblGrid>
        <w:gridCol w:w="2000"/>
        <w:gridCol w:w="8300"/>
        <w:gridCol w:w="3992"/>
      </w:tblGrid>
      <w:tr>
        <w:trPr>
          <w:cantSplit/>
          <w:tblHeader/>
        </w:trPr>
        <w:tc>
          <w:tcPr>
            <w:tcW w:type="dxa" w:w="20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Layer</w:t>
            </w:r>
          </w:p>
        </w:tc>
        <w:tc>
          <w:tcPr>
            <w:tcW w:type="dxa" w:w="8300"/>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Blocks to draw</w:t>
            </w:r>
          </w:p>
        </w:tc>
        <w:tc>
          <w:tcPr>
            <w:tcW w:type="dxa" w:w="3992"/>
            <w:tcBorders>
              <w:top w:val="single" w:color="A0A0A0" w:sz="4"/>
              <w:left w:val="single" w:color="A0A0A0" w:sz="4"/>
              <w:bottom w:val="single" w:color="A0A0A0" w:sz="4"/>
              <w:right w:val="single" w:color="A0A0A0" w:sz="4"/>
            </w:tcBorders>
            <w:shd w:fill="1F3864"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Output arrow</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1. Physical input and desk audit</w:t>
            </w:r>
          </w:p>
        </w:tc>
        <w:tc>
          <w:tcPr>
            <w:tcW w:type="dxa" w:w="8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1A corridor schematic: Node 1 Jemo 1 → Node 2 Jemo 2/3 → Node 3 German Sq. → Node 4 Lancha, with L and S labelled. 1B box-culvert section with hatched siltation layer. 1C failure chain: siltation and waste → capacity loss → surcharge → street overtopping → road damage (qualitative). 1D audit box: Q_peak = 0.00278·C·i·A; Q_cap = (1/n)·A_eff·R^(2/3)·S^(1/2), A_eff = B·H(1 − β); CF = Q_peak/Q_cap. 1E evidence box, dashed: no gauges available.</w:t>
            </w:r>
          </w:p>
        </w:tc>
        <w:tc>
          <w:tcPr>
            <w:tcW w:type="dxa" w:w="3992"/>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Baseline parameters θ₀ and bounds</w:t>
            </w:r>
          </w:p>
        </w:tc>
      </w:tr>
      <w:tr>
        <w:trPr>
          <w:cantSplit/>
          <w:tblHeader w:val="off"/>
        </w:trPr>
        <w:tc>
          <w:tcPr>
            <w:tcW w:type="dxa" w:w="2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2. Data engineering and LHS loop</w:t>
            </w:r>
          </w:p>
        </w:tc>
        <w:tc>
          <w:tcPr>
            <w:tcW w:type="dxa" w:w="8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2A input space with distribution thumbnails: storm multiplier, duration, peak position, C_k, n_k, S_k, β_k (d = 19). 2B copula. 2C LHS with x = F⁻¹(u). 2D SWMM dynamic-wave solver. 2E dataset, 70/15/15 split and tail test set. 2F convergence diamond with dashed loop “increase N”.</w:t>
            </w:r>
          </w:p>
        </w:tc>
        <w:tc>
          <w:tcPr>
            <w:tcW w:type="dxa" w:w="3992"/>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Training, validation and test sets</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3. Surrogate twin engine</w:t>
            </w:r>
          </w:p>
        </w:tc>
        <w:tc>
          <w:tcPr>
            <w:tcW w:type="dxa" w:w="8300"/>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3A ANN, GPR and polynomial-chaos candidates (neural operator optional). 3B training and tuning with cross-validation. 3C verification panel (R², RMSE, Q², PICP, F1/AUC, speed-up). 3D gate: thresholds met? If not, loop to 3A or add samples near g ≈ 0. 3E twin core ŷ = f̂(x) ± σ̂(x), largest block, live-input arrow for forecast and sensor state. 3F analytics: P_f and β_R, Sobol indices, fragility curves.</w:t>
            </w:r>
          </w:p>
        </w:tc>
        <w:tc>
          <w:tcPr>
            <w:tcW w:type="dxa" w:w="3992"/>
            <w:tcBorders>
              <w:top w:val="single" w:color="A0A0A0" w:sz="4"/>
              <w:left w:val="single" w:color="A0A0A0" w:sz="4"/>
              <w:bottom w:val="single" w:color="A0A0A0" w:sz="4"/>
              <w:right w:val="single" w:color="A0A0A0" w:sz="4"/>
            </w:tcBorders>
            <w:tcMar>
              <w:top w:type="dxa" w:w="50"/>
              <w:left w:type="dxa" w:w="90"/>
              <w:bottom w:type="dxa" w:w="50"/>
              <w:right w:type="dxa" w:w="90"/>
            </w:tcMar>
          </w:tcPr>
          <w:p>
            <w:pPr>
              <w:spacing w:after="20"/>
            </w:pPr>
            <w:r>
              <w:rPr>
                <w:rFonts w:ascii="Calibri" w:cs="Calibri" w:eastAsia="Calibri" w:hAnsi="Calibri"/>
                <w:sz w:val="17"/>
                <w:szCs w:val="17"/>
              </w:rPr>
              <w:t xml:space="preserve">P_f, E[ΔQ], σ̂, S_Ti per node</w:t>
            </w:r>
          </w:p>
        </w:tc>
      </w:tr>
      <w:tr>
        <w:trPr>
          <w:cantSplit/>
          <w:tblHeader w:val="off"/>
        </w:trPr>
        <w:tc>
          <w:tcPr>
            <w:tcW w:type="dxa" w:w="20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4. Decision-support output</w:t>
            </w:r>
          </w:p>
        </w:tc>
        <w:tc>
          <w:tcPr>
            <w:tcW w:type="dxa" w:w="8300"/>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4A risk R_k = P_f,k × C_k. 4B maintenance matrix, nodes by tiers. 4C trigger ladder (thresholds [TO CONFIRM]). 4D what-if sliders for β and storm multiplier, linked back to 3E. 4E dashboard mock-up: map and table.</w:t>
            </w:r>
          </w:p>
        </w:tc>
        <w:tc>
          <w:tcPr>
            <w:tcW w:type="dxa" w:w="3992"/>
            <w:tcBorders>
              <w:top w:val="single" w:color="A0A0A0" w:sz="4"/>
              <w:left w:val="single" w:color="A0A0A0" w:sz="4"/>
              <w:bottom w:val="single" w:color="A0A0A0" w:sz="4"/>
              <w:right w:val="single" w:color="A0A0A0" w:sz="4"/>
            </w:tcBorders>
            <w:shd w:fill="F2F5FA" w:color="auto" w:val="clear"/>
            <w:tcMar>
              <w:top w:type="dxa" w:w="50"/>
              <w:left w:type="dxa" w:w="90"/>
              <w:bottom w:type="dxa" w:w="50"/>
              <w:right w:type="dxa" w:w="90"/>
            </w:tcMar>
          </w:tcPr>
          <w:p>
            <w:pPr>
              <w:spacing w:after="20"/>
            </w:pPr>
            <w:r>
              <w:rPr>
                <w:rFonts w:ascii="Calibri" w:cs="Calibri" w:eastAsia="Calibri" w:hAnsi="Calibri"/>
                <w:sz w:val="17"/>
                <w:szCs w:val="17"/>
              </w:rPr>
              <w:t xml:space="preserve">Feedback loops (dashed): maintenance actions → Layer 1; new level-logger data → 3E; 3D failures → 2C</w:t>
            </w:r>
          </w:p>
        </w:tc>
      </w:tr>
    </w:tbl>
    <w:p>
      <w:pPr>
        <w:spacing w:after="120" w:line="276"/>
      </w:pPr>
      <w:r>
        <w:rPr>
          <w:rFonts w:ascii="Calibri" w:cs="Calibri" w:eastAsia="Calibri" w:hAnsi="Calibri"/>
          <w:sz w:val="20"/>
          <w:szCs w:val="20"/>
        </w:rPr>
        <w:t xml:space="preserve">Legend strip: g = Q_cap,eff − Q_peak; ΔQ = max(0, −g); P_f = P[g &lt; 0]. Add a callout comparing time per evaluation (SWMM against surrogate) only after measuring it. Use a colour-blind-safe palette, one colour family per layer.</w:t>
      </w:r>
    </w:p>
    <w:p>
      <w:pPr>
        <w:pStyle w:val="Heading1"/>
      </w:pPr>
      <w:r>
        <w:rPr>
          <w:rFonts w:ascii="Calibri" w:cs="Calibri" w:eastAsia="Calibri" w:hAnsi="Calibri"/>
        </w:rPr>
        <w:t xml:space="preserve">Part D. What We Do Next</w:t>
      </w:r>
    </w:p>
    <w:p>
      <w:pPr>
        <w:pStyle w:val="ListParagraph"/>
        <w:numPr>
          <w:ilvl w:val="0"/>
          <w:numId w:val="3"/>
        </w:numPr>
        <w:spacing w:after="70" w:line="264"/>
      </w:pPr>
      <w:r>
        <w:rPr>
          <w:rFonts w:ascii="Calibri" w:cs="Calibri" w:eastAsia="Calibri" w:hAnsi="Calibri"/>
          <w:b/>
          <w:bCs/>
        </w:rPr>
        <w:t xml:space="preserve">Resolve the register (Author 1).</w:t>
      </w:r>
      <w:r>
        <w:rPr>
          <w:rFonts w:ascii="Calibri" w:cs="Calibri" w:eastAsia="Calibri" w:hAnsi="Calibri"/>
        </w:rPr>
        <w:t xml:space="preserve"> IDF source and edition; how Q_cap was computed and barrel counts; AACRA drawing numbers; whether nodes are independent or in series; any flood evidence.</w:t>
      </w:r>
    </w:p>
    <w:p>
      <w:pPr>
        <w:pStyle w:val="ListParagraph"/>
        <w:numPr>
          <w:ilvl w:val="0"/>
          <w:numId w:val="3"/>
        </w:numPr>
        <w:spacing w:after="70" w:line="264"/>
      </w:pPr>
      <w:r>
        <w:rPr>
          <w:rFonts w:ascii="Calibri" w:cs="Calibri" w:eastAsia="Calibri" w:hAnsi="Calibri"/>
          <w:b/>
          <w:bCs/>
        </w:rPr>
        <w:t xml:space="preserve">Pull primary sources.</w:t>
      </w:r>
      <w:r>
        <w:rPr>
          <w:rFonts w:ascii="Calibri" w:cs="Calibri" w:eastAsia="Calibri" w:hAnsi="Calibri"/>
        </w:rPr>
        <w:t xml:space="preserve"> ERA Drainage Design Manual (state edition), AACRA 2003 IDF curve, the full text of Abdissa (2023), and the regional IDF paper “IDF Equations for Similar Rainfall Regions in Ethiopia” (ResearchGate record; I could not open it). Extract exact constants and table numbers into the register.</w:t>
      </w:r>
    </w:p>
    <w:p>
      <w:pPr>
        <w:pStyle w:val="ListParagraph"/>
        <w:numPr>
          <w:ilvl w:val="0"/>
          <w:numId w:val="3"/>
        </w:numPr>
        <w:spacing w:after="70" w:line="264"/>
      </w:pPr>
      <w:r>
        <w:rPr>
          <w:rFonts w:ascii="Calibri" w:cs="Calibri" w:eastAsia="Calibri" w:hAnsi="Calibri"/>
          <w:b/>
          <w:bCs/>
        </w:rPr>
        <w:t xml:space="preserve">Freeze the baseline.</w:t>
      </w:r>
      <w:r>
        <w:rPr>
          <w:rFonts w:ascii="Calibri" w:cs="Calibri" w:eastAsia="Calibri" w:hAnsi="Calibri"/>
        </w:rPr>
        <w:t xml:space="preserve"> Build code modules 0–2, reproduce or replace the registry tables, and compute Tc for each node.</w:t>
      </w:r>
    </w:p>
    <w:p>
      <w:pPr>
        <w:pStyle w:val="ListParagraph"/>
        <w:numPr>
          <w:ilvl w:val="0"/>
          <w:numId w:val="3"/>
        </w:numPr>
        <w:spacing w:after="70" w:line="264"/>
      </w:pPr>
      <w:r>
        <w:rPr>
          <w:rFonts w:ascii="Calibri" w:cs="Calibri" w:eastAsia="Calibri" w:hAnsi="Calibri"/>
          <w:b/>
          <w:bCs/>
        </w:rPr>
        <w:t xml:space="preserve">Build the SWMM reference model</w:t>
      </w:r>
      <w:r>
        <w:rPr>
          <w:rFonts w:ascii="Calibri" w:cs="Calibri" w:eastAsia="Calibri" w:hAnsi="Calibri"/>
        </w:rPr>
        <w:t xml:space="preserve"> (module 4) and confirm the Rational/SWMM comparison.</w:t>
      </w:r>
    </w:p>
    <w:p>
      <w:pPr>
        <w:pStyle w:val="ListParagraph"/>
        <w:numPr>
          <w:ilvl w:val="0"/>
          <w:numId w:val="3"/>
        </w:numPr>
        <w:spacing w:after="70" w:line="264"/>
      </w:pPr>
      <w:r>
        <w:rPr>
          <w:rFonts w:ascii="Calibri" w:cs="Calibri" w:eastAsia="Calibri" w:hAnsi="Calibri"/>
          <w:b/>
          <w:bCs/>
        </w:rPr>
        <w:t xml:space="preserve">Build modules 3 and 5–10</w:t>
      </w:r>
      <w:r>
        <w:rPr>
          <w:rFonts w:ascii="Calibri" w:cs="Calibri" w:eastAsia="Calibri" w:hAnsi="Calibri"/>
        </w:rPr>
        <w:t xml:space="preserve"> in order, filling Table and Figure statuses as results arrive.</w:t>
      </w:r>
    </w:p>
    <w:p>
      <w:pPr>
        <w:pStyle w:val="ListParagraph"/>
        <w:numPr>
          <w:ilvl w:val="0"/>
          <w:numId w:val="3"/>
        </w:numPr>
        <w:spacing w:after="70" w:line="264"/>
      </w:pPr>
      <w:r>
        <w:rPr>
          <w:rFonts w:ascii="Calibri" w:cs="Calibri" w:eastAsia="Calibri" w:hAnsi="Calibri"/>
          <w:b/>
          <w:bCs/>
        </w:rPr>
        <w:t xml:space="preserve">Write Methods first</w:t>
      </w:r>
      <w:r>
        <w:rPr>
          <w:rFonts w:ascii="Calibri" w:cs="Calibri" w:eastAsia="Calibri" w:hAnsi="Calibri"/>
        </w:rPr>
        <w:t xml:space="preserve">, then Results, then Introduction, Discussion and the cover letter, so claims follow evidence.</w:t>
      </w:r>
    </w:p>
    <w:p>
      <w:pPr>
        <w:pStyle w:val="Heading1"/>
      </w:pPr>
      <w:r>
        <w:rPr>
          <w:rFonts w:ascii="Calibri" w:cs="Calibri" w:eastAsia="Calibri" w:hAnsi="Calibri"/>
        </w:rPr>
        <w:t xml:space="preserve">Sources used in Part A</w:t>
      </w:r>
    </w:p>
    <w:p>
      <w:pPr>
        <w:pStyle w:val="ListParagraph"/>
        <w:numPr>
          <w:ilvl w:val="0"/>
          <w:numId w:val="2"/>
        </w:numPr>
        <w:spacing w:after="50" w:line="264"/>
      </w:pPr>
      <w:r>
        <w:rPr>
          <w:rFonts w:ascii="Calibri" w:cs="Calibri" w:eastAsia="Calibri" w:hAnsi="Calibri"/>
          <w:sz w:val="20"/>
          <w:szCs w:val="20"/>
        </w:rPr>
        <w:t xml:space="preserve">Tessema T. (2016). </w:t>
      </w:r>
      <w:hyperlink w:history="1" r:id="rIdm4bqr_wygwhrdrhp_94vi">
        <w:r>
          <w:rPr>
            <w:rFonts w:ascii="Calibri" w:cs="Calibri" w:eastAsia="Calibri" w:hAnsi="Calibri"/>
            <w:color w:val="0563C1"/>
            <w:sz w:val="20"/>
            <w:szCs w:val="20"/>
            <w:u w:val="single"/>
          </w:rPr>
          <w:t xml:space="preserve">Jemo-III Condominium Site storm water study (Rational formula, C ranges, 10-year design)</w:t>
        </w:r>
      </w:hyperlink>
    </w:p>
    <w:p>
      <w:pPr>
        <w:pStyle w:val="ListParagraph"/>
        <w:numPr>
          <w:ilvl w:val="0"/>
          <w:numId w:val="2"/>
        </w:numPr>
        <w:spacing w:after="50" w:line="264"/>
      </w:pPr>
      <w:r>
        <w:rPr>
          <w:rFonts w:ascii="Calibri" w:cs="Calibri" w:eastAsia="Calibri" w:hAnsi="Calibri"/>
          <w:sz w:val="20"/>
          <w:szCs w:val="20"/>
        </w:rPr>
        <w:t xml:space="preserve">Kiwanuka M. (2019). </w:t>
      </w:r>
      <w:hyperlink w:history="1" r:id="rIdogvikxfjenp8c4g3l-vb9">
        <w:r>
          <w:rPr>
            <w:rFonts w:ascii="Calibri" w:cs="Calibri" w:eastAsia="Calibri" w:hAnsi="Calibri"/>
            <w:color w:val="0563C1"/>
            <w:sz w:val="20"/>
            <w:szCs w:val="20"/>
            <w:u w:val="single"/>
          </w:rPr>
          <w:t xml:space="preserve">Mesualekia–Nefas Silk 2 stretch (culvert size, AREMA return periods, desilting)</w:t>
        </w:r>
      </w:hyperlink>
    </w:p>
    <w:p>
      <w:pPr>
        <w:pStyle w:val="ListParagraph"/>
        <w:numPr>
          <w:ilvl w:val="0"/>
          <w:numId w:val="2"/>
        </w:numPr>
        <w:spacing w:after="50" w:line="264"/>
      </w:pPr>
      <w:r>
        <w:rPr>
          <w:rFonts w:ascii="Calibri" w:cs="Calibri" w:eastAsia="Calibri" w:hAnsi="Calibri"/>
          <w:sz w:val="20"/>
          <w:szCs w:val="20"/>
        </w:rPr>
        <w:t xml:space="preserve">Crown Agents / AfCAP (2012). </w:t>
      </w:r>
      <w:hyperlink w:history="1" r:id="rIdv7n354n4hbjauw3xihtw_">
        <w:r>
          <w:rPr>
            <w:rFonts w:ascii="Calibri" w:cs="Calibri" w:eastAsia="Calibri" w:hAnsi="Calibri"/>
            <w:color w:val="0563C1"/>
            <w:sz w:val="20"/>
            <w:szCs w:val="20"/>
            <w:u w:val="single"/>
          </w:rPr>
          <w:t xml:space="preserve">Drainage Manual Workshop record (Rational Method area and Tc limits)</w:t>
        </w:r>
      </w:hyperlink>
    </w:p>
    <w:p>
      <w:pPr>
        <w:pStyle w:val="ListParagraph"/>
        <w:numPr>
          <w:ilvl w:val="0"/>
          <w:numId w:val="2"/>
        </w:numPr>
        <w:spacing w:after="50" w:line="264"/>
      </w:pPr>
      <w:r>
        <w:rPr>
          <w:rFonts w:ascii="Calibri" w:cs="Calibri" w:eastAsia="Calibri" w:hAnsi="Calibri"/>
          <w:sz w:val="20"/>
          <w:szCs w:val="20"/>
        </w:rPr>
        <w:t xml:space="preserve">Bulti D.T. et al. </w:t>
      </w:r>
      <w:hyperlink w:history="1" r:id="rIdqhchwby2hsymw7zhukbrx">
        <w:r>
          <w:rPr>
            <w:rFonts w:ascii="Calibri" w:cs="Calibri" w:eastAsia="Calibri" w:hAnsi="Calibri"/>
            <w:color w:val="0563C1"/>
            <w:sz w:val="20"/>
            <w:szCs w:val="20"/>
            <w:u w:val="single"/>
          </w:rPr>
          <w:t xml:space="preserve">Adama IDF study (secondary statement of ERA rainfall regions and 1–3 h durations)</w:t>
        </w:r>
      </w:hyperlink>
    </w:p>
    <w:p>
      <w:pPr>
        <w:pStyle w:val="ListParagraph"/>
        <w:numPr>
          <w:ilvl w:val="0"/>
          <w:numId w:val="2"/>
        </w:numPr>
        <w:spacing w:after="50" w:line="264"/>
      </w:pPr>
      <w:r>
        <w:rPr>
          <w:rFonts w:ascii="Calibri" w:cs="Calibri" w:eastAsia="Calibri" w:hAnsi="Calibri"/>
          <w:sz w:val="20"/>
          <w:szCs w:val="20"/>
        </w:rPr>
        <w:t xml:space="preserve">Abdissa L. (2023). </w:t>
      </w:r>
      <w:hyperlink w:history="1" r:id="rIdwuljyc_eo3jcbcplba_xq">
        <w:r>
          <w:rPr>
            <w:rFonts w:ascii="Calibri" w:cs="Calibri" w:eastAsia="Calibri" w:hAnsi="Calibri"/>
            <w:color w:val="0563C1"/>
            <w:sz w:val="20"/>
            <w:szCs w:val="20"/>
            <w:u w:val="single"/>
          </w:rPr>
          <w:t xml:space="preserve">Addis Ababa IDF under climate change</w:t>
        </w:r>
      </w:hyperlink>
    </w:p>
    <w:p>
      <w:pPr>
        <w:pStyle w:val="ListParagraph"/>
        <w:numPr>
          <w:ilvl w:val="0"/>
          <w:numId w:val="2"/>
        </w:numPr>
        <w:spacing w:after="50" w:line="264"/>
      </w:pPr>
      <w:r>
        <w:rPr>
          <w:rFonts w:ascii="Calibri" w:cs="Calibri" w:eastAsia="Calibri" w:hAnsi="Calibri"/>
          <w:sz w:val="20"/>
          <w:szCs w:val="20"/>
        </w:rPr>
        <w:t xml:space="preserve">Adugna D. et al. (2019). </w:t>
      </w:r>
      <w:hyperlink w:history="1" r:id="rIdc90q9nlhxzwa3mcrlelhu">
        <w:r>
          <w:rPr>
            <w:rFonts w:ascii="Calibri" w:cs="Calibri" w:eastAsia="Calibri" w:hAnsi="Calibri"/>
            <w:color w:val="0563C1"/>
            <w:sz w:val="20"/>
            <w:szCs w:val="20"/>
            <w:u w:val="single"/>
          </w:rPr>
          <w:t xml:space="preserve">Hydraulic capacity of Addis Ababa drains, J. Hydrology: Regional Studies 25</w:t>
        </w:r>
      </w:hyperlink>
    </w:p>
    <w:p>
      <w:pPr>
        <w:pStyle w:val="ListParagraph"/>
        <w:numPr>
          <w:ilvl w:val="0"/>
          <w:numId w:val="2"/>
        </w:numPr>
        <w:spacing w:after="50" w:line="264"/>
      </w:pPr>
      <w:r>
        <w:rPr>
          <w:rFonts w:ascii="Calibri" w:cs="Calibri" w:eastAsia="Calibri" w:hAnsi="Calibri"/>
          <w:sz w:val="20"/>
          <w:szCs w:val="20"/>
        </w:rPr>
        <w:t xml:space="preserve">Alemu H. (2017). </w:t>
      </w:r>
      <w:hyperlink w:history="1" r:id="rIdr4q0uh1p9gm9riwfcw1t6">
        <w:r>
          <w:rPr>
            <w:rFonts w:ascii="Calibri" w:cs="Calibri" w:eastAsia="Calibri" w:hAnsi="Calibri"/>
            <w:color w:val="0563C1"/>
            <w:sz w:val="20"/>
            <w:szCs w:val="20"/>
            <w:u w:val="single"/>
          </w:rPr>
          <w:t xml:space="preserve">Zenebe Werk drainage flooding</w:t>
        </w:r>
      </w:hyperlink>
    </w:p>
    <w:p>
      <w:pPr>
        <w:pStyle w:val="ListParagraph"/>
        <w:numPr>
          <w:ilvl w:val="0"/>
          <w:numId w:val="2"/>
        </w:numPr>
        <w:spacing w:after="50" w:line="264"/>
      </w:pPr>
      <w:r>
        <w:rPr>
          <w:rFonts w:ascii="Calibri" w:cs="Calibri" w:eastAsia="Calibri" w:hAnsi="Calibri"/>
          <w:sz w:val="20"/>
          <w:szCs w:val="20"/>
        </w:rPr>
        <w:t xml:space="preserve">Fisha H. (2015). </w:t>
      </w:r>
      <w:hyperlink w:history="1" r:id="rIdn39_huke2cnwubrlwwcfp">
        <w:r>
          <w:rPr>
            <w:rFonts w:ascii="Calibri" w:cs="Calibri" w:eastAsia="Calibri" w:hAnsi="Calibri"/>
            <w:color w:val="0563C1"/>
            <w:sz w:val="20"/>
            <w:szCs w:val="20"/>
            <w:u w:val="single"/>
          </w:rPr>
          <w:t xml:space="preserve">Meshualekiya–Gotera LRT flood assessment (SWMM versus Rational)</w:t>
        </w:r>
      </w:hyperlink>
    </w:p>
    <w:p>
      <w:pPr>
        <w:pStyle w:val="ListParagraph"/>
        <w:numPr>
          <w:ilvl w:val="0"/>
          <w:numId w:val="2"/>
        </w:numPr>
        <w:spacing w:after="50" w:line="264"/>
      </w:pPr>
      <w:r>
        <w:rPr>
          <w:rFonts w:ascii="Calibri" w:cs="Calibri" w:eastAsia="Calibri" w:hAnsi="Calibri"/>
          <w:sz w:val="20"/>
          <w:szCs w:val="20"/>
        </w:rPr>
        <w:t xml:space="preserve">Akaki Kality subcity (2024). </w:t>
      </w:r>
      <w:hyperlink w:history="1" r:id="rIdbg-zhvgfxtroku0kgmro7">
        <w:r>
          <w:rPr>
            <w:rFonts w:ascii="Calibri" w:cs="Calibri" w:eastAsia="Calibri" w:hAnsi="Calibri"/>
            <w:color w:val="0563C1"/>
            <w:sz w:val="20"/>
            <w:szCs w:val="20"/>
            <w:u w:val="single"/>
          </w:rPr>
          <w:t xml:space="preserve">Causes of stormwater drain failure</w:t>
        </w:r>
      </w:hyperlink>
    </w:p>
    <w:p>
      <w:pPr>
        <w:pStyle w:val="ListParagraph"/>
        <w:numPr>
          <w:ilvl w:val="0"/>
          <w:numId w:val="2"/>
        </w:numPr>
        <w:spacing w:after="50" w:line="264"/>
      </w:pPr>
      <w:r>
        <w:rPr>
          <w:rFonts w:ascii="Calibri" w:cs="Calibri" w:eastAsia="Calibri" w:hAnsi="Calibri"/>
          <w:sz w:val="20"/>
          <w:szCs w:val="20"/>
        </w:rPr>
        <w:t xml:space="preserve">Chow V.T. (1959), Manning n table. </w:t>
      </w:r>
      <w:hyperlink w:history="1" r:id="rIdmxlqkj0ifbgamrfj67htt">
        <w:r>
          <w:rPr>
            <w:rFonts w:ascii="Calibri" w:cs="Calibri" w:eastAsia="Calibri" w:hAnsi="Calibri"/>
            <w:color w:val="0563C1"/>
            <w:sz w:val="20"/>
            <w:szCs w:val="20"/>
            <w:u w:val="single"/>
          </w:rPr>
          <w:t xml:space="preserve">Reproduced by Ponce, San Diego State University</w:t>
        </w:r>
      </w:hyperlink>
    </w:p>
    <w:sectPr>
      <w:footerReference w:type="default" r:id="rId8"/>
      <w:pgSz w:w="16838" w:h="11906" w:orient="landscape"/>
      <w:pgMar w:top="1100" w:right="1273" w:bottom="11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02 Revised Paper Outline and Illustration Table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02 Revised Paper Outline and Illustration Table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02 Revised Paper Outline and Illustration Table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10" w:before="220"/>
      <w:outlineLvl w:val="1"/>
    </w:pPr>
    <w:rPr>
      <w:rFonts w:ascii="Calibri" w:cs="Calibri" w:eastAsia="Calibri" w:hAnsi="Calibri"/>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m4bqr_wygwhrdrhp_94vi" Type="http://schemas.openxmlformats.org/officeDocument/2006/relationships/hyperlink" Target="https://etd.aau.edu.et/bitstreams/0ef2d9ac-1755-4730-905a-9b1eb6e9742d/download" TargetMode="External"/><Relationship Id="rIdogvikxfjenp8c4g3l-vb9" Type="http://schemas.openxmlformats.org/officeDocument/2006/relationships/hyperlink" Target="https://etd.aau.edu.et/items/56528229-cc87-4d85-9339-07d330cba806/full" TargetMode="External"/><Relationship Id="rIdv7n354n4hbjauw3xihtw_" Type="http://schemas.openxmlformats.org/officeDocument/2006/relationships/hyperlink" Target="https://www.research4cap.org/wp-content/uploads/ral/CrownAgents-Ethiopia-2012-Drainage+Manual+Workshop-AFCAPeth005t-v120606.pdf" TargetMode="External"/><Relationship Id="rIdqhchwby2hsymw7zhukbrx" Type="http://schemas.openxmlformats.org/officeDocument/2006/relationships/hyperlink" Target="https://etd.aau.edu.et/bitstreams/f1a84f9c-9c41-4fb2-a957-c85176a87147/download" TargetMode="External"/><Relationship Id="rIdwuljyc_eo3jcbcplba_xq" Type="http://schemas.openxmlformats.org/officeDocument/2006/relationships/hyperlink" Target="https://etd.aau.edu.et/items/7b79743b-4e3d-411f-a9c6-1e99d34b5318/full" TargetMode="External"/><Relationship Id="rIdc90q9nlhxzwa3mcrlelhu" Type="http://schemas.openxmlformats.org/officeDocument/2006/relationships/hyperlink" Target="https://doaj.org/article/caeb811f3faa4e5588d2f77d883b2958" TargetMode="External"/><Relationship Id="rIdr4q0uh1p9gm9riwfcw1t6" Type="http://schemas.openxmlformats.org/officeDocument/2006/relationships/hyperlink" Target="https://etd.aau.edu.et/items/4324bf0e-01ec-4853-bde3-911d806cfc2a/full" TargetMode="External"/><Relationship Id="rIdn39_huke2cnwubrlwwcfp" Type="http://schemas.openxmlformats.org/officeDocument/2006/relationships/hyperlink" Target="https://etd.aau.edu.et/items/ecd2dac8-43fc-4f48-bf26-8ce2ab787abf/full" TargetMode="External"/><Relationship Id="rIdbg-zhvgfxtroku0kgmro7" Type="http://schemas.openxmlformats.org/officeDocument/2006/relationships/hyperlink" Target="https://etd.aau.edu.et/items/970624d1-526f-4b78-a414-c24979ed5587" TargetMode="External"/><Relationship Id="rIdmxlqkj0ifbgamrfj67htt" Type="http://schemas.openxmlformats.org/officeDocument/2006/relationships/hyperlink" Target="https://ponce.sdsu.edu/openchannel/open_channel_hydraulics_05_manningsntable.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2026-10-24T11:04:12.908Z</dcterms:created>
  <dcterms:modified xsi:type="dcterms:W3CDTF">2026-10-24T11:04:12.908Z</dcterms:modified>
</cp:coreProperties>
</file>

<file path=docProps/custom.xml><?xml version="1.0" encoding="utf-8"?>
<Properties xmlns="http://schemas.openxmlformats.org/officeDocument/2006/custom-properties" xmlns:vt="http://schemas.openxmlformats.org/officeDocument/2006/docPropsVTypes"/>
</file>