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Brand"/>
        <w:spacing w:before="2200" w:after="700"/>
        <w:jc w:val="center"/>
      </w:pPr>
      <w:r>
        <w:t xml:space="preserve">C360  |  QUẢN LÝ KHÁCH HÀNG</w:t>
      </w:r>
    </w:p>
    <w:p>
      <w:pPr>
        <w:pStyle w:val="CoverRule"/>
        <w:spacing w:before="0" w:after="700"/>
        <w:jc w:val="center"/>
      </w:pPr>
      <w:r>
        <w:t xml:space="preserve">━━━━━━━━━━━━━━━━━━━━</w:t>
      </w:r>
    </w:p>
    <w:p>
      <w:pPr>
        <w:pStyle w:val="CoverTitle"/>
        <w:spacing w:before="0" w:after="400"/>
        <w:jc w:val="center"/>
      </w:pPr>
      <w:r>
        <w:t xml:space="preserve">KIẾN TRÚC HỆ THỐNG VÀ ERD C360</w:t>
      </w:r>
    </w:p>
    <w:p>
      <w:pPr>
        <w:pStyle w:val="CoverCode"/>
        <w:spacing w:before="0" w:after="700"/>
        <w:jc w:val="center"/>
      </w:pPr>
      <w:r>
        <w:t xml:space="preserve">C360-ARC-10   •   PHIÊN BẢN 1.0</w:t>
      </w:r>
    </w:p>
    <w:p>
      <w:pPr>
        <w:pStyle w:val="CoverAudience"/>
        <w:spacing w:before="0" w:after="1800"/>
        <w:jc w:val="center"/>
      </w:pPr>
      <w:r>
        <w:t xml:space="preserve">Dành cho: Phát triển và quản trị kỹ thuật</w:t>
      </w:r>
    </w:p>
    <w:p>
      <w:pPr>
        <w:pStyle w:val="CoverNote"/>
        <w:spacing w:before="0" w:after="120"/>
        <w:jc w:val="center"/>
      </w:pPr>
      <w:r>
        <w:t xml:space="preserve">TÀI LIỆU NỘI BỘ   •   Ngày lập 21/09/2026</w:t>
      </w:r>
    </w:p>
    <w:p>
      <w:pPr>
        <w:pStyle w:val="Normal"/>
        <w:spacing w:before="0" w:after="0"/>
      </w:pPr>
      <w:r>
        <w:br w:type="page"/>
      </w:r>
    </w:p>
    <w:p>
      <w:pPr>
        <w:pStyle w:val="FrontHeading"/>
        <w:spacing w:before="0" w:after="120"/>
        <w:keepNext/>
      </w:pPr>
      <w:r>
        <w:t xml:space="preserve">THÔNG TIN KIỂM SOÁT TÀI LIỆU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2350"/>
        <w:gridCol w:w="7090"/>
      </w:tblGrid>
      <w:tr>
        <w:trPr>
          <w:cantSplit/>
        </w:trPr>
        <w:tc>
          <w:tcPr>
            <w:tcW w:w="23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Thông tin</w:t>
            </w:r>
          </w:p>
        </w:tc>
        <w:tc>
          <w:tcPr>
            <w:tcW w:w="709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Giá trị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TableText"/>
              <w:spacing w:before="0" w:after="0"/>
            </w:pPr>
            <w:r>
              <w:t xml:space="preserve">Mã tài liệu</w:t>
            </w:r>
          </w:p>
        </w:tc>
        <w:tc>
          <w:tcPr>
            <w:tcW w:w="7090" w:type="dxa"/>
          </w:tcPr>
          <w:p>
            <w:pPr>
              <w:pStyle w:val="TableText"/>
              <w:spacing w:before="0" w:after="0"/>
            </w:pPr>
            <w:r>
              <w:t xml:space="preserve">C360-ARC-10</w:t>
            </w:r>
          </w:p>
        </w:tc>
      </w:tr>
      <w:tr>
        <w:trPr>
          <w:cantSplit/>
        </w:trPr>
        <w:tc>
          <w:tcPr>
            <w:tcW w:w="235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Phiên bản</w:t>
            </w:r>
          </w:p>
        </w:tc>
        <w:tc>
          <w:tcPr>
            <w:tcW w:w="709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1.0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TableText"/>
              <w:spacing w:before="0" w:after="0"/>
            </w:pPr>
            <w:r>
              <w:t xml:space="preserve">Ngày lập</w:t>
            </w:r>
          </w:p>
        </w:tc>
        <w:tc>
          <w:tcPr>
            <w:tcW w:w="7090" w:type="dxa"/>
          </w:tcPr>
          <w:p>
            <w:pPr>
              <w:pStyle w:val="TableText"/>
              <w:spacing w:before="0" w:after="0"/>
            </w:pPr>
            <w:r>
              <w:t xml:space="preserve">21/09/2026</w:t>
            </w:r>
          </w:p>
        </w:tc>
      </w:tr>
      <w:tr>
        <w:trPr>
          <w:cantSplit/>
        </w:trPr>
        <w:tc>
          <w:tcPr>
            <w:tcW w:w="235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Trạng thái</w:t>
            </w:r>
          </w:p>
        </w:tc>
        <w:tc>
          <w:tcPr>
            <w:tcW w:w="709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Bản lập hồ sơ, chờ kiểm tra/phê duyệt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TableText"/>
              <w:spacing w:before="0" w:after="0"/>
            </w:pPr>
            <w:r>
              <w:t xml:space="preserve">Đối tượng</w:t>
            </w:r>
          </w:p>
        </w:tc>
        <w:tc>
          <w:tcPr>
            <w:tcW w:w="7090" w:type="dxa"/>
          </w:tcPr>
          <w:p>
            <w:pPr>
              <w:pStyle w:val="TableText"/>
              <w:spacing w:before="0" w:after="0"/>
            </w:pPr>
            <w:r>
              <w:t xml:space="preserve">Phát triển và quản trị kỹ thuật</w:t>
            </w:r>
          </w:p>
        </w:tc>
      </w:tr>
      <w:tr>
        <w:trPr>
          <w:cantSplit/>
        </w:trPr>
        <w:tc>
          <w:tcPr>
            <w:tcW w:w="235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Đơn vị quản lý</w:t>
            </w:r>
          </w:p>
        </w:tc>
        <w:tc>
          <w:tcPr>
            <w:tcW w:w="709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Đơn vị quản lý hệ thống C360</w:t>
            </w:r>
          </w:p>
        </w:tc>
      </w:tr>
      <w:tr>
        <w:trPr>
          <w:cantSplit/>
        </w:trPr>
        <w:tc>
          <w:tcPr>
            <w:tcW w:w="2350" w:type="dxa"/>
          </w:tcPr>
          <w:p>
            <w:pPr>
              <w:pStyle w:val="TableText"/>
              <w:spacing w:before="0" w:after="0"/>
            </w:pPr>
            <w:r>
              <w:t xml:space="preserve">Phạm vi lưu hành</w:t>
            </w:r>
          </w:p>
        </w:tc>
        <w:tc>
          <w:tcPr>
            <w:tcW w:w="7090" w:type="dxa"/>
          </w:tcPr>
          <w:p>
            <w:pPr>
              <w:pStyle w:val="TableText"/>
              <w:spacing w:before="0" w:after="0"/>
            </w:pPr>
            <w:r>
              <w:t xml:space="preserve">Nội bộ; không đính kèm dữ liệu KH, mật khẩu hoặc token</w:t>
            </w:r>
          </w:p>
        </w:tc>
      </w:tr>
    </w:tbl>
    <w:p>
      <w:pPr>
        <w:pStyle w:val="FrontSubheading"/>
        <w:spacing w:before="0" w:after="120"/>
        <w:keepNext/>
      </w:pPr>
      <w:r>
        <w:t xml:space="preserve">Xác nhận tài liệu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2250"/>
        <w:gridCol w:w="3650"/>
        <w:gridCol w:w="1800"/>
        <w:gridCol w:w="1740"/>
      </w:tblGrid>
      <w:tr>
        <w:trPr>
          <w:cantSplit/>
        </w:trPr>
        <w:tc>
          <w:tcPr>
            <w:tcW w:w="22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Vai trò</w:t>
            </w:r>
          </w:p>
        </w:tc>
        <w:tc>
          <w:tcPr>
            <w:tcW w:w="36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Họ và tên / Chức danh</w:t>
            </w:r>
          </w:p>
        </w:tc>
        <w:tc>
          <w:tcPr>
            <w:tcW w:w="180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Chữ ký</w:t>
            </w:r>
          </w:p>
        </w:tc>
        <w:tc>
          <w:tcPr>
            <w:tcW w:w="174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Ngày ký</w:t>
            </w:r>
          </w:p>
        </w:tc>
      </w:tr>
      <w:tr>
        <w:trPr>
          <w:cantSplit/>
        </w:trPr>
        <w:tc>
          <w:tcPr>
            <w:tcW w:w="2250" w:type="dxa"/>
          </w:tcPr>
          <w:p>
            <w:pPr>
              <w:pStyle w:val="TableText"/>
              <w:spacing w:before="0" w:after="0"/>
            </w:pPr>
            <w:r>
              <w:t xml:space="preserve">Người lập</w:t>
            </w:r>
          </w:p>
        </w:tc>
        <w:tc>
          <w:tcPr>
            <w:tcW w:w="3650" w:type="dxa"/>
          </w:tcPr>
          <w:p>
            <w:pPr>
              <w:pStyle w:val="TableText"/>
              <w:spacing w:before="0" w:after="0"/>
            </w:pPr>
          </w:p>
        </w:tc>
        <w:tc>
          <w:tcPr>
            <w:tcW w:w="1800" w:type="dxa"/>
          </w:tcPr>
          <w:p>
            <w:pPr>
              <w:pStyle w:val="TableText"/>
              <w:spacing w:before="0" w:after="0"/>
            </w:pPr>
          </w:p>
        </w:tc>
        <w:tc>
          <w:tcPr>
            <w:tcW w:w="1740" w:type="dxa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225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Người kiểm tra nghiệp vụ</w:t>
            </w:r>
          </w:p>
        </w:tc>
        <w:tc>
          <w:tcPr>
            <w:tcW w:w="3650" w:type="dxa"/>
            <w:shd w:fill="F8FAFB"/>
          </w:tcPr>
          <w:p>
            <w:pPr>
              <w:pStyle w:val="TableText"/>
              <w:spacing w:before="0" w:after="0"/>
            </w:pPr>
          </w:p>
        </w:tc>
        <w:tc>
          <w:tcPr>
            <w:tcW w:w="1800" w:type="dxa"/>
            <w:shd w:fill="F8FAFB"/>
          </w:tcPr>
          <w:p>
            <w:pPr>
              <w:pStyle w:val="TableText"/>
              <w:spacing w:before="0" w:after="0"/>
            </w:pPr>
          </w:p>
        </w:tc>
        <w:tc>
          <w:tcPr>
            <w:tcW w:w="1740" w:type="dxa"/>
            <w:shd w:fill="F8FAFB"/>
          </w:tcPr>
          <w:p>
            <w:pPr>
              <w:pStyle w:val="TableText"/>
              <w:spacing w:before="0" w:after="0"/>
            </w:pPr>
          </w:p>
        </w:tc>
      </w:tr>
      <w:tr>
        <w:trPr>
          <w:cantSplit/>
        </w:trPr>
        <w:tc>
          <w:tcPr>
            <w:tcW w:w="2250" w:type="dxa"/>
          </w:tcPr>
          <w:p>
            <w:pPr>
              <w:pStyle w:val="TableText"/>
              <w:spacing w:before="0" w:after="0"/>
            </w:pPr>
            <w:r>
              <w:t xml:space="preserve">Người phê duyệt</w:t>
            </w:r>
          </w:p>
        </w:tc>
        <w:tc>
          <w:tcPr>
            <w:tcW w:w="3650" w:type="dxa"/>
          </w:tcPr>
          <w:p>
            <w:pPr>
              <w:pStyle w:val="TableText"/>
              <w:spacing w:before="0" w:after="0"/>
            </w:pPr>
          </w:p>
        </w:tc>
        <w:tc>
          <w:tcPr>
            <w:tcW w:w="1800" w:type="dxa"/>
          </w:tcPr>
          <w:p>
            <w:pPr>
              <w:pStyle w:val="TableText"/>
              <w:spacing w:before="0" w:after="0"/>
            </w:pPr>
          </w:p>
        </w:tc>
        <w:tc>
          <w:tcPr>
            <w:tcW w:w="1740" w:type="dxa"/>
          </w:tcPr>
          <w:p>
            <w:pPr>
              <w:pStyle w:val="TableText"/>
              <w:spacing w:before="0" w:after="0"/>
            </w:pPr>
          </w:p>
        </w:tc>
      </w:tr>
    </w:tbl>
    <w:p>
      <w:pPr>
        <w:pStyle w:val="FrontSubheading"/>
        <w:spacing w:before="0" w:after="120"/>
        <w:keepNext/>
      </w:pPr>
      <w:r>
        <w:t xml:space="preserve">Lịch sử phiên bản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1450"/>
        <w:gridCol w:w="1800"/>
        <w:gridCol w:w="4640"/>
        <w:gridCol w:w="1550"/>
      </w:tblGrid>
      <w:tr>
        <w:trPr>
          <w:cantSplit/>
        </w:trPr>
        <w:tc>
          <w:tcPr>
            <w:tcW w:w="14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Phiên bản</w:t>
            </w:r>
          </w:p>
        </w:tc>
        <w:tc>
          <w:tcPr>
            <w:tcW w:w="180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Ngày lập</w:t>
            </w:r>
          </w:p>
        </w:tc>
        <w:tc>
          <w:tcPr>
            <w:tcW w:w="464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Nội dung thay đổi</w:t>
            </w:r>
          </w:p>
        </w:tc>
        <w:tc>
          <w:tcPr>
            <w:tcW w:w="155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Người thực hiện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pStyle w:val="TableText"/>
              <w:spacing w:before="0" w:after="0"/>
            </w:pPr>
            <w:r>
              <w:t xml:space="preserve">1.0</w:t>
            </w:r>
          </w:p>
        </w:tc>
        <w:tc>
          <w:tcPr>
            <w:tcW w:w="1800" w:type="dxa"/>
          </w:tcPr>
          <w:p>
            <w:pPr>
              <w:pStyle w:val="TableText"/>
              <w:spacing w:before="0" w:after="0"/>
            </w:pPr>
            <w:r>
              <w:t xml:space="preserve">21/09/2026</w:t>
            </w:r>
          </w:p>
        </w:tc>
        <w:tc>
          <w:tcPr>
            <w:tcW w:w="4640" w:type="dxa"/>
          </w:tcPr>
          <w:p>
            <w:pPr>
              <w:pStyle w:val="TableText"/>
              <w:spacing w:before="0" w:after="0"/>
            </w:pPr>
            <w:r>
              <w:t xml:space="preserve">Lập tài liệu lần đầu theo giao diện và mã nguồn C360 hiện tại</w:t>
            </w:r>
          </w:p>
        </w:tc>
        <w:tc>
          <w:tcPr>
            <w:tcW w:w="1550" w:type="dxa"/>
          </w:tcPr>
          <w:p>
            <w:pPr>
              <w:pStyle w:val="TableText"/>
              <w:spacing w:before="0" w:after="0"/>
            </w:pPr>
            <w:r>
              <w:t xml:space="preserve">Chờ điền</w:t>
            </w:r>
          </w:p>
        </w:tc>
      </w:tr>
    </w:tbl>
    <w:p>
      <w:pPr>
        <w:pStyle w:val="Quote"/>
        <w:spacing w:before="260" w:after="120"/>
      </w:pPr>
      <w:r>
        <w:t xml:space="preserve">Lưu ý: Các ô ký xác nhận để trống theo chủ ý. Bản Word chưa phải tài liệu đã phê duyệt cho đến khi đơn vị có thẩm quyền rà soát và ký.</w:t>
      </w:r>
    </w:p>
    <w:p>
      <w:pPr>
        <w:pStyle w:val="Normal"/>
        <w:spacing w:before="0" w:after="0"/>
      </w:pPr>
      <w:r>
        <w:br w:type="page"/>
      </w:r>
    </w:p>
    <w:p>
      <w:pPr>
        <w:pStyle w:val="FrontHeading"/>
        <w:spacing w:before="0" w:after="120"/>
        <w:keepNext/>
      </w:pPr>
      <w:r>
        <w:t xml:space="preserve">MỤC LỤC</w:t>
      </w:r>
    </w:p>
    <w:p>
      <w:pPr>
        <w:pStyle w:val="Normal"/>
        <w:spacing w:before="0" w:after="12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Mục lục sẽ được cập nhật khi mở bằng Microsoft Word.</w:t>
      </w:r>
      <w:r>
        <w:fldChar w:fldCharType="end"/>
      </w:r>
    </w:p>
    <w:p>
      <w:pPr>
        <w:pStyle w:val="Quote"/>
        <w:spacing w:before="0" w:after="120"/>
      </w:pPr>
      <w:r>
        <w:t xml:space="preserve">Nếu Word chưa hiện số trang: nhấn Ctrl+A, F9 rồi lưu lại tài liệu.</w:t>
      </w:r>
    </w:p>
    <w:p>
      <w:pPr>
        <w:pStyle w:val="Normal"/>
        <w:spacing w:before="0" w:after="0"/>
      </w:pPr>
      <w:r>
        <w:br w:type="page"/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b/>
        </w:rPr>
        <w:t xml:space="preserve">Mã tài liệu:</w:t>
      </w:r>
      <w:r>
        <w:t xml:space="preserve"> C360-ARC-10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b/>
        </w:rPr>
        <w:t xml:space="preserve">Phiên bản:</w:t>
      </w:r>
      <w:r>
        <w:t xml:space="preserve"> 1.0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b/>
        </w:rPr>
        <w:t xml:space="preserve">Ngày cập nhật:</w:t>
      </w:r>
      <w:r>
        <w:t xml:space="preserve"> 21/09/2026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b/>
        </w:rPr>
        <w:t xml:space="preserve">Đối tượng:</w:t>
      </w:r>
      <w:r>
        <w:t xml:space="preserve"> Phát triển, quản trị hệ thống, quản trị dữ liệu và đơn vị nghiệm thu kỹ thuật</w:t>
      </w:r>
    </w:p>
    <w:p>
      <w:pPr>
        <w:pStyle w:val="Heading1"/>
        <w:spacing w:before="280" w:after="130"/>
        <w:keepNext/>
      </w:pPr>
      <w:r>
        <w:t xml:space="preserve">1. Mục tiêu kiến trúc</w:t>
      </w:r>
    </w:p>
    <w:p>
      <w:pPr>
        <w:pStyle w:val="Normal"/>
        <w:spacing w:before="0" w:after="120"/>
      </w:pPr>
      <w:r>
        <w:t xml:space="preserve">C360 được thiết kế để:</w:t>
      </w:r>
    </w:p>
    <w:p>
      <w:pPr>
        <w:pStyle w:val="ListText"/>
        <w:spacing w:before="0" w:after="70"/>
        <w:ind w:left="360"/>
      </w:pPr>
      <w:r>
        <w:t xml:space="preserve">• Chạy độc lập trong mạng LAN không có Internet sau khi đã chuẩn bị image.</w:t>
      </w:r>
    </w:p>
    <w:p>
      <w:pPr>
        <w:pStyle w:val="ListText"/>
        <w:spacing w:before="0" w:after="70"/>
        <w:ind w:left="360"/>
      </w:pPr>
      <w:r>
        <w:t xml:space="preserve">• Hợp nhất khách hàng theo mã KH lõi từ Kho CIF.</w:t>
      </w:r>
    </w:p>
    <w:p>
      <w:pPr>
        <w:pStyle w:val="ListText"/>
        <w:spacing w:before="0" w:after="70"/>
        <w:ind w:left="360"/>
      </w:pPr>
      <w:r>
        <w:t xml:space="preserve">• Lưu nguồn theo kỳ, xử lý ra chi tiết KH–chi nhánh và hồ sơ KH tổng hợp.</w:t>
      </w:r>
    </w:p>
    <w:p>
      <w:pPr>
        <w:pStyle w:val="ListText"/>
        <w:spacing w:before="0" w:after="70"/>
        <w:ind w:left="360"/>
      </w:pPr>
      <w:r>
        <w:t xml:space="preserve">• Áp dụng quyền chức năng, phạm vi dữ liệu và quyền trường nhạy cảm tại backend.</w:t>
      </w:r>
    </w:p>
    <w:p>
      <w:pPr>
        <w:pStyle w:val="ListText"/>
        <w:spacing w:before="0" w:after="70"/>
        <w:ind w:left="360"/>
      </w:pPr>
      <w:r>
        <w:t xml:space="preserve">• Phục vụ Dashboard, phân tích, hồ sơ KH và xuất Excel mà vẫn truy vết được nguồn.</w:t>
      </w:r>
    </w:p>
    <w:p>
      <w:pPr>
        <w:pStyle w:val="ListText"/>
        <w:spacing w:before="0" w:after="70"/>
        <w:ind w:left="360"/>
      </w:pPr>
      <w:r>
        <w:t xml:space="preserve">• Có thể mở rộng thêm nguồn mà không thay đổi ý nghĩa các bảng nguồn hiện có.</w:t>
      </w:r>
    </w:p>
    <w:p>
      <w:pPr>
        <w:pStyle w:val="Heading1"/>
        <w:spacing w:before="280" w:after="130"/>
        <w:keepNext/>
      </w:pPr>
      <w:r>
        <w:t xml:space="preserve">2. Công nghệ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4720"/>
        <w:gridCol w:w="4720"/>
      </w:tblGrid>
      <w:tr>
        <w:trPr>
          <w:cantSplit/>
        </w:trPr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Lớp</w:t>
            </w:r>
          </w:p>
        </w:tc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Công nghệ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Frontend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React 19, Vite, Ant Design, Axios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Web/proxy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Nginx trong container frontend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Backend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Python 3.12, FastAPI, SQLAlchemy, Polars/openpyxl/xlrd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Database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PostgreSQL 16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Cache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Redis 7, cache không bền vững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Migration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Alembic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Đóng gói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Docker Compose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CI/CD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GitHub Actions, GHCR và self-hosted runner khi có Internet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Mạng nội bộ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IP tĩnh, DNS CoreDNS tùy chọn, firewall Windows</w:t>
            </w:r>
          </w:p>
        </w:tc>
      </w:tr>
    </w:tbl>
    <w:p>
      <w:pPr>
        <w:pStyle w:val="Heading1"/>
        <w:spacing w:before="280" w:after="130"/>
        <w:keepNext/>
      </w:pPr>
      <w:r>
        <w:t xml:space="preserve">3. Sơ đồ triển khai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flowchart LR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U[Máy người dùng trong LAN] --&gt;|HTTP cổng 80| N[Nginx + React\nqlkh_frontend]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N --&gt;|/api| A[FastAPI\nqlkh_backend]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A --&gt; P[(PostgreSQL 16\nqlkh_postgres)]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A --&gt; R[(Redis 7\nqlkh_redis)]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A --&gt; F[(Uploads / Exports / Documents\nổ D của máy chủ)]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D[CoreDNS tùy chọn] --&gt; U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t xml:space="preserve">Frontend chỉ công khai cổng 80. Nginx giữ nguyên prefix </w:t>
      </w:r>
      <w:r>
        <w:rPr>
          <w:rFonts w:ascii="Consolas" w:hAnsi="Consolas"/>
          <w:color w:val="8A1538"/>
          <w:sz w:val="18"/>
        </w:rPr>
        <w:t xml:space="preserve">/api</w:t>
      </w:r>
      <w:r>
        <w:t xml:space="preserve"> khi proxy tới </w:t>
      </w:r>
      <w:r>
        <w:rPr>
          <w:rFonts w:ascii="Consolas" w:hAnsi="Consolas"/>
          <w:color w:val="8A1538"/>
          <w:sz w:val="18"/>
        </w:rPr>
        <w:t xml:space="preserve">backend:8000</w:t>
      </w:r>
      <w:r>
        <w:t xml:space="preserve">. Cổng backend trực tiếp nên bind </w:t>
      </w:r>
      <w:r>
        <w:rPr>
          <w:rFonts w:ascii="Consolas" w:hAnsi="Consolas"/>
          <w:color w:val="8A1538"/>
          <w:sz w:val="18"/>
        </w:rPr>
        <w:t xml:space="preserve">127.0.0.1</w:t>
      </w:r>
      <w:r>
        <w:t xml:space="preserve"> hoặc không public ở production; PostgreSQL 5432 chỉ mở khi có nhu cầu quản trị và được firewall giới hạn.</w:t>
      </w:r>
    </w:p>
    <w:p>
      <w:pPr>
        <w:pStyle w:val="Heading1"/>
        <w:spacing w:before="280" w:after="130"/>
        <w:keepNext/>
      </w:pPr>
      <w:r>
        <w:t xml:space="preserve">4. Luồng request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sequenceDiagram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participant B as Trình duyệt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participant N as Nginx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participant A as FastAPI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participant C as Redis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participant P as PostgreSQL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B-&gt;&gt;N: GET /api/... + token + scope/filter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N-&gt;&gt;A: Proxy request và IP header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A-&gt;&gt;A: Xác thực phiên, quyền, phạm vi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A-&gt;&gt;C: Tìm cache theo user/session/query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alt Cache hit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    C--&gt;&gt;A: JSON đã cache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else Cache miss hoặc Redis lỗi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    A-&gt;&gt;P: Query đã áp dụng scope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    P--&gt;&gt;A: Dữ liệu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    A-&gt;&gt;C: Cache nếu phù hợp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end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A--&gt;&gt;B: Response đã mask dữ liệu nhạy cảm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t xml:space="preserve">Redis là lớp tăng tốc không phải nguồn dữ liệu. Redis lỗi phải fallback PostgreSQL và không làm thay đổi kết quả nghiệp vụ.</w:t>
      </w:r>
    </w:p>
    <w:p>
      <w:pPr>
        <w:pStyle w:val="Heading1"/>
        <w:spacing w:before="280" w:after="130"/>
        <w:keepNext/>
      </w:pPr>
      <w:r>
        <w:t xml:space="preserve">5. Luồng dữ liệu nghiệp vụ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flowchart TD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CIF[CSV/XLS/XLSX CIF] --&gt; CI[Kho CIF + lịch sử/xung đột]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SRC[DP01 LN01 CN05 PF10 PF14\nBC06 BC29 KH02 FTPLN RR01 GL02] --&gt; IB[Import batch/file]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OPT[Bill Payment/Bảo lãnh/OAB] --&gt; OF[File bổ sung theo kỳ]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IB --&gt; RAW[Bảng nguồn chuẩn hóa + raw_data]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 --&gt; JOB[Xử lý dữ liệu KH]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RAW --&gt; JOB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OF --&gt; JOB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JOB --&gt; BD[customer_period_branch_details]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JOB --&gt; PF[customer_period_profiles]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JOB --&gt; RC[customer_source_reconciliations]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BD --&gt; API[Dashboard / Phân tích / Hồ sơ / Excel]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PF --&gt; API</w:t>
      </w:r>
    </w:p>
    <w:p>
      <w:pPr>
        <w:pStyle w:val="Normal"/>
        <w:spacing w:before="0" w:after="60"/>
      </w:pPr>
    </w:p>
    <w:p>
      <w:pPr>
        <w:pStyle w:val="Heading2"/>
        <w:spacing w:before="170" w:after="130"/>
        <w:keepNext/>
      </w:pPr>
      <w:r>
        <w:t xml:space="preserve">Grain chính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4720"/>
        <w:gridCol w:w="4720"/>
      </w:tblGrid>
      <w:tr>
        <w:trPr>
          <w:cantSplit/>
        </w:trPr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Lớp</w:t>
            </w:r>
          </w:p>
        </w:tc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Grain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CIF source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Một dòng nguồn CIF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CIF identifier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Một mã CIF đầy đủ tại một chi nhánh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CIF customer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Một mã KH lõi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Bảng nguồn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Theo grain nguyên bản: tài khoản, khoản vay, giao dịch hoặc KH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Branch detail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Một kỳ + KH lõi + chi nhánh + PGD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Period profile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Một kỳ + KH lõi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Reconciliation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Một job + nguồn + chi nhánh + KH lõi + lý do</w:t>
            </w:r>
          </w:p>
        </w:tc>
      </w:tr>
    </w:tbl>
    <w:p>
      <w:pPr>
        <w:pStyle w:val="Heading1"/>
        <w:spacing w:before="280" w:after="130"/>
        <w:keepNext/>
      </w:pPr>
      <w:r>
        <w:t xml:space="preserve">6. Phân lớp dữ liệu</w:t>
      </w:r>
    </w:p>
    <w:p>
      <w:pPr>
        <w:pStyle w:val="Heading2"/>
        <w:spacing w:before="170" w:after="130"/>
        <w:keepNext/>
      </w:pPr>
      <w:r>
        <w:t xml:space="preserve">6.1. Metadata import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import_batches</w:t>
      </w:r>
      <w:r>
        <w:t xml:space="preserve">: một lần người dùng gửi nhóm file nguồn.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import_files</w:t>
      </w:r>
      <w:r>
        <w:t xml:space="preserve">: từng file, loại nguồn, kỳ, chi nhánh, trạng thái, thời gian và lỗi.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cif_import_batches</w:t>
      </w:r>
      <w:r>
        <w:t xml:space="preserve">: job import CIF và tiến độ.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customer_processing_optional_files</w:t>
      </w:r>
      <w:r>
        <w:t xml:space="preserve">: file bổ sung gắn kỳ.</w:t>
      </w:r>
    </w:p>
    <w:p>
      <w:pPr>
        <w:pStyle w:val="Heading2"/>
        <w:spacing w:before="170" w:after="130"/>
        <w:keepNext/>
      </w:pPr>
      <w:r>
        <w:t xml:space="preserve">6.2. Kho CIF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cif_customers</w:t>
      </w:r>
      <w:r>
        <w:t xml:space="preserve">: golden customer theo mã lõi.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cif_customer_identifiers</w:t>
      </w:r>
      <w:r>
        <w:t xml:space="preserve">: mã CIF đầy đủ theo chi nhánh.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cif_source_records</w:t>
      </w:r>
      <w:r>
        <w:t xml:space="preserve">: bản ghi nguồn/lịch sử phục vụ đối chiếu.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cif_import_errors</w:t>
      </w:r>
      <w:r>
        <w:t xml:space="preserve">: lỗi/cảnh báo từng dòng.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cif_identity_conflicts</w:t>
      </w:r>
      <w:r>
        <w:t xml:space="preserve">: xung đột CCCD/mã số thuế hoặc bản ghi thay đổi.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cif_change_audits</w:t>
      </w:r>
      <w:r>
        <w:t xml:space="preserve">: lịch sử người xác nhận/ghi đè.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cif_golden_rules</w:t>
      </w:r>
      <w:r>
        <w:t xml:space="preserve">: quy tắc chọn bản ghi chuẩn.</w:t>
      </w:r>
    </w:p>
    <w:p>
      <w:pPr>
        <w:pStyle w:val="Heading2"/>
        <w:spacing w:before="170" w:after="130"/>
        <w:keepNext/>
      </w:pPr>
      <w:r>
        <w:t xml:space="preserve">6.3. Bảng nguồn theo kỳ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4720"/>
        <w:gridCol w:w="4720"/>
      </w:tblGrid>
      <w:tr>
        <w:trPr>
          <w:cantSplit/>
        </w:trPr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Nguồn</w:t>
            </w:r>
          </w:p>
        </w:tc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Bảng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DP01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dp01_deposit_accounts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LN01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ln01_loans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CN05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cn05_customer_services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PF10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pf10_loan_profitability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PF14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pf14_account_balances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BC06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bc06_customer_classifications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BC29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bc29_customer_credit_risks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KH02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kh02_customer_transactions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FTPLN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ftpln_daily_loan_ftp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RR01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rr01_handled_risk_loans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GL02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gl02_ledger_transactions</w:t>
            </w:r>
          </w:p>
        </w:tc>
      </w:tr>
    </w:tbl>
    <w:p>
      <w:pPr>
        <w:pStyle w:val="Normal"/>
        <w:spacing w:before="0" w:after="120"/>
      </w:pPr>
      <w:r>
        <w:t xml:space="preserve">Các bảng lưu khóa import, kỳ, chi nhánh, mã KH chuẩn hóa, các cột nghiệp vụ dùng thường xuyên và </w:t>
      </w:r>
      <w:r>
        <w:rPr>
          <w:rFonts w:ascii="Consolas" w:hAnsi="Consolas"/>
          <w:color w:val="8A1538"/>
          <w:sz w:val="18"/>
        </w:rPr>
        <w:t xml:space="preserve">raw_data</w:t>
      </w:r>
      <w:r>
        <w:t xml:space="preserve"> để truy vết.</w:t>
      </w:r>
    </w:p>
    <w:p>
      <w:pPr>
        <w:pStyle w:val="Heading2"/>
        <w:spacing w:before="170" w:after="130"/>
        <w:keepNext/>
      </w:pPr>
      <w:r>
        <w:t xml:space="preserve">6.4. Bảng bổ sung/cấu hình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supplemental_bao_lanh_records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supplemental_oab_records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supplemental_billpayment_transactions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business_matching_rules</w:t>
      </w:r>
      <w:r>
        <w:t xml:space="preserve">: mã dịch vụ/điều kiện ghép có thể thay đổi.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system_configuration_entries</w:t>
      </w:r>
      <w:r>
        <w:t xml:space="preserve">: cấu hình nghiệp vụ có quản trị.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customer_period_exchange_rates</w:t>
      </w:r>
      <w:r>
        <w:t xml:space="preserve">: tỷ giá chuẩn theo kỳ và CCY.</w:t>
      </w:r>
    </w:p>
    <w:p>
      <w:pPr>
        <w:pStyle w:val="Heading2"/>
        <w:spacing w:before="170" w:after="130"/>
        <w:keepNext/>
      </w:pPr>
      <w:r>
        <w:t xml:space="preserve">6.5. Bảng kết quả xử lý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customer_processing_jobs</w:t>
      </w:r>
      <w:r>
        <w:t xml:space="preserve">: trạng thái, tiến độ, báo cáo chất lượng và thời gian.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customer_period_branch_details</w:t>
      </w:r>
      <w:r>
        <w:t xml:space="preserve">: số liệu tại từng quan hệ chi nhánh/PGD.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customer_period_profiles</w:t>
      </w:r>
      <w:r>
        <w:t xml:space="preserve">: hồ sơ tổng hợp toàn bộ quan hệ theo kỳ.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customer_source_reconciliations</w:t>
      </w:r>
      <w:r>
        <w:t xml:space="preserve">: nguồn không khớp CIF và lý do.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customer_period_summaries</w:t>
      </w:r>
      <w:r>
        <w:t xml:space="preserve">: bảng tổng hợp cũ/khả năng tương thích; không nên phát triển thêm nếu profile mới đã đáp ứng.</w:t>
      </w:r>
    </w:p>
    <w:p>
      <w:pPr>
        <w:pStyle w:val="Heading2"/>
        <w:spacing w:before="170" w:after="130"/>
        <w:keepNext/>
      </w:pPr>
      <w:r>
        <w:t xml:space="preserve">6.6. Profile domain mở rộng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customer_branch_relationships</w:t>
      </w:r>
      <w:r>
        <w:t xml:space="preserve">: quan hệ KH–chi nhánh và nơi giao dịch chính.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customer_representatives</w:t>
      </w:r>
      <w:r>
        <w:t xml:space="preserve">: người đại diện/chủ doanh nghiệp.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customer_deposit_period_metrics</w:t>
      </w:r>
      <w:r>
        <w:t xml:space="preserve">: chỉ tiêu tiền gửi theo kỳ.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customer_loan_period_metrics</w:t>
      </w:r>
      <w:r>
        <w:t xml:space="preserve">: chỉ tiêu tiền vay theo kỳ.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customer_revenue_period_metrics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customer_fee_period_metrics</w:t>
      </w:r>
      <w:r>
        <w:t xml:space="preserve">: thu nhập/phí.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product_definitions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customer_product_period_statuses</w:t>
      </w:r>
      <w:r>
        <w:t xml:space="preserve">: danh mục và trạng thái sản phẩm.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profile_metric_definitions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profile_metric_rule_versions</w:t>
      </w:r>
      <w:r>
        <w:t xml:space="preserve">: từ điển chỉ tiêu và phiên bản công thức.</w:t>
      </w:r>
    </w:p>
    <w:p>
      <w:pPr>
        <w:pStyle w:val="Normal"/>
        <w:spacing w:before="0" w:after="120"/>
      </w:pPr>
      <w:r>
        <w:t xml:space="preserve">Các bảng domain cho phép mở rộng 9 nhóm hồ sơ mà không tạo một bảng cực rộng mới cho mỗi file nguồn.</w:t>
      </w:r>
    </w:p>
    <w:p>
      <w:pPr>
        <w:pStyle w:val="Heading1"/>
        <w:spacing w:before="280" w:after="130"/>
        <w:keepNext/>
      </w:pPr>
      <w:r>
        <w:t xml:space="preserve">7. ERD lõi nhập và xử lý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erDiagram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IMPORT_BATCHES ||--o{ IMPORT_FILES : contains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DP01_DEPOSIT_ACCOUNTS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LN01_LOANS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PF10_LOAN_PROFITABILITY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PF14_ACCOUNT_BALANCES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CN05_CUSTOMER_SERVICES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BC06_CUSTOMER_CLASSIFICATIONS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BC29_CUSTOMER_CREDIT_RISKS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KH02_CUSTOMER_TRANSACTIONS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FTPLN_DAILY_LOAN_FTP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RR01_HANDLED_RISK_LOANS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IMPORT_FILES ||--o{ GL02_LEDGER_TRANSACTIONS : loads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CUSTOMER_PROCESSING_JOBS ||--o{ CUSTOMER_PERIOD_BRANCH_DETAILS : creates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CUSTOMER_PROCESSING_JOBS ||--o{ CUSTOMER_PERIOD_PROFILES : creates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CUSTOMER_PROCESSING_JOBS ||--o{ CUSTOMER_SOURCE_RECONCILIATIONS : creates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CIF_CUSTOMERS ||--o{ CUSTOMER_PERIOD_PROFILES : identifies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CIF_CUSTOMERS ||--o{ CUSTOMER_PERIOD_BRANCH_DETAILS : identifies</w:t>
      </w:r>
    </w:p>
    <w:p>
      <w:pPr>
        <w:pStyle w:val="Normal"/>
        <w:spacing w:before="0" w:after="60"/>
      </w:pPr>
    </w:p>
    <w:p>
      <w:pPr>
        <w:pStyle w:val="Heading1"/>
        <w:spacing w:before="280" w:after="130"/>
        <w:keepNext/>
      </w:pPr>
      <w:r>
        <w:t xml:space="preserve">8. ERD Kho CIF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erDiagram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CIF_IMPORT_BATCHES ||--o{ CIF_SOURCE_RECORDS : imports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CIF_IMPORT_BATCHES ||--o{ CIF_IMPORT_ERRORS : records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CIF_IMPORT_BATCHES ||--o{ CIF_IDENTITY_CONFLICTS : detects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CIF_IMPORT_BATCHES ||--o{ CIF_CHANGE_AUDITS : records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CIF_CUSTOMERS ||--o{ CIF_CUSTOMER_IDENTIFIERS : has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CIF_CUSTOMERS ||--o{ CIF_SOURCE_RECORDS : sourced_by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CIF_CUSTOMERS ||--o{ CIF_CHANGE_AUDITS : changed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CIF_SOURCE_RECORDS ||--o{ CIF_CHANGE_AUDITS : audited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rPr>
          <w:rFonts w:ascii="Consolas" w:hAnsi="Consolas"/>
          <w:color w:val="8A1538"/>
          <w:sz w:val="18"/>
        </w:rPr>
        <w:t xml:space="preserve">cif_customers.customer_core_code</w:t>
      </w:r>
      <w:r>
        <w:t xml:space="preserve"> là khóa tự nhiên nghiệp vụ; khóa số </w:t>
      </w:r>
      <w:r>
        <w:rPr>
          <w:rFonts w:ascii="Consolas" w:hAnsi="Consolas"/>
          <w:color w:val="8A1538"/>
          <w:sz w:val="18"/>
        </w:rPr>
        <w:t xml:space="preserve">id</w:t>
      </w:r>
      <w:r>
        <w:t xml:space="preserve"> dùng liên kết nội bộ. </w:t>
      </w:r>
      <w:r>
        <w:rPr>
          <w:rFonts w:ascii="Consolas" w:hAnsi="Consolas"/>
          <w:color w:val="8A1538"/>
          <w:sz w:val="18"/>
        </w:rPr>
        <w:t xml:space="preserve">cif_customer_identifiers.full_cif_code</w:t>
      </w:r>
      <w:r>
        <w:t xml:space="preserve"> giữ mã đầy đủ theo chi nhánh.</w:t>
      </w:r>
    </w:p>
    <w:p>
      <w:pPr>
        <w:pStyle w:val="Heading1"/>
        <w:spacing w:before="280" w:after="130"/>
        <w:keepNext/>
      </w:pPr>
      <w:r>
        <w:t xml:space="preserve">9. ERD tổ chức và phân quyền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erDiagram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ORG_BRANCHES ||--o{ ORG_BRANCHES : parent_of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ORG_BRANCHES ||--o{ ORG_DEPARTMENTS : contains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ORG_DEPARTMENTS ||--o{ ORG_DEPARTMENTS : parent_of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ORG_BRANCHES ||--o{ SYSTEM_USERS : assigns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ORG_DEPARTMENTS ||--o{ SYSTEM_USERS : assigns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SYSTEM_ROLES ||--o{ SYSTEM_USERS : grants_base_role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SYSTEM_ROLES ||--o{ SYSTEM_ROLE_PERMISSIONS : contains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SYSTEM_PERMISSIONS ||--o{ SYSTEM_ROLE_PERMISSIONS : maps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SYSTEM_USERS ||--o{ SYSTEM_USER_PERMISSIONS : overrides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SYSTEM_PERMISSIONS ||--o{ SYSTEM_USER_PERMISSIONS : maps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SYSTEM_ROLES ||--|| ROLE_SCOPE_POLICIES : constrains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SYSTEM_USERS ||--o{ USER_SESSIONS : opens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SYSTEM_USERS ||--o{ USER_PINNED_CUSTOMERS : owns</w:t>
      </w:r>
    </w:p>
    <w:p>
      <w:pPr>
        <w:pStyle w:val="Code"/>
        <w:spacing w:before="0" w:after="0"/>
      </w:pPr>
      <w:r>
        <w:rPr>
          <w:rFonts w:ascii="Consolas" w:hAnsi="Consolas"/>
          <w:color w:val="8A1538"/>
          <w:sz w:val="18"/>
        </w:rPr>
        <w:t xml:space="preserve">    SYSTEM_USERS ||--o{ AUDIT_LOGS : acts</w:t>
      </w:r>
    </w:p>
    <w:p>
      <w:pPr>
        <w:pStyle w:val="Normal"/>
        <w:spacing w:before="0" w:after="60"/>
      </w:pPr>
    </w:p>
    <w:p>
      <w:pPr>
        <w:pStyle w:val="Normal"/>
        <w:spacing w:before="0" w:after="120"/>
      </w:pPr>
      <w:r>
        <w:t xml:space="preserve">Quan hệ </w:t>
      </w:r>
      <w:r>
        <w:rPr>
          <w:rFonts w:ascii="Consolas" w:hAnsi="Consolas"/>
          <w:color w:val="8A1538"/>
          <w:sz w:val="18"/>
        </w:rPr>
        <w:t xml:space="preserve">SYSTEM_USERS</w:t>
      </w:r>
      <w:r>
        <w:t xml:space="preserve">–</w:t>
      </w:r>
      <w:r>
        <w:rPr>
          <w:rFonts w:ascii="Consolas" w:hAnsi="Consolas"/>
          <w:color w:val="8A1538"/>
          <w:sz w:val="18"/>
        </w:rPr>
        <w:t xml:space="preserve">AUDIT_LOGS</w:t>
      </w:r>
      <w:r>
        <w:t xml:space="preserve"> là quan hệ logic qua </w:t>
      </w:r>
      <w:r>
        <w:rPr>
          <w:rFonts w:ascii="Consolas" w:hAnsi="Consolas"/>
          <w:color w:val="8A1538"/>
          <w:sz w:val="18"/>
        </w:rPr>
        <w:t xml:space="preserve">actor_username</w:t>
      </w:r>
      <w:r>
        <w:t xml:space="preserve">, không phải khóa ngoại; cách này giúp giữ nhật ký ngay cả khi tài khoản bị khóa hoặc thay đổi.</w:t>
      </w:r>
    </w:p>
    <w:p>
      <w:pPr>
        <w:pStyle w:val="Heading1"/>
        <w:spacing w:before="280" w:after="130"/>
        <w:keepNext/>
      </w:pPr>
      <w:r>
        <w:t xml:space="preserve">10. Xử lý lại kỳ và tính toàn vẹn</w:t>
      </w:r>
    </w:p>
    <w:p>
      <w:pPr>
        <w:pStyle w:val="Normal"/>
        <w:spacing w:before="0" w:after="120"/>
      </w:pPr>
      <w:r>
        <w:t xml:space="preserve">Khi xử lý lại một kỳ, hệ thống phải thay thế kết quả dẫn xuất của kỳ trong transaction hoặc theo quy trình có kiểm soát; không thêm một bộ profile trùng. Ràng buộc quan trọng: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customer_period_profiles</w:t>
      </w:r>
      <w:r>
        <w:t xml:space="preserve">: unique </w:t>
      </w:r>
      <w:r>
        <w:rPr>
          <w:rFonts w:ascii="Consolas" w:hAnsi="Consolas"/>
          <w:color w:val="8A1538"/>
          <w:sz w:val="18"/>
        </w:rPr>
        <w:t xml:space="preserve">(period_key, ma_kh)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customer_period_branch_details</w:t>
      </w:r>
      <w:r>
        <w:t xml:space="preserve">: unique </w:t>
      </w:r>
      <w:r>
        <w:rPr>
          <w:rFonts w:ascii="Consolas" w:hAnsi="Consolas"/>
          <w:color w:val="8A1538"/>
          <w:sz w:val="18"/>
        </w:rPr>
        <w:t xml:space="preserve">(period_key, ma_kh, branch_code, ma_pgd)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customer_period_exchange_rates</w:t>
      </w:r>
      <w:r>
        <w:t xml:space="preserve">: unique </w:t>
      </w:r>
      <w:r>
        <w:rPr>
          <w:rFonts w:ascii="Consolas" w:hAnsi="Consolas"/>
          <w:color w:val="8A1538"/>
          <w:sz w:val="18"/>
        </w:rPr>
        <w:t xml:space="preserve">(period_key, ccy)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customer_source_reconciliations</w:t>
      </w:r>
      <w:r>
        <w:t xml:space="preserve">: unique theo job/nguồn/CN/KH/lý do.</w:t>
      </w:r>
    </w:p>
    <w:p>
      <w:pPr>
        <w:pStyle w:val="ListText"/>
        <w:spacing w:before="0" w:after="70"/>
        <w:ind w:left="360"/>
      </w:pPr>
      <w:r>
        <w:t xml:space="preserve">• Role/permission/user override có unique constraint tránh cấp trùng.</w:t>
      </w:r>
    </w:p>
    <w:p>
      <w:pPr>
        <w:pStyle w:val="Normal"/>
        <w:spacing w:before="0" w:after="120"/>
      </w:pPr>
      <w:r>
        <w:t xml:space="preserve">Nếu job thất bại, không công bố kết quả dở dang và phải giữ thông tin lỗi/quality report để điều tra.</w:t>
      </w:r>
    </w:p>
    <w:p>
      <w:pPr>
        <w:pStyle w:val="Heading1"/>
        <w:spacing w:before="280" w:after="130"/>
        <w:keepNext/>
      </w:pPr>
      <w:r>
        <w:t xml:space="preserve">11. Cache và phiên phân tích</w:t>
      </w:r>
    </w:p>
    <w:p>
      <w:pPr>
        <w:pStyle w:val="Normal"/>
        <w:spacing w:before="0" w:after="120"/>
      </w:pPr>
      <w:r>
        <w:t xml:space="preserve">Redis cache một số GET đọc dữ liệu, khóa gồm:</w:t>
      </w:r>
    </w:p>
    <w:p>
      <w:pPr>
        <w:pStyle w:val="ListText"/>
        <w:spacing w:before="0" w:after="70"/>
        <w:ind w:left="360"/>
      </w:pPr>
      <w:r>
        <w:t xml:space="preserve">• Identity từ user + token.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X-Analysis-Session</w:t>
      </w:r>
      <w:r>
        <w:t xml:space="preserve"> do frontend tạo.</w:t>
      </w:r>
    </w:p>
    <w:p>
      <w:pPr>
        <w:pStyle w:val="ListText"/>
        <w:spacing w:before="0" w:after="70"/>
        <w:ind w:left="360"/>
      </w:pPr>
      <w:r>
        <w:t xml:space="preserve">• URL và query được chuẩn hóa thứ tự.</w:t>
      </w:r>
    </w:p>
    <w:p>
      <w:pPr>
        <w:pStyle w:val="ListText"/>
        <w:spacing w:before="0" w:after="70"/>
        <w:ind w:left="360"/>
      </w:pPr>
      <w:r>
        <w:t xml:space="preserve">• TTL và giới hạn kích thước từ </w:t>
      </w:r>
      <w:r>
        <w:rPr>
          <w:rFonts w:ascii="Consolas" w:hAnsi="Consolas"/>
          <w:color w:val="8A1538"/>
          <w:sz w:val="18"/>
        </w:rPr>
        <w:t xml:space="preserve">.env</w:t>
      </w:r>
      <w:r>
        <w:t xml:space="preserve">.</w:t>
      </w:r>
    </w:p>
    <w:p>
      <w:pPr>
        <w:pStyle w:val="Normal"/>
        <w:spacing w:before="0" w:after="120"/>
      </w:pPr>
      <w:r>
        <w:t xml:space="preserve">Header phản hồi </w:t>
      </w:r>
      <w:r>
        <w:rPr>
          <w:rFonts w:ascii="Consolas" w:hAnsi="Consolas"/>
          <w:color w:val="8A1538"/>
          <w:sz w:val="18"/>
        </w:rPr>
        <w:t xml:space="preserve">X-Analysis-Cache</w:t>
      </w:r>
      <w:r>
        <w:t xml:space="preserve"> có thể là </w:t>
      </w:r>
      <w:r>
        <w:rPr>
          <w:rFonts w:ascii="Consolas" w:hAnsi="Consolas"/>
          <w:color w:val="8A1538"/>
          <w:sz w:val="18"/>
        </w:rPr>
        <w:t xml:space="preserve">HIT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MISS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BYPASS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UNAVAILABLE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TOO-LARGE</w:t>
      </w:r>
      <w:r>
        <w:t xml:space="preserve">.</w:t>
      </w:r>
    </w:p>
    <w:p>
      <w:pPr>
        <w:pStyle w:val="Normal"/>
        <w:spacing w:before="0" w:after="120"/>
      </w:pPr>
      <w:r>
        <w:t xml:space="preserve">Cache không thay kiểm soát quyền. Khi đóng phạm vi phân tích, frontend phải clear session/cache phía client; khi quyền thay đổi, phiên đăng nhập bị thu hồi.</w:t>
      </w:r>
    </w:p>
    <w:p>
      <w:pPr>
        <w:pStyle w:val="Heading1"/>
        <w:spacing w:before="280" w:after="130"/>
        <w:keepNext/>
      </w:pPr>
      <w:r>
        <w:t xml:space="preserve">12. Import nền và tính đồng thời</w:t>
      </w:r>
    </w:p>
    <w:p>
      <w:pPr>
        <w:pStyle w:val="Normal"/>
        <w:spacing w:before="0" w:after="120"/>
      </w:pPr>
      <w:r>
        <w:t xml:space="preserve">Backend khởi động worker import theo </w:t>
      </w:r>
      <w:r>
        <w:rPr>
          <w:rFonts w:ascii="Consolas" w:hAnsi="Consolas"/>
          <w:color w:val="8A1538"/>
          <w:sz w:val="18"/>
        </w:rPr>
        <w:t xml:space="preserve">IMPORT_WORKER_COUNT</w:t>
      </w:r>
      <w:r>
        <w:t xml:space="preserve">, tự nối lại file pending và CIF pending. Với máy cấu hình hạn chế nên để một worker để tránh tranh chấp IO/DB. Tăng worker chỉ sau khi kiểm thử file lớn và đo:</w:t>
      </w:r>
    </w:p>
    <w:p>
      <w:pPr>
        <w:pStyle w:val="ListText"/>
        <w:spacing w:before="0" w:after="70"/>
        <w:ind w:left="360"/>
      </w:pPr>
      <w:r>
        <w:t xml:space="preserve">• CPU, RAM và disk latency.</w:t>
      </w:r>
    </w:p>
    <w:p>
      <w:pPr>
        <w:pStyle w:val="ListText"/>
        <w:spacing w:before="0" w:after="70"/>
        <w:ind w:left="360"/>
      </w:pPr>
      <w:r>
        <w:t xml:space="preserve">• Số connection DB.</w:t>
      </w:r>
    </w:p>
    <w:p>
      <w:pPr>
        <w:pStyle w:val="ListText"/>
        <w:spacing w:before="0" w:after="70"/>
        <w:ind w:left="360"/>
      </w:pPr>
      <w:r>
        <w:t xml:space="preserve">• Thời gian COPY/insert và thời gian query người dùng.</w:t>
      </w:r>
    </w:p>
    <w:p>
      <w:pPr>
        <w:pStyle w:val="ListText"/>
        <w:spacing w:before="0" w:after="70"/>
        <w:ind w:left="360"/>
      </w:pPr>
      <w:r>
        <w:t xml:space="preserve">• Khả năng người dùng vẫn truy vấn khi import/xử lý.</w:t>
      </w:r>
    </w:p>
    <w:p>
      <w:pPr>
        <w:pStyle w:val="Normal"/>
        <w:spacing w:before="0" w:after="120"/>
      </w:pPr>
      <w:r>
        <w:t xml:space="preserve">Xử lý kỳ là tác vụ nặng; không chạy song song nhiều job cùng kỳ hoặc nhiều kỳ trên máy yếu.</w:t>
      </w:r>
    </w:p>
    <w:p>
      <w:pPr>
        <w:pStyle w:val="Heading1"/>
        <w:spacing w:before="280" w:after="130"/>
        <w:keepNext/>
      </w:pPr>
      <w:r>
        <w:t xml:space="preserve">13. API theo domain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4720"/>
        <w:gridCol w:w="4720"/>
      </w:tblGrid>
      <w:tr>
        <w:trPr>
          <w:cantSplit/>
        </w:trPr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Prefix</w:t>
            </w:r>
          </w:p>
        </w:tc>
        <w:tc>
          <w:tcPr>
            <w:tcW w:w="4720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Domain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/api/auth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Đăng nhập, phiên, profile, mật khẩu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/api/imports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Kho nguồn và import file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/api/cif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Kho CIF, xung đột và lịch sử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/api/customer-processing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Job xử lý, danh sách/hồ sơ KH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/api/dashboard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KPI, drill-down, phân tích và export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/api/admin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Tổ chức, user, role, cấu hình, audit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/api/user-preferences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Ghim KH và tùy chọn cá nhân</w:t>
            </w:r>
          </w:p>
        </w:tc>
      </w:tr>
      <w:tr>
        <w:trPr>
          <w:cantSplit/>
        </w:trPr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/api/exports</w:t>
            </w:r>
          </w:p>
        </w:tc>
        <w:tc>
          <w:tcPr>
            <w:tcW w:w="4720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Tiến độ xuất Excel nền</w:t>
            </w:r>
          </w:p>
        </w:tc>
      </w:tr>
      <w:tr>
        <w:trPr>
          <w:cantSplit/>
        </w:trPr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/api/health</w:t>
            </w:r>
          </w:p>
        </w:tc>
        <w:tc>
          <w:tcPr>
            <w:tcW w:w="4720" w:type="dxa"/>
          </w:tcPr>
          <w:p>
            <w:pPr>
              <w:pStyle w:val="TableText"/>
              <w:spacing w:before="0" w:after="0"/>
            </w:pPr>
            <w:r>
              <w:t xml:space="preserve">Health check</w:t>
            </w:r>
          </w:p>
        </w:tc>
      </w:tr>
    </w:tbl>
    <w:p>
      <w:pPr>
        <w:pStyle w:val="Normal"/>
        <w:spacing w:before="0" w:after="120"/>
      </w:pPr>
      <w:r>
        <w:t xml:space="preserve">Swagger chỉ nên mở trong mạng quản trị hoặc được kiểm soát phù hợp khi production.</w:t>
      </w:r>
    </w:p>
    <w:p>
      <w:pPr>
        <w:pStyle w:val="Heading1"/>
        <w:spacing w:before="280" w:after="130"/>
        <w:keepNext/>
      </w:pPr>
      <w:r>
        <w:t xml:space="preserve">14. Bảo mật kiến trúc</w:t>
      </w:r>
    </w:p>
    <w:p>
      <w:pPr>
        <w:pStyle w:val="ListText"/>
        <w:spacing w:before="0" w:after="70"/>
        <w:ind w:left="360"/>
      </w:pPr>
      <w:r>
        <w:t xml:space="preserve">• Token chứa user id, </w:t>
      </w:r>
      <w:r>
        <w:rPr>
          <w:rFonts w:ascii="Consolas" w:hAnsi="Consolas"/>
          <w:color w:val="8A1538"/>
          <w:sz w:val="18"/>
        </w:rPr>
        <w:t xml:space="preserve">auth_version</w:t>
      </w:r>
      <w:r>
        <w:t xml:space="preserve"> và session id.</w:t>
      </w:r>
    </w:p>
    <w:p>
      <w:pPr>
        <w:pStyle w:val="ListText"/>
        <w:spacing w:before="0" w:after="70"/>
        <w:ind w:left="360"/>
      </w:pPr>
      <w:r>
        <w:t xml:space="preserve">• Backend kiểm tra session còn hiệu lực, timeout, trạng thái tài khoản và version.</w:t>
      </w:r>
    </w:p>
    <w:p>
      <w:pPr>
        <w:pStyle w:val="ListText"/>
        <w:spacing w:before="0" w:after="70"/>
        <w:ind w:left="360"/>
      </w:pPr>
      <w:r>
        <w:t xml:space="preserve">• Quyền và scope áp dụng tại query/API, không chỉ menu frontend.</w:t>
      </w:r>
    </w:p>
    <w:p>
      <w:pPr>
        <w:pStyle w:val="ListText"/>
        <w:spacing w:before="0" w:after="70"/>
        <w:ind w:left="360"/>
      </w:pPr>
      <w:r>
        <w:t xml:space="preserve">• Dữ liệu nhạy cảm mask theo từng quyền.</w:t>
      </w:r>
    </w:p>
    <w:p>
      <w:pPr>
        <w:pStyle w:val="ListText"/>
        <w:spacing w:before="0" w:after="70"/>
        <w:ind w:left="360"/>
      </w:pPr>
      <w:r>
        <w:t xml:space="preserve">• Nginx truyền IP; backend chỉ tin proxy đã cấu hình.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.env</w:t>
      </w:r>
      <w:r>
        <w:t xml:space="preserve">, backup và dữ liệu nguồn không commit Git.</w:t>
      </w:r>
    </w:p>
    <w:p>
      <w:pPr>
        <w:pStyle w:val="ListText"/>
        <w:spacing w:before="0" w:after="70"/>
        <w:ind w:left="360"/>
      </w:pPr>
      <w:r>
        <w:t xml:space="preserve">• PostgreSQL và Redis không public ra toàn LAN nếu không cần.</w:t>
      </w:r>
    </w:p>
    <w:p>
      <w:pPr>
        <w:pStyle w:val="ListText"/>
        <w:spacing w:before="0" w:after="70"/>
        <w:ind w:left="360"/>
      </w:pPr>
      <w:r>
        <w:t xml:space="preserve">• File upload cần giới hạn loại, tên, kích thước và xử lý như dữ liệu không tin cậy.</w:t>
      </w:r>
    </w:p>
    <w:p>
      <w:pPr>
        <w:pStyle w:val="Heading1"/>
        <w:spacing w:before="280" w:after="130"/>
        <w:keepNext/>
      </w:pPr>
      <w:r>
        <w:t xml:space="preserve">15. Lưu trữ vật lý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3146"/>
        <w:gridCol w:w="3146"/>
        <w:gridCol w:w="3148"/>
      </w:tblGrid>
      <w:tr>
        <w:trPr>
          <w:cantSplit/>
        </w:trPr>
        <w:tc>
          <w:tcPr>
            <w:tcW w:w="3146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Thành phần</w:t>
            </w:r>
          </w:p>
        </w:tc>
        <w:tc>
          <w:tcPr>
            <w:tcW w:w="3146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Vị trí logic</w:t>
            </w:r>
          </w:p>
        </w:tc>
        <w:tc>
          <w:tcPr>
            <w:tcW w:w="3148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Lưu ý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PostgreSQL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Docker named volume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Vị trí thật phụ thuộc Docker disk image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Upload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${APP_DATA_DIR}/uploads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Có thể dọn sau thành công theo policy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Export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${APP_DATA_DIR}/exports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Cần TTL/chính sách xóa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Backup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${APP_DATA_DIR}/backups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Phải có bản thứ hai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Documents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rPr>
                <w:rFonts w:ascii="Consolas" w:hAnsi="Consolas"/>
                <w:color w:val="8A1538"/>
                <w:sz w:val="18"/>
              </w:rPr>
              <w:t xml:space="preserve">${APP_DATA_DIR}/documents</w:t>
            </w:r>
            <w:r>
              <w:t xml:space="preserve"> read-only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Dùng seed/danh mục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Redis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RAM/container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Không cần backup</w:t>
            </w:r>
          </w:p>
        </w:tc>
      </w:tr>
    </w:tbl>
    <w:p>
      <w:pPr>
        <w:pStyle w:val="Normal"/>
        <w:spacing w:before="0" w:after="120"/>
      </w:pPr>
      <w:r>
        <w:t xml:space="preserve">Đặt </w:t>
      </w:r>
      <w:r>
        <w:rPr>
          <w:rFonts w:ascii="Consolas" w:hAnsi="Consolas"/>
          <w:color w:val="8A1538"/>
          <w:sz w:val="18"/>
        </w:rPr>
        <w:t xml:space="preserve">APP_DATA_DIR</w:t>
      </w:r>
      <w:r>
        <w:t xml:space="preserve"> ở D không đồng nghĩa volume DB ở D. Phải kiểm tra </w:t>
      </w:r>
      <w:r>
        <w:rPr>
          <w:rFonts w:ascii="Consolas" w:hAnsi="Consolas"/>
          <w:color w:val="8A1538"/>
          <w:sz w:val="18"/>
        </w:rPr>
        <w:t xml:space="preserve">docker volume inspect</w:t>
      </w:r>
      <w:r>
        <w:t xml:space="preserve"> và cấu hình Docker Desktop.</w:t>
      </w:r>
    </w:p>
    <w:p>
      <w:pPr>
        <w:pStyle w:val="Heading1"/>
        <w:spacing w:before="280" w:after="130"/>
        <w:keepNext/>
      </w:pPr>
      <w:r>
        <w:t xml:space="preserve">16. Năng lực và điểm nghẽn hiện tại</w:t>
      </w:r>
    </w:p>
    <w:p>
      <w:pPr>
        <w:pStyle w:val="Normal"/>
        <w:spacing w:before="0" w:after="120"/>
      </w:pPr>
      <w:r>
        <w:t xml:space="preserve">Các điểm cần đo trước khi cam kết 100 user đồng thời:</w:t>
      </w:r>
    </w:p>
    <w:p>
      <w:pPr>
        <w:pStyle w:val="ListText"/>
        <w:spacing w:before="0" w:after="70"/>
        <w:ind w:left="360"/>
      </w:pPr>
      <w:r>
        <w:t xml:space="preserve">• Backend hiện chạy một tiến trình Uvicorn theo Dockerfile.</w:t>
      </w:r>
    </w:p>
    <w:p>
      <w:pPr>
        <w:pStyle w:val="ListText"/>
        <w:spacing w:before="0" w:after="70"/>
        <w:ind w:left="360"/>
      </w:pPr>
      <w:r>
        <w:t xml:space="preserve">• Query Dashboard/hồ sơ trên bảng nhiều triệu dòng có thể tranh IO với import/xử lý.</w:t>
      </w:r>
    </w:p>
    <w:p>
      <w:pPr>
        <w:pStyle w:val="ListText"/>
        <w:spacing w:before="0" w:after="70"/>
        <w:ind w:left="360"/>
      </w:pPr>
      <w:r>
        <w:t xml:space="preserve">• PostgreSQL nằm trên Docker disk image; ổ đĩa chậm hoặc gần đầy ảnh hưởng toàn hệ thống.</w:t>
      </w:r>
    </w:p>
    <w:p>
      <w:pPr>
        <w:pStyle w:val="ListText"/>
        <w:spacing w:before="0" w:after="70"/>
        <w:ind w:left="360"/>
      </w:pPr>
      <w:r>
        <w:t xml:space="preserve">• Cache giúp request lặp nhưng lần tải đầu vẫn truy vấn DB.</w:t>
      </w:r>
    </w:p>
    <w:p>
      <w:pPr>
        <w:pStyle w:val="ListText"/>
        <w:spacing w:before="0" w:after="70"/>
        <w:ind w:left="360"/>
      </w:pPr>
      <w:r>
        <w:t xml:space="preserve">• Export lớn tiêu tốn CPU/RAM/IO dù chạy nền giao diện.</w:t>
      </w:r>
    </w:p>
    <w:p>
      <w:pPr>
        <w:pStyle w:val="Normal"/>
        <w:spacing w:before="0" w:after="120"/>
      </w:pPr>
      <w:r>
        <w:t xml:space="preserve">Hướng mở rộng không đổi nghiệp vụ:</w:t>
      </w:r>
    </w:p>
    <w:p>
      <w:pPr>
        <w:pStyle w:val="ListText"/>
        <w:spacing w:before="0" w:after="70"/>
        <w:ind w:left="360"/>
      </w:pPr>
      <w:r>
        <w:t xml:space="preserve">1. Đo tải bằng kịch bản thật và query log.</w:t>
      </w:r>
    </w:p>
    <w:p>
      <w:pPr>
        <w:pStyle w:val="ListText"/>
        <w:spacing w:before="0" w:after="70"/>
        <w:ind w:left="360"/>
      </w:pPr>
      <w:r>
        <w:t xml:space="preserve">2. Tối ưu index/query/materialized aggregate trước khi tăng worker.</w:t>
      </w:r>
    </w:p>
    <w:p>
      <w:pPr>
        <w:pStyle w:val="ListText"/>
        <w:spacing w:before="0" w:after="70"/>
        <w:ind w:left="360"/>
      </w:pPr>
      <w:r>
        <w:t xml:space="preserve">3. Tách giờ import/xử lý nặng khỏi giờ người dùng cao điểm.</w:t>
      </w:r>
    </w:p>
    <w:p>
      <w:pPr>
        <w:pStyle w:val="ListText"/>
        <w:spacing w:before="0" w:after="70"/>
        <w:ind w:left="360"/>
      </w:pPr>
      <w:r>
        <w:t xml:space="preserve">4. Cân nhắc nhiều backend worker sau khi kiểm tra worker nền không bị khởi tạo trùng.</w:t>
      </w:r>
    </w:p>
    <w:p>
      <w:pPr>
        <w:pStyle w:val="ListText"/>
        <w:spacing w:before="0" w:after="70"/>
        <w:ind w:left="360"/>
      </w:pPr>
      <w:r>
        <w:t xml:space="preserve">5. Khi quy mô tăng, tách PostgreSQL/ổ NVMe hoặc máy DB riêng.</w:t>
      </w:r>
    </w:p>
    <w:p>
      <w:pPr>
        <w:pStyle w:val="Heading1"/>
        <w:spacing w:before="280" w:after="130"/>
        <w:keepNext/>
      </w:pPr>
      <w:r>
        <w:t xml:space="preserve">17. Quy tắc mở rộng schema</w:t>
      </w:r>
    </w:p>
    <w:p>
      <w:pPr>
        <w:pStyle w:val="ListText"/>
        <w:spacing w:before="0" w:after="70"/>
        <w:ind w:left="360"/>
      </w:pPr>
      <w:r>
        <w:t xml:space="preserve">• Mọi thay đổi schema qua Alembic; đọc migration trước khi chạy production.</w:t>
      </w:r>
    </w:p>
    <w:p>
      <w:pPr>
        <w:pStyle w:val="ListText"/>
        <w:spacing w:before="0" w:after="70"/>
        <w:ind w:left="360"/>
      </w:pPr>
      <w:r>
        <w:t xml:space="preserve">• Không sửa bảng raw của nguồn A để chứa dữ liệu nguồn B khác grain.</w:t>
      </w:r>
    </w:p>
    <w:p>
      <w:pPr>
        <w:pStyle w:val="ListText"/>
        <w:spacing w:before="0" w:after="70"/>
        <w:ind w:left="360"/>
      </w:pPr>
      <w:r>
        <w:t xml:space="preserve">• Thêm bảng staging/source riêng và mapping sang domain/profile.</w:t>
      </w:r>
    </w:p>
    <w:p>
      <w:pPr>
        <w:pStyle w:val="ListText"/>
        <w:spacing w:before="0" w:after="70"/>
        <w:ind w:left="360"/>
      </w:pPr>
      <w:r>
        <w:t xml:space="preserve">• Trường code thay đổi theo nghiệp vụ đưa vào bảng cấu hình có version hiệu lực.</w:t>
      </w:r>
    </w:p>
    <w:p>
      <w:pPr>
        <w:pStyle w:val="ListText"/>
        <w:spacing w:before="0" w:after="70"/>
        <w:ind w:left="360"/>
      </w:pPr>
      <w:r>
        <w:t xml:space="preserve">• Lưu source lineage tới file/batch/row khi chỉ tiêu cần truy vết.</w:t>
      </w:r>
    </w:p>
    <w:p>
      <w:pPr>
        <w:pStyle w:val="ListText"/>
        <w:spacing w:before="0" w:after="70"/>
        <w:ind w:left="360"/>
      </w:pPr>
      <w:r>
        <w:t xml:space="preserve">• Index theo truy vấn thực tế; tránh index text/hash rất lớn không được tra cứu.</w:t>
      </w:r>
    </w:p>
    <w:p>
      <w:pPr>
        <w:pStyle w:val="ListText"/>
        <w:spacing w:before="0" w:after="70"/>
        <w:ind w:left="360"/>
      </w:pPr>
      <w:r>
        <w:t xml:space="preserve">• Định nghĩa retention/partition trước khi bảng giao dịch tăng dài hạn.</w:t>
      </w:r>
    </w:p>
    <w:p>
      <w:pPr>
        <w:pStyle w:val="Heading1"/>
        <w:spacing w:before="280" w:after="130"/>
        <w:keepNext/>
      </w:pPr>
      <w:r>
        <w:t xml:space="preserve">18. Quyết định kiến trúc cần chốt tiếp</w:t>
      </w:r>
    </w:p>
    <w:tbl>
      <w:tblPr>
        <w:tblW w:w="5000" w:type="pct"/>
        <w:tblLayout w:type="fixed"/>
        <w:tblBorders>
          <w:top w:val="single" w:sz="5" w:color="D7DEE5"/>
          <w:left w:val="single" w:sz="5" w:color="D7DEE5"/>
          <w:bottom w:val="single" w:sz="5" w:color="D7DEE5"/>
          <w:right w:val="single" w:sz="5" w:color="D7DEE5"/>
          <w:insideH w:val="single" w:sz="5" w:color="D7DEE5"/>
          <w:insideV w:val="single" w:sz="5" w:color="D7DEE5"/>
        </w:tblBorders>
        <w:tblCellMar>
          <w:top w:w="80" w:type="dxa"/>
          <w:left w:w="95" w:type="dxa"/>
          <w:bottom w:w="80" w:type="dxa"/>
          <w:right w:w="95" w:type="dxa"/>
        </w:tblCellMar>
      </w:tblPr>
      <w:tblGrid>
        <w:gridCol w:w="3146"/>
        <w:gridCol w:w="3146"/>
        <w:gridCol w:w="3148"/>
      </w:tblGrid>
      <w:tr>
        <w:trPr>
          <w:cantSplit/>
        </w:trPr>
        <w:tc>
          <w:tcPr>
            <w:tcW w:w="3146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Nội dung</w:t>
            </w:r>
          </w:p>
        </w:tc>
        <w:tc>
          <w:tcPr>
            <w:tcW w:w="3146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Hiện trạng</w:t>
            </w:r>
          </w:p>
        </w:tc>
        <w:tc>
          <w:tcPr>
            <w:tcW w:w="3148" w:type="dxa"/>
            <w:shd w:fill="EDF1F4"/>
          </w:tcPr>
          <w:p>
            <w:pPr>
              <w:pStyle w:val="TableText"/>
              <w:spacing w:before="0" w:after="0"/>
            </w:pPr>
            <w:r>
              <w:rPr>
                <w:b/>
              </w:rPr>
              <w:t xml:space="preserve">Đề xuất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DB vật lý ở ổ nào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Named volume phụ thuộc Docker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Chốt ổ D/SSD và kiểm chứng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Retention raw theo kỳ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Chưa có chính sách chính thức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Ban hành theo nguồn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Partition bảng KH02/GL02/FTPLN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Chưa áp dụng toàn bộ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Đánh giá theo dung lượng/query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Số backend worker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1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Chỉ tăng sau load test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HTTPS nội bộ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HTTP LAN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Cân nhắc CA nội bộ/reverse proxy</w:t>
            </w:r>
          </w:p>
        </w:tc>
      </w:tr>
      <w:tr>
        <w:trPr>
          <w:cantSplit/>
        </w:trPr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Giám sát tập trung</w:t>
            </w:r>
          </w:p>
        </w:tc>
        <w:tc>
          <w:tcPr>
            <w:tcW w:w="3146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Chủ yếu log Docker</w:t>
            </w:r>
          </w:p>
        </w:tc>
        <w:tc>
          <w:tcPr>
            <w:tcW w:w="3148" w:type="dxa"/>
            <w:shd w:fill="F8FAFB"/>
          </w:tcPr>
          <w:p>
            <w:pPr>
              <w:pStyle w:val="TableText"/>
              <w:spacing w:before="0" w:after="0"/>
            </w:pPr>
            <w:r>
              <w:t xml:space="preserve">Bổ sung metric/cảnh báo dung lượng/health</w:t>
            </w:r>
          </w:p>
        </w:tc>
      </w:tr>
      <w:tr>
        <w:trPr>
          <w:cantSplit/>
        </w:trPr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DR sang máy thứ hai</w:t>
            </w:r>
          </w:p>
        </w:tc>
        <w:tc>
          <w:tcPr>
            <w:tcW w:w="3146" w:type="dxa"/>
          </w:tcPr>
          <w:p>
            <w:pPr>
              <w:pStyle w:val="TableText"/>
              <w:spacing w:before="0" w:after="0"/>
            </w:pPr>
            <w:r>
              <w:t xml:space="preserve">Quy trình thủ công</w:t>
            </w:r>
          </w:p>
        </w:tc>
        <w:tc>
          <w:tcPr>
            <w:tcW w:w="3148" w:type="dxa"/>
          </w:tcPr>
          <w:p>
            <w:pPr>
              <w:pStyle w:val="TableText"/>
              <w:spacing w:before="0" w:after="0"/>
            </w:pPr>
            <w:r>
              <w:t xml:space="preserve">Diễn tập định kỳ và tự động backup</w:t>
            </w:r>
          </w:p>
        </w:tc>
      </w:tr>
    </w:tbl>
    <w:p>
      <w:pPr>
        <w:pStyle w:val="Heading1"/>
        <w:spacing w:before="280" w:after="130"/>
        <w:keepNext/>
      </w:pPr>
      <w:r>
        <w:t xml:space="preserve">19. Nguồn tham chiếu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docker-compose.yml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docker-compose.prod.yml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frontend/nginx.conf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backend/app/main.py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config.py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database.py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models.py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backend/app/analysis_cache.py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backend/app/auth/*</w:t>
      </w:r>
      <w:r>
        <w:t xml:space="preserve">, </w:t>
      </w:r>
      <w:r>
        <w:rPr>
          <w:rFonts w:ascii="Consolas" w:hAnsi="Consolas"/>
          <w:color w:val="8A1538"/>
          <w:sz w:val="18"/>
        </w:rPr>
        <w:t xml:space="preserve">session_management.py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backend/alembic/versions/*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DAC_TA_NGUON_DU_LIEU_C360.md</w:t>
      </w:r>
      <w:r>
        <w:t xml:space="preserve">.</w:t>
      </w:r>
    </w:p>
    <w:p>
      <w:pPr>
        <w:pStyle w:val="ListText"/>
        <w:spacing w:before="0" w:after="70"/>
        <w:ind w:left="360"/>
      </w:pPr>
      <w:r>
        <w:t xml:space="preserve">• </w:t>
      </w:r>
      <w:r>
        <w:rPr>
          <w:rFonts w:ascii="Consolas" w:hAnsi="Consolas"/>
          <w:color w:val="8A1538"/>
          <w:sz w:val="18"/>
        </w:rPr>
        <w:t xml:space="preserve">MA_TRAN_PHAN_QUYEN_VA_BAO_MAT_C360.md</w:t>
      </w:r>
      <w:r>
        <w:t xml:space="preserve">.</w:t>
      </w:r>
    </w:p>
    <w:sectPr>
      <w:headerReference w:type="default" r:id="rIdHeader"/>
      <w:footerReference w:type="default" r:id="rIdFooter"/>
      <w:titlePg/>
      <w:pgSz w:w="11906" w:h="16838"/>
      <w:pgMar w:top="1247" w:right="1162" w:bottom="1191" w:left="1304" w:header="600" w:footer="600" w:gutter="0"/>
    </w:sectPr>
  </w:body>
</w:document>
</file>

<file path=word/footer1.xml><?xml version="1.0" encoding="utf-8"?>
<w:ftr xmlns:w="http://schemas.openxmlformats.org/wordprocessingml/2006/main">
  <w:p>
    <w:pPr>
      <w:pStyle w:val="Normal"/>
      <w:spacing w:before="0" w:after="0"/>
    </w:pPr>
    <w:r>
      <w:rPr>
        <w:color w:val="6D7884"/>
        <w:sz w:val="16"/>
      </w:rPr>
      <w:t xml:space="preserve">C360-ARC-10  •  Lưu hành nội bộ                                      Trang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pStyle w:val="Normal"/>
      <w:spacing w:before="0" w:after="0"/>
    </w:pPr>
    <w:r>
      <w:rPr>
        <w:color w:val="6D7884"/>
        <w:sz w:val="16"/>
      </w:rPr>
      <w:t xml:space="preserve">C360  |  C360-ARC-10  |  TÀI LIỆU NỘI BỘ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Aptos" w:hAnsi="Aptos"/>
      <w:sz w:val="21"/>
      <w:color w:val="263341"/>
    </w:rPr>
  </w:style>
  <w:style w:type="paragraph" w:styleId="FrontHeading">
    <w:name w:val="Front Heading"/>
    <w:basedOn w:val="Normal"/>
    <w:pPr>
      <w:spacing w:before="320" w:after="160"/>
      <w:keepNext/>
    </w:pPr>
    <w:rPr>
      <w:rFonts w:ascii="Aptos" w:hAnsi="Aptos"/>
      <w:sz w:val="32"/>
      <w:color w:val="8A1538"/>
      <w:b/>
    </w:rPr>
  </w:style>
  <w:style w:type="paragraph" w:styleId="FrontSubheading">
    <w:name w:val="Front Subheading"/>
    <w:basedOn w:val="Normal"/>
    <w:pPr>
      <w:spacing w:before="220" w:after="130"/>
      <w:keepNext/>
    </w:pPr>
    <w:rPr>
      <w:rFonts w:ascii="Aptos" w:hAnsi="Aptos"/>
      <w:sz w:val="25"/>
      <w:color w:val="244C64"/>
      <w:b/>
    </w:rPr>
  </w:style>
  <w:style w:type="paragraph" w:styleId="Heading1">
    <w:name w:val="heading 1"/>
    <w:basedOn w:val="Normal"/>
    <w:pPr>
      <w:spacing w:before="320" w:after="160"/>
      <w:keepNext/>
    </w:pPr>
    <w:rPr>
      <w:rFonts w:ascii="Aptos" w:hAnsi="Aptos"/>
      <w:sz w:val="32"/>
      <w:color w:val="8A1538"/>
      <w:b/>
    </w:rPr>
  </w:style>
  <w:style w:type="paragraph" w:styleId="Heading2">
    <w:name w:val="heading 2"/>
    <w:basedOn w:val="Normal"/>
    <w:pPr>
      <w:spacing w:before="220" w:after="130"/>
      <w:keepNext/>
    </w:pPr>
    <w:rPr>
      <w:rFonts w:ascii="Aptos" w:hAnsi="Aptos"/>
      <w:sz w:val="25"/>
      <w:color w:val="244C64"/>
      <w:b/>
    </w:rPr>
  </w:style>
  <w:style w:type="paragraph" w:styleId="Heading3">
    <w:name w:val="heading 3"/>
    <w:basedOn w:val="Normal"/>
    <w:pPr>
      <w:spacing w:before="180" w:after="100"/>
      <w:keepNext/>
    </w:pPr>
    <w:rPr>
      <w:rFonts w:ascii="Aptos" w:hAnsi="Aptos"/>
      <w:sz w:val="22"/>
      <w:color w:val="244C64"/>
      <w:b/>
    </w:rPr>
  </w:style>
  <w:style w:type="paragraph" w:styleId="CoverBrand">
    <w:name w:val="Cover Brand"/>
    <w:basedOn w:val="Normal"/>
    <w:pPr>
      <w:spacing w:before="0" w:after="120"/>
    </w:pPr>
    <w:rPr>
      <w:rFonts w:ascii="Aptos" w:hAnsi="Aptos"/>
      <w:sz w:val="28"/>
      <w:color w:val="8A1538"/>
      <w:b/>
    </w:rPr>
  </w:style>
  <w:style w:type="paragraph" w:styleId="CoverRule">
    <w:name w:val="Cover Rule"/>
    <w:basedOn w:val="Normal"/>
    <w:pPr>
      <w:spacing w:before="0" w:after="120"/>
    </w:pPr>
    <w:rPr>
      <w:rFonts w:ascii="Aptos" w:hAnsi="Aptos"/>
      <w:sz w:val="22"/>
      <w:color w:val="A11D42"/>
      <w:b/>
    </w:rPr>
  </w:style>
  <w:style w:type="paragraph" w:styleId="CoverTitle">
    <w:name w:val="Cover Title"/>
    <w:basedOn w:val="Normal"/>
    <w:pPr>
      <w:spacing w:before="0" w:after="120"/>
    </w:pPr>
    <w:rPr>
      <w:rFonts w:ascii="Aptos" w:hAnsi="Aptos"/>
      <w:sz w:val="52"/>
      <w:color w:val="263341"/>
      <w:b/>
    </w:rPr>
  </w:style>
  <w:style w:type="paragraph" w:styleId="CoverCode">
    <w:name w:val="Cover Code"/>
    <w:basedOn w:val="Normal"/>
    <w:pPr>
      <w:spacing w:before="0" w:after="120"/>
    </w:pPr>
    <w:rPr>
      <w:rFonts w:ascii="Aptos" w:hAnsi="Aptos"/>
      <w:sz w:val="24"/>
      <w:color w:val="8A1538"/>
      <w:b/>
    </w:rPr>
  </w:style>
  <w:style w:type="paragraph" w:styleId="CoverAudience">
    <w:name w:val="Cover Audience"/>
    <w:basedOn w:val="Normal"/>
    <w:pPr>
      <w:spacing w:before="0" w:after="120"/>
    </w:pPr>
    <w:rPr>
      <w:rFonts w:ascii="Aptos" w:hAnsi="Aptos"/>
      <w:sz w:val="23"/>
      <w:color w:val="526475"/>
    </w:rPr>
  </w:style>
  <w:style w:type="paragraph" w:styleId="CoverNote">
    <w:name w:val="Cover Note"/>
    <w:basedOn w:val="Normal"/>
    <w:pPr>
      <w:spacing w:before="0" w:after="120"/>
    </w:pPr>
    <w:rPr>
      <w:rFonts w:ascii="Aptos" w:hAnsi="Aptos"/>
      <w:sz w:val="19"/>
      <w:color w:val="6D7884"/>
    </w:rPr>
  </w:style>
  <w:style w:type="paragraph" w:styleId="TableText">
    <w:name w:val="Table Text"/>
    <w:basedOn w:val="Normal"/>
    <w:pPr>
      <w:spacing w:before="0" w:after="0"/>
    </w:pPr>
    <w:rPr>
      <w:rFonts w:ascii="Aptos" w:hAnsi="Aptos"/>
      <w:sz w:val="18"/>
      <w:color w:val="263341"/>
    </w:rPr>
  </w:style>
  <w:style w:type="paragraph" w:styleId="ListText">
    <w:name w:val="List Text"/>
    <w:basedOn w:val="Normal"/>
    <w:pPr>
      <w:spacing w:before="0" w:after="70"/>
    </w:pPr>
    <w:rPr>
      <w:rFonts w:ascii="Aptos" w:hAnsi="Aptos"/>
      <w:sz w:val="21"/>
      <w:color w:val="263341"/>
    </w:rPr>
  </w:style>
  <w:style w:type="paragraph" w:styleId="Quote">
    <w:name w:val="Note"/>
    <w:basedOn w:val="Normal"/>
    <w:pPr>
      <w:spacing w:before="120" w:after="120"/>
    </w:pPr>
    <w:rPr>
      <w:rFonts w:ascii="Aptos" w:hAnsi="Aptos"/>
      <w:sz w:val="20"/>
      <w:color w:val="5F5260"/>
    </w:rPr>
  </w:style>
  <w:style w:type="paragraph" w:styleId="Code">
    <w:name w:val="Code"/>
    <w:basedOn w:val="Normal"/>
    <w:pPr>
      <w:spacing w:before="0" w:after="0"/>
    </w:pPr>
    <w:rPr>
      <w:rFonts w:ascii="Consolas" w:hAnsi="Consolas"/>
      <w:sz w:val="18"/>
      <w:color w:val="8A153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KIẾN TRÚC HỆ THỐNG VÀ ERD C360</dc:title>
  <dc:creator>C360</dc:creator>
  <dc:subject>Tài liệu vận hành và sử dụng nội bộ</dc:subject>
  <dcterms:created xsi:type="dcterms:W3CDTF">2026-09-21T07:31:35Z</dcterms:created>
</cp:coreProperties>
</file>