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ĩa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1 số từ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PE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Trong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AI, PE (Processing Element)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tử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toán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trong phần cứng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AI,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ma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phép toán tích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(convolution)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mô hình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và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âu.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AI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TPUs (Tensor Processing Units)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GPUs (Graphics Processing Units)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nhiều PE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tính toán song song, nâng cao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suất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luyện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suy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Vai trò chính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PEs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AI: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Tính toán song song: Các PE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song song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toán cùng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suất: Sử dụng nhiều PE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cao trong khi giảm thiểu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so với bộ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CPU thông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Chuyên môn hóa: Các PE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AI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phép toán AI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phép toán ma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hoặc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kích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chúng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so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II.DNN Accelerator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Acceleration based on sparsity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nói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(sparsity)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mạng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ơ-ron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(CNN). Sự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ớt của dữ liệu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ra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ãng phí tài nguyên tính toán,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do tính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của dữ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ưa. FPGA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coi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ở mức phần cứng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Yijin Guan et al. (Crane accelerator):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xuất bộ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Crane,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DMA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lấy dữ liệu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 số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0,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trên chip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ập. Kết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hậu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ập. Crane cải thiện hiệu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27%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88%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từ 16%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48% so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thủ.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input sharing data.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Input Sharing Data (chia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ào)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kỹ thuật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toán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phần cứng,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(accelerators),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sử dụng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nguyên tính toán và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thiểu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dữ liệu.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107" w:dyaOrig="3421">
          <v:rect xmlns:o="urn:schemas-microsoft-com:office:office" xmlns:v="urn:schemas-microsoft-com:vml" id="rectole0000000000" style="width:355.350000pt;height:17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input sharing data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228" w:dyaOrig="6985">
          <v:rect xmlns:o="urn:schemas-microsoft-com:office:office" xmlns:v="urn:schemas-microsoft-com:vml" id="rectole0000000001" style="width:361.400000pt;height:34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weight sharing data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770" w:dyaOrig="3786">
          <v:rect xmlns:o="urn:schemas-microsoft-com:office:office" xmlns:v="urn:schemas-microsoft-com:vml" id="rectole0000000002" style="width:288.500000pt;height:189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So sánh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cứng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904" w:dyaOrig="3928">
          <v:rect xmlns:o="urn:schemas-microsoft-com:office:office" xmlns:v="urn:schemas-microsoft-com:vml" id="rectole0000000003" style="width:345.200000pt;height:196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So sánh performance khi tính toán cho các model khác nhau: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762" w:dyaOrig="7471">
          <v:rect xmlns:o="urn:schemas-microsoft-com:office:office" xmlns:v="urn:schemas-microsoft-com:vml" id="rectole0000000004" style="width:338.100000pt;height:373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So sánh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92" w:dyaOrig="5588">
          <v:rect xmlns:o="urn:schemas-microsoft-com:office:office" xmlns:v="urn:schemas-microsoft-com:vml" id="rectole0000000005" style="width:379.600000pt;height:27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Zhang et al.: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xuất kỹ thuật cắt tỉa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trên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synapse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hợp với kỹ thuật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tử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bộ. Họ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bộ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phần cứng Cambricon-X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synapse và neuron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ại. Cambricon-X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nhanh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7.23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kiệm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6.43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so với bộ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NN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nhất.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Zhou et al.: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xuất bộ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tử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(PE). Các module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mục chọn lọc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neuron mong muốn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PE,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PE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synapse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nén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bộ. Bộ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suất 1.71 lần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1.37 lần so với bộ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mạng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ơ-ron thưa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nhất.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 Structure specialized for DNNs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Resources utilization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 Data flow optimization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Optimize space + dataflow in accumulator: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top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irachy level: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3819">
          <v:rect xmlns:o="urn:schemas-microsoft-com:office:office" xmlns:v="urn:schemas-microsoft-com:vml" id="rectole0000000006" style="width:432.000000pt;height:190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4309">
          <v:rect xmlns:o="urn:schemas-microsoft-com:office:office" xmlns:v="urn:schemas-microsoft-com:vml" id="rectole0000000007" style="width:432.000000pt;height:215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5160">
          <v:rect xmlns:o="urn:schemas-microsoft-com:office:office" xmlns:v="urn:schemas-microsoft-com:vml" id="rectole0000000008" style="width:432.000000pt;height:258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Ding proposed an FPGA-based depthwise separable CNN accelerator with all the layers working concurrently in a pipelined fashion to improve the system throughput and per</w:t>
        <w:t xml:space="preserve"> formance. To implement the accelerator, The paper presented a custom computing engine architecture to handle the dataflow between adjacent layers by using double-buffering-based memory channels.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200" w:dyaOrig="5949">
          <v:rect xmlns:o="urn:schemas-microsoft-com:office:office" xmlns:v="urn:schemas-microsoft-com:vml" id="rectole0000000009" style="width:360.000000pt;height:29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mac unit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249" w:dyaOrig="5369">
          <v:rect xmlns:o="urn:schemas-microsoft-com:office:office" xmlns:v="urn:schemas-microsoft-com:vml" id="rectole0000000010" style="width:362.450000pt;height:268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3789">
          <v:rect xmlns:o="urn:schemas-microsoft-com:office:office" xmlns:v="urn:schemas-microsoft-com:vml" id="rectole0000000011" style="width:432.000000pt;height:189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1849">
          <v:rect xmlns:o="urn:schemas-microsoft-com:office:office" xmlns:v="urn:schemas-microsoft-com:vml" id="rectole0000000012" style="width:432.000000pt;height:92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6749" w:dyaOrig="2660">
          <v:rect xmlns:o="urn:schemas-microsoft-com:office:office" xmlns:v="urn:schemas-microsoft-com:vml" id="rectole0000000013" style="width:337.450000pt;height:13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640" w:dyaOrig="2750">
          <v:rect xmlns:o="urn:schemas-microsoft-com:office:office" xmlns:v="urn:schemas-microsoft-com:vml" id="rectole0000000014" style="width:432.000000pt;height:137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 DNNs implementation on FPGA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