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Tóm tắt cốt lõi (Executive Summary)</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Vấn đề cốt lõi:</w:t>
      </w:r>
      <w:r w:rsidDel="00000000" w:rsidR="00000000" w:rsidRPr="00000000">
        <w:rPr>
          <w:rtl w:val="0"/>
        </w:rPr>
        <w:t xml:space="preserve"> Các mô hình gợi ý chuỗi (Sequential Recommendation - SR) dựa trên self-attention thường gặp phải vấn đề dữ liệu thưa thớt, bởi chúng chỉ sử dụng một hàm loss dự đoán item duy nhất để tối ưu một lượng khổng lồ các tham số. Gần đây, các kỹ thuật Học đối chiếu (Contrastive Learning - CL) đã được dùng để giải quyết việc này, nhưng chúng đòi hỏi quá trình phức tạp: phải chọn lựa phương pháp tăng cường dữ liệu (data augmentation), thiết kế pretext tasks, lấy mẫu âm (negative sampling) và tinh chỉnh rất nhiều siêu tham số.</w:t>
      </w:r>
    </w:p>
    <w:p w:rsidR="00000000" w:rsidDel="00000000" w:rsidP="00000000" w:rsidRDefault="00000000" w:rsidRPr="00000000" w14:paraId="00000003">
      <w:pPr>
        <w:numPr>
          <w:ilvl w:val="0"/>
          <w:numId w:val="2"/>
        </w:numPr>
        <w:spacing w:after="240" w:before="0" w:beforeAutospacing="0" w:lineRule="auto"/>
        <w:ind w:left="720" w:hanging="360"/>
      </w:pPr>
      <w:r w:rsidDel="00000000" w:rsidR="00000000" w:rsidRPr="00000000">
        <w:rPr>
          <w:b w:val="1"/>
          <w:bCs w:val="1"/>
          <w:rtl w:val="0"/>
        </w:rPr>
        <w:t xml:space="preserve">Động lực (Motivation):</w:t>
      </w:r>
      <w:r w:rsidDel="00000000" w:rsidR="00000000" w:rsidRPr="00000000">
        <w:rPr>
          <w:rtl w:val="0"/>
        </w:rPr>
        <w:t xml:space="preserve"> Lấy cảm hứng từ các nghiên cứu gần đây cho thấy việc áp dụng các chiến lược chuẩn hóa (regularization) đơn giản trên không gian đầu ra (output space) của mô hình multi-head attention mang lại hiệu quả cực kỳ ấn tượng, nhóm tác giả muốn tìm ra một giải pháp "siêu đơn giản" để thay thế Contrastive Learning, giúp cải thiện khả năng học biểu diễn người dùng mà không cần thay đổi cấu trúc mô hình hay áp dụng data augmentation.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2. Đánh giá Phương pháp luận (Methodology Analysis)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Phương pháp &amp; Mô hình:</w:t>
      </w:r>
      <w:r w:rsidDel="00000000" w:rsidR="00000000" w:rsidRPr="00000000">
        <w:rPr>
          <w:rtl w:val="0"/>
        </w:rPr>
        <w:t xml:space="preserve"> Nhóm tác giả đề xuất </w:t>
      </w:r>
      <w:r w:rsidDel="00000000" w:rsidR="00000000" w:rsidRPr="00000000">
        <w:rPr>
          <w:b w:val="1"/>
          <w:bCs w:val="1"/>
          <w:rtl w:val="0"/>
        </w:rPr>
        <w:t xml:space="preserve">CT4Rec</w:t>
      </w:r>
      <w:r w:rsidDel="00000000" w:rsidR="00000000" w:rsidRPr="00000000">
        <w:rPr>
          <w:rtl w:val="0"/>
        </w:rPr>
        <w:t xml:space="preserve"> (Consistency Training for Sequential Recommendation), sử dụng mô hình gốc SASRec (Multi-head self-attention) làm nền tảng (và cũng thử nghiệm trên GRU4Rec). Phương pháp này tạo ra 2 mạng con (sub-models) thông qua cơ chế Dropout và bổ sung 2 hàm loss để chuẩn hóa tính nhất quán: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i w:val="1"/>
          <w:iCs w:val="1"/>
          <w:rtl w:val="0"/>
        </w:rPr>
        <w:t xml:space="preserve">Regularized Dropout Loss (RD):</w:t>
      </w:r>
      <w:r w:rsidDel="00000000" w:rsidR="00000000" w:rsidRPr="00000000">
        <w:rPr>
          <w:rtl w:val="0"/>
        </w:rPr>
        <w:t xml:space="preserve"> Dùng phân kỳ Bidirectional KL Divergence để ép phân phối xác suất dự đoán item ở đầu ra (output space) của 2 sub-models phải giống nhau.</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i w:val="1"/>
          <w:iCs w:val="1"/>
          <w:rtl w:val="0"/>
        </w:rPr>
        <w:t xml:space="preserve">Distributed Regularization Loss (DR):</w:t>
      </w:r>
      <w:r w:rsidDel="00000000" w:rsidR="00000000" w:rsidRPr="00000000">
        <w:rPr>
          <w:rtl w:val="0"/>
        </w:rPr>
        <w:t xml:space="preserve"> Thay vì so sánh trực tiếp khoảng cách vector (L2 hay Cosine), DR loss chuẩn hóa không gian biểu diễn (representation space) bằng cách so sánh phân phối độ tương đồng giữa biểu diễn của một người dùng với </w:t>
      </w:r>
      <w:r w:rsidDel="00000000" w:rsidR="00000000" w:rsidRPr="00000000">
        <w:rPr>
          <w:i w:val="1"/>
          <w:iCs w:val="1"/>
          <w:rtl w:val="0"/>
        </w:rPr>
        <w:t xml:space="preserve">tất cả các người dùng khác</w:t>
      </w:r>
      <w:r w:rsidDel="00000000" w:rsidR="00000000" w:rsidRPr="00000000">
        <w:rPr>
          <w:rtl w:val="0"/>
        </w:rPr>
        <w:t xml:space="preserve"> trong cùng một mini-batch.</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i w:val="1"/>
          <w:iCs w:val="1"/>
          <w:rtl w:val="0"/>
        </w:rPr>
        <w:t xml:space="preserve">Hàm Loss tổng</w:t>
      </w:r>
      <w:r w:rsidDel="00000000" w:rsidR="00000000" w:rsidRPr="00000000">
        <w:rPr>
          <w:rtl w:val="0"/>
        </w:rPr>
        <w:t xml:space="preserve"> kết hợp cả RD, DR và Loss dự đoán thông thường.</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Điểm đột phá:</w:t>
      </w:r>
      <w:r w:rsidDel="00000000" w:rsidR="00000000" w:rsidRPr="00000000">
        <w:rPr>
          <w:rtl w:val="0"/>
        </w:rPr>
        <w:t xml:space="preserve"> Điểm sáng giá nhất là sự tối giản. Không cần data augmentation, không cần negative sampling hay thay đổi cấu trúc mạng, nhưng vẫn vượt trội các mô hình Học đối chiếu SOTA. Cách thiết kế DR Loss đại diện cho user bằng mối tương quan với các user khác (thay vì vector tuyệt đối) cũng chứng minh sự hiệu quả đặc biệt đối với bài toán dữ liệu thưa thớt.</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Điểm yếu/Giả định:</w:t>
      </w:r>
      <w:r w:rsidDel="00000000" w:rsidR="00000000" w:rsidRPr="00000000">
        <w:rPr>
          <w:rtl w:val="0"/>
        </w:rPr>
        <w:t xml:space="preserve"> Phương pháp này rất nhạy cảm với tỷ lệ dropout. Tác giả chỉ ra rằng khi tỷ lệ dropout bị đẩy lên quá cao (&gt;0.8), sự thiếu nhất quán trở nên không thể dung hòa do dữ liệu quá thưa thớt, dẫn đến mô hình bị giảm chất lượng. Về mặt thuật toán, do phải chạy forward 2 lần qua mạng nơ-ron (với 2 lớp dropout khác nhau) trong mỗi bước huấn luyện, thời gian huấn luyện mỗi step (training time per step) bị chậm đi so với mô hình gốc.</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Dữ liệu &amp; Cấu trúc Thực nghiệm (Data &amp; Experiments)</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Đặc điểm tập dữ liệu:</w:t>
      </w:r>
      <w:r w:rsidDel="00000000" w:rsidR="00000000" w:rsidRPr="00000000">
        <w:rPr>
          <w:rtl w:val="0"/>
        </w:rPr>
        <w:t xml:space="preserve"> Nghiên cứu được kiểm chứng trên quy mô dữ liệu rất toàn diện, bao gồm 3 bộ benchmark công khai (Amazon Beauty, Amazon Sports, Yelp) và 1 bộ dữ liệu thực tế siêu lớn tự thu thập (WeChat PC Top Stories) có độ thưa thớt cực cao (0.006%), với 9.5 triệu tương tác từ 0.74 triệu người dùng. Ngoài ra, tác giả còn dùng thêm WeChat-Video và WeChat-Article cho bài toán phân tích CTR.</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Chỉ số đánh giá:</w:t>
      </w:r>
      <w:r w:rsidDel="00000000" w:rsidR="00000000" w:rsidRPr="00000000">
        <w:rPr>
          <w:rtl w:val="0"/>
        </w:rPr>
        <w:t xml:space="preserve"> Tác giả sử dụng HR@k (Hit Ratio) và NDCG@k (Normalized Discounted Cumulative Gain) cho đánh giá offline. Đối với bài test A/B online, họ dùng CTR (Click-Through Rate) và ACN (Average Click Number). Đây là các chỉ số tiêu chuẩn và rất sát với thực tế, phản ánh đúng cả khả năng xếp hạng chính xác và tỷ lệ tương tác của người dùng.</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b w:val="1"/>
          <w:bCs w:val="1"/>
          <w:rtl w:val="0"/>
        </w:rPr>
        <w:t xml:space="preserve">Kết quả nổi bật:</w:t>
      </w:r>
      <w:r w:rsidDel="00000000" w:rsidR="00000000" w:rsidRPr="00000000">
        <w:rPr>
          <w:rtl w:val="0"/>
        </w:rPr>
        <w:t xml:space="preserve"> CT4Rec đánh bại các SOTA models (như CL4SRec, CLRec), cải thiện điểm số offline từ 5.34% đến 16.50% so với mô hình gốc được trang bị hàm loss mới (SASRec*). Trong môi trường online A/B test (triển khai thật trong 7 ngày với 3 triệu user), mô hình tăng 2.717% lượng CTR và 3.679% lượng Click trung bình.</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Đóng góp &amp; Khoảng trống nghiên cứu (Contributions &amp; Research Gaps)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Đóng góp lớn nhất:</w:t>
      </w:r>
      <w:r w:rsidDel="00000000" w:rsidR="00000000" w:rsidRPr="00000000">
        <w:rPr>
          <w:rtl w:val="0"/>
        </w:rPr>
        <w:t xml:space="preserve"> Đề xuất được một framework (CT4Rec) huấn luyện nhất quán (Consistency Training) hiệu quả và thống nhất cho hệ thống gợi ý, đồng thời chứng minh được phương pháp này có thể mở rộng xuất sắc cho cả bài toán CTR Prediction (Dự đoán tỷ lệ nhấp chuột).</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Hạn chế tự nhận định:</w:t>
      </w:r>
      <w:r w:rsidDel="00000000" w:rsidR="00000000" w:rsidRPr="00000000">
        <w:rPr>
          <w:rtl w:val="0"/>
        </w:rPr>
        <w:t xml:space="preserve"> Tác giả thừa nhận rằng CT4Rec làm tăng thời gian huấn luyện trên mỗi epoch so với mô hình gốc (dù hội tụ về số epoch nhanh hơn các mô hình dùng Contrastive Learning).</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Khoảng trống nghiên cứu (Dưới góc nhìn chuyên gia):</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Hàm DR Loss phụ thuộc vào việc tính toán khoảng cách biểu diễn giữa các user </w:t>
      </w:r>
      <w:r w:rsidDel="00000000" w:rsidR="00000000" w:rsidRPr="00000000">
        <w:rPr>
          <w:i w:val="1"/>
          <w:iCs w:val="1"/>
          <w:rtl w:val="0"/>
        </w:rPr>
        <w:t xml:space="preserve">bên trong cùng một mini-batch</w:t>
      </w:r>
      <w:r w:rsidDel="00000000" w:rsidR="00000000" w:rsidRPr="00000000">
        <w:rPr>
          <w:rtl w:val="0"/>
        </w:rPr>
        <w:t xml:space="preserve">. Do đó, đặc tính và kích thước của mini-batch (batch size) có thể tác động trực tiếp lên độ phân phối này. Tuy nhiên, bài báo thiếu sự phân tích (ablation study) về tác động của batch size đến hiệu năng của mô hình. </w:t>
      </w:r>
      <w:r w:rsidDel="00000000" w:rsidR="00000000" w:rsidRPr="00000000">
        <w:rPr>
          <w:i w:val="1"/>
          <w:iCs w:val="1"/>
          <w:rtl w:val="0"/>
        </w:rPr>
        <w:t xml:space="preserve">(Lưu ý: Đây là nhận định chuyên sâu dựa trên phương trình 4 của bài báo).</w:t>
      </w:r>
    </w:p>
    <w:p w:rsidR="00000000" w:rsidDel="00000000" w:rsidP="00000000" w:rsidRDefault="00000000" w:rsidRPr="00000000" w14:paraId="00000014">
      <w:pPr>
        <w:numPr>
          <w:ilvl w:val="1"/>
          <w:numId w:val="3"/>
        </w:numPr>
        <w:spacing w:after="240" w:before="0" w:beforeAutospacing="0" w:lineRule="auto"/>
        <w:ind w:left="1440" w:hanging="360"/>
      </w:pPr>
      <w:r w:rsidDel="00000000" w:rsidR="00000000" w:rsidRPr="00000000">
        <w:rPr>
          <w:rtl w:val="0"/>
        </w:rPr>
        <w:t xml:space="preserve">Các thực nghiệm xương sống chỉ xoay quanh SASRec và GRU4Rec. Việc tích hợp CT4Rec vào các kiến trúc tinh vi hơn hiện nay như Graph Neural Networks (GNN) chưa được khai thác.</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5. Tính ứng dụng &amp; Hướng phát triển (Applicability &amp; Future Work)</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Tính ứng dụng:</w:t>
      </w:r>
      <w:r w:rsidDel="00000000" w:rsidR="00000000" w:rsidRPr="00000000">
        <w:rPr>
          <w:rtl w:val="0"/>
        </w:rPr>
        <w:t xml:space="preserve"> Mô hình này có khả năng ứng dụng thực tế </w:t>
      </w:r>
      <w:r w:rsidDel="00000000" w:rsidR="00000000" w:rsidRPr="00000000">
        <w:rPr>
          <w:b w:val="1"/>
          <w:bCs w:val="1"/>
          <w:rtl w:val="0"/>
        </w:rPr>
        <w:t xml:space="preserve">cực kỳ cao</w:t>
      </w:r>
      <w:r w:rsidDel="00000000" w:rsidR="00000000" w:rsidRPr="00000000">
        <w:rPr>
          <w:rtl w:val="0"/>
        </w:rPr>
        <w:t xml:space="preserve">. Vì CT4Rec kiểm soát sự bất định (inconsistency) ở khâu huấn luyện mà không thêm bất kỳ lớp/kiến trúc nào vào mô hình dự báo cuối cùng, chi phí tính toán khi đưa lên phục vụ online (online inference cost) bằng đúng với mô hình gốc. Điều này giúp các hệ thống lớn (như WeChat) nâng cao độ chính xác mà không tốn thêm tài nguyên máy chủ.</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Đề xuất ý tưởng cải tiến (Future Work):</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i w:val="1"/>
          <w:iCs w:val="1"/>
          <w:rtl w:val="0"/>
        </w:rPr>
        <w:t xml:space="preserve">Mở rộng chiến lược lấy mẫu (Sampling):</w:t>
      </w:r>
      <w:r w:rsidDel="00000000" w:rsidR="00000000" w:rsidRPr="00000000">
        <w:rPr>
          <w:rtl w:val="0"/>
        </w:rPr>
        <w:t xml:space="preserve"> Nghiên cứu các chiến lược lấy mẫu thông minh (Smart Batch Sampling) để tối ưu hóa sự đa dạng của các users trong một mini-batch, qua đó giúp hàm DR Loss học được các độ đo tương đồng sâu sắc hơn.</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i w:val="1"/>
          <w:iCs w:val="1"/>
          <w:rtl w:val="0"/>
        </w:rPr>
        <w:t xml:space="preserve">Áp dụng vào Multi-modal Recommendation:</w:t>
      </w:r>
      <w:r w:rsidDel="00000000" w:rsidR="00000000" w:rsidRPr="00000000">
        <w:rPr>
          <w:rtl w:val="0"/>
        </w:rPr>
        <w:t xml:space="preserve"> (Nhận định chuyên gia) Có thể kiểm định CT4Rec trên các hệ thống gợi ý đa phương thức (hình ảnh, văn bản, video), dùng Consistency Training để đồng bộ chéo biểu diễn giữa các phương thức dữ liệu với nhau thay vì chỉ trên chuỗi nhấp chuột.</w:t>
      </w:r>
    </w:p>
    <w:p w:rsidR="00000000" w:rsidDel="00000000" w:rsidP="00000000" w:rsidRDefault="00000000" w:rsidRPr="00000000" w14:paraId="0000001A">
      <w:pPr>
        <w:numPr>
          <w:ilvl w:val="1"/>
          <w:numId w:val="4"/>
        </w:numPr>
        <w:spacing w:after="240" w:before="0" w:beforeAutospacing="0" w:lineRule="auto"/>
        <w:ind w:left="1440" w:hanging="360"/>
      </w:pPr>
      <w:r w:rsidDel="00000000" w:rsidR="00000000" w:rsidRPr="00000000">
        <w:rPr>
          <w:i w:val="1"/>
          <w:iCs w:val="1"/>
          <w:rtl w:val="0"/>
        </w:rPr>
        <w:t xml:space="preserve">Tinh chỉnh cho CTR Prediction:</w:t>
      </w:r>
      <w:r w:rsidDel="00000000" w:rsidR="00000000" w:rsidRPr="00000000">
        <w:rPr>
          <w:rtl w:val="0"/>
        </w:rPr>
        <w:t xml:space="preserve"> Đi sâu tối ưu hệ số và kiến trúc Consistency Training chuyên biệt cho bài toán dự báo CTR như tác giả đã định hướng.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