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1038676" w:displacedByCustomXml="next"/>
    <w:bookmarkStart w:id="1" w:name="dieu_15" w:displacedByCustomXml="next"/>
    <w:sdt>
      <w:sdtPr>
        <w:rPr>
          <w:rFonts w:ascii="Tahoma" w:eastAsia="Tahoma" w:hAnsi="Tahoma" w:cs="Tahoma"/>
          <w:color w:val="000000"/>
          <w:sz w:val="24"/>
          <w:szCs w:val="24"/>
          <w:lang w:val="vi-VN" w:eastAsia="vi-VN"/>
        </w:rPr>
        <w:id w:val="-881315576"/>
        <w:docPartObj>
          <w:docPartGallery w:val="Table of Contents"/>
          <w:docPartUnique/>
        </w:docPartObj>
      </w:sdtPr>
      <w:sdtEndPr>
        <w:rPr>
          <w:rFonts w:ascii="Times New Roman" w:hAnsi="Times New Roman"/>
          <w:noProof/>
          <w:lang w:val="en-US"/>
        </w:rPr>
      </w:sdtEndPr>
      <w:sdtContent>
        <w:p w14:paraId="1A59E064" w14:textId="20E06229" w:rsidR="00BA665D" w:rsidRDefault="00BA665D" w:rsidP="00B400C3">
          <w:pPr>
            <w:pStyle w:val="TOCHeading"/>
          </w:pPr>
          <w:r>
            <w:t>Contents</w:t>
          </w:r>
        </w:p>
        <w:p w14:paraId="316FD9A8" w14:textId="7D16E1B9" w:rsidR="00291E46" w:rsidRDefault="00BA665D">
          <w:pPr>
            <w:pStyle w:val="TOC1"/>
            <w:tabs>
              <w:tab w:val="right" w:leader="dot" w:pos="9487"/>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204931364" w:history="1">
            <w:r w:rsidR="00291E46" w:rsidRPr="00FE578D">
              <w:rPr>
                <w:rStyle w:val="Hyperlink"/>
                <w:noProof/>
              </w:rPr>
              <w:t>CHÀO BÁN CỔ PHIẾU LẦN ĐẦU CÔNG TY TNHH</w:t>
            </w:r>
            <w:r w:rsidR="00291E46">
              <w:rPr>
                <w:noProof/>
                <w:webHidden/>
              </w:rPr>
              <w:tab/>
            </w:r>
            <w:r w:rsidR="00291E46">
              <w:rPr>
                <w:noProof/>
                <w:webHidden/>
              </w:rPr>
              <w:fldChar w:fldCharType="begin"/>
            </w:r>
            <w:r w:rsidR="00291E46">
              <w:rPr>
                <w:noProof/>
                <w:webHidden/>
              </w:rPr>
              <w:instrText xml:space="preserve"> PAGEREF _Toc204931364 \h </w:instrText>
            </w:r>
            <w:r w:rsidR="00291E46">
              <w:rPr>
                <w:noProof/>
                <w:webHidden/>
              </w:rPr>
            </w:r>
            <w:r w:rsidR="00291E46">
              <w:rPr>
                <w:noProof/>
                <w:webHidden/>
              </w:rPr>
              <w:fldChar w:fldCharType="separate"/>
            </w:r>
            <w:r w:rsidR="00291E46">
              <w:rPr>
                <w:noProof/>
                <w:webHidden/>
              </w:rPr>
              <w:t>4</w:t>
            </w:r>
            <w:r w:rsidR="00291E46">
              <w:rPr>
                <w:noProof/>
                <w:webHidden/>
              </w:rPr>
              <w:fldChar w:fldCharType="end"/>
            </w:r>
          </w:hyperlink>
        </w:p>
        <w:p w14:paraId="2AFDCCBA" w14:textId="75893F8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65" w:history="1">
            <w:r w:rsidRPr="00FE578D">
              <w:rPr>
                <w:rStyle w:val="Hyperlink"/>
                <w:noProof/>
              </w:rPr>
              <w:t>Điều 15. Điều kiện chào bán cổ phiếu lần đầu ra công chúng để chuyển đổi công ty trách nhiệm hữu hạn thành công ty cổ phần</w:t>
            </w:r>
            <w:r>
              <w:rPr>
                <w:noProof/>
                <w:webHidden/>
              </w:rPr>
              <w:tab/>
            </w:r>
            <w:r>
              <w:rPr>
                <w:noProof/>
                <w:webHidden/>
              </w:rPr>
              <w:fldChar w:fldCharType="begin"/>
            </w:r>
            <w:r>
              <w:rPr>
                <w:noProof/>
                <w:webHidden/>
              </w:rPr>
              <w:instrText xml:space="preserve"> PAGEREF _Toc204931365 \h </w:instrText>
            </w:r>
            <w:r>
              <w:rPr>
                <w:noProof/>
                <w:webHidden/>
              </w:rPr>
            </w:r>
            <w:r>
              <w:rPr>
                <w:noProof/>
                <w:webHidden/>
              </w:rPr>
              <w:fldChar w:fldCharType="separate"/>
            </w:r>
            <w:r>
              <w:rPr>
                <w:noProof/>
                <w:webHidden/>
              </w:rPr>
              <w:t>4</w:t>
            </w:r>
            <w:r>
              <w:rPr>
                <w:noProof/>
                <w:webHidden/>
              </w:rPr>
              <w:fldChar w:fldCharType="end"/>
            </w:r>
          </w:hyperlink>
        </w:p>
        <w:p w14:paraId="65A3C9D5" w14:textId="7D48CB9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66" w:history="1">
            <w:r w:rsidRPr="00FE578D">
              <w:rPr>
                <w:rStyle w:val="Hyperlink"/>
                <w:noProof/>
              </w:rPr>
              <w:t>Điều 16. Hồ sơ đăng ký chào bán cổ phiếu lần đầu ra công chúng để chuyển đổi công ty trách nhiệm hữu hạn thành công ty cổ phần</w:t>
            </w:r>
            <w:r>
              <w:rPr>
                <w:noProof/>
                <w:webHidden/>
              </w:rPr>
              <w:tab/>
            </w:r>
            <w:r>
              <w:rPr>
                <w:noProof/>
                <w:webHidden/>
              </w:rPr>
              <w:fldChar w:fldCharType="begin"/>
            </w:r>
            <w:r>
              <w:rPr>
                <w:noProof/>
                <w:webHidden/>
              </w:rPr>
              <w:instrText xml:space="preserve"> PAGEREF _Toc204931366 \h </w:instrText>
            </w:r>
            <w:r>
              <w:rPr>
                <w:noProof/>
                <w:webHidden/>
              </w:rPr>
            </w:r>
            <w:r>
              <w:rPr>
                <w:noProof/>
                <w:webHidden/>
              </w:rPr>
              <w:fldChar w:fldCharType="separate"/>
            </w:r>
            <w:r>
              <w:rPr>
                <w:noProof/>
                <w:webHidden/>
              </w:rPr>
              <w:t>4</w:t>
            </w:r>
            <w:r>
              <w:rPr>
                <w:noProof/>
                <w:webHidden/>
              </w:rPr>
              <w:fldChar w:fldCharType="end"/>
            </w:r>
          </w:hyperlink>
        </w:p>
        <w:p w14:paraId="5782D2CC" w14:textId="2982B5E3"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367" w:history="1">
            <w:r w:rsidRPr="00FE578D">
              <w:rPr>
                <w:rStyle w:val="Hyperlink"/>
                <w:noProof/>
              </w:rPr>
              <w:t>NIÊM YẾT CÔNG TY CỔ PHẦN</w:t>
            </w:r>
            <w:r>
              <w:rPr>
                <w:noProof/>
                <w:webHidden/>
              </w:rPr>
              <w:tab/>
            </w:r>
            <w:r>
              <w:rPr>
                <w:noProof/>
                <w:webHidden/>
              </w:rPr>
              <w:fldChar w:fldCharType="begin"/>
            </w:r>
            <w:r>
              <w:rPr>
                <w:noProof/>
                <w:webHidden/>
              </w:rPr>
              <w:instrText xml:space="preserve"> PAGEREF _Toc204931367 \h </w:instrText>
            </w:r>
            <w:r>
              <w:rPr>
                <w:noProof/>
                <w:webHidden/>
              </w:rPr>
            </w:r>
            <w:r>
              <w:rPr>
                <w:noProof/>
                <w:webHidden/>
              </w:rPr>
              <w:fldChar w:fldCharType="separate"/>
            </w:r>
            <w:r>
              <w:rPr>
                <w:noProof/>
                <w:webHidden/>
              </w:rPr>
              <w:t>7</w:t>
            </w:r>
            <w:r>
              <w:rPr>
                <w:noProof/>
                <w:webHidden/>
              </w:rPr>
              <w:fldChar w:fldCharType="end"/>
            </w:r>
          </w:hyperlink>
        </w:p>
        <w:p w14:paraId="50DDB92B" w14:textId="48A0404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68" w:history="1">
            <w:r w:rsidRPr="00FE578D">
              <w:rPr>
                <w:rStyle w:val="Hyperlink"/>
                <w:rFonts w:eastAsia="Times New Roman"/>
                <w:noProof/>
              </w:rPr>
              <w:t>Điều 20: Báo cáo tài chính - Luật Chứng Khoán 2019</w:t>
            </w:r>
            <w:r>
              <w:rPr>
                <w:noProof/>
                <w:webHidden/>
              </w:rPr>
              <w:tab/>
            </w:r>
            <w:r>
              <w:rPr>
                <w:noProof/>
                <w:webHidden/>
              </w:rPr>
              <w:fldChar w:fldCharType="begin"/>
            </w:r>
            <w:r>
              <w:rPr>
                <w:noProof/>
                <w:webHidden/>
              </w:rPr>
              <w:instrText xml:space="preserve"> PAGEREF _Toc204931368 \h </w:instrText>
            </w:r>
            <w:r>
              <w:rPr>
                <w:noProof/>
                <w:webHidden/>
              </w:rPr>
            </w:r>
            <w:r>
              <w:rPr>
                <w:noProof/>
                <w:webHidden/>
              </w:rPr>
              <w:fldChar w:fldCharType="separate"/>
            </w:r>
            <w:r>
              <w:rPr>
                <w:noProof/>
                <w:webHidden/>
              </w:rPr>
              <w:t>7</w:t>
            </w:r>
            <w:r>
              <w:rPr>
                <w:noProof/>
                <w:webHidden/>
              </w:rPr>
              <w:fldChar w:fldCharType="end"/>
            </w:r>
          </w:hyperlink>
        </w:p>
        <w:p w14:paraId="65159763" w14:textId="73B6465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69" w:history="1">
            <w:r w:rsidRPr="00FE578D">
              <w:rPr>
                <w:rStyle w:val="Hyperlink"/>
                <w:noProof/>
              </w:rPr>
              <w:t>Điều 107. Quy định chung - Nghị định 155/2020/NĐ-CP</w:t>
            </w:r>
            <w:r>
              <w:rPr>
                <w:noProof/>
                <w:webHidden/>
              </w:rPr>
              <w:tab/>
            </w:r>
            <w:r>
              <w:rPr>
                <w:noProof/>
                <w:webHidden/>
              </w:rPr>
              <w:fldChar w:fldCharType="begin"/>
            </w:r>
            <w:r>
              <w:rPr>
                <w:noProof/>
                <w:webHidden/>
              </w:rPr>
              <w:instrText xml:space="preserve"> PAGEREF _Toc204931369 \h </w:instrText>
            </w:r>
            <w:r>
              <w:rPr>
                <w:noProof/>
                <w:webHidden/>
              </w:rPr>
            </w:r>
            <w:r>
              <w:rPr>
                <w:noProof/>
                <w:webHidden/>
              </w:rPr>
              <w:fldChar w:fldCharType="separate"/>
            </w:r>
            <w:r>
              <w:rPr>
                <w:noProof/>
                <w:webHidden/>
              </w:rPr>
              <w:t>7</w:t>
            </w:r>
            <w:r>
              <w:rPr>
                <w:noProof/>
                <w:webHidden/>
              </w:rPr>
              <w:fldChar w:fldCharType="end"/>
            </w:r>
          </w:hyperlink>
        </w:p>
        <w:p w14:paraId="085D98F8" w14:textId="6A432A5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0" w:history="1">
            <w:r w:rsidRPr="00FE578D">
              <w:rPr>
                <w:rStyle w:val="Hyperlink"/>
                <w:rFonts w:eastAsia="Times New Roman"/>
                <w:noProof/>
              </w:rPr>
              <w:t>Khoản 1 Điều 109: Điều kiện niêm yết cổ phiếu - Nghị định 155/2020/NĐ-CP</w:t>
            </w:r>
            <w:r>
              <w:rPr>
                <w:noProof/>
                <w:webHidden/>
              </w:rPr>
              <w:tab/>
            </w:r>
            <w:r>
              <w:rPr>
                <w:noProof/>
                <w:webHidden/>
              </w:rPr>
              <w:fldChar w:fldCharType="begin"/>
            </w:r>
            <w:r>
              <w:rPr>
                <w:noProof/>
                <w:webHidden/>
              </w:rPr>
              <w:instrText xml:space="preserve"> PAGEREF _Toc204931370 \h </w:instrText>
            </w:r>
            <w:r>
              <w:rPr>
                <w:noProof/>
                <w:webHidden/>
              </w:rPr>
            </w:r>
            <w:r>
              <w:rPr>
                <w:noProof/>
                <w:webHidden/>
              </w:rPr>
              <w:fldChar w:fldCharType="separate"/>
            </w:r>
            <w:r>
              <w:rPr>
                <w:noProof/>
                <w:webHidden/>
              </w:rPr>
              <w:t>8</w:t>
            </w:r>
            <w:r>
              <w:rPr>
                <w:noProof/>
                <w:webHidden/>
              </w:rPr>
              <w:fldChar w:fldCharType="end"/>
            </w:r>
          </w:hyperlink>
        </w:p>
        <w:p w14:paraId="09C21A12" w14:textId="12D4EED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1" w:history="1">
            <w:r w:rsidRPr="00FE578D">
              <w:rPr>
                <w:rStyle w:val="Hyperlink"/>
                <w:noProof/>
              </w:rPr>
              <w:t>Điều 110: Hồ sơ đăng ký niêm yết cổ phiếu, chứng chỉ quỹ - Nghị định 155/2020/NĐ-CP</w:t>
            </w:r>
            <w:r>
              <w:rPr>
                <w:noProof/>
                <w:webHidden/>
              </w:rPr>
              <w:tab/>
            </w:r>
            <w:r>
              <w:rPr>
                <w:noProof/>
                <w:webHidden/>
              </w:rPr>
              <w:fldChar w:fldCharType="begin"/>
            </w:r>
            <w:r>
              <w:rPr>
                <w:noProof/>
                <w:webHidden/>
              </w:rPr>
              <w:instrText xml:space="preserve"> PAGEREF _Toc204931371 \h </w:instrText>
            </w:r>
            <w:r>
              <w:rPr>
                <w:noProof/>
                <w:webHidden/>
              </w:rPr>
            </w:r>
            <w:r>
              <w:rPr>
                <w:noProof/>
                <w:webHidden/>
              </w:rPr>
              <w:fldChar w:fldCharType="separate"/>
            </w:r>
            <w:r>
              <w:rPr>
                <w:noProof/>
                <w:webHidden/>
              </w:rPr>
              <w:t>9</w:t>
            </w:r>
            <w:r>
              <w:rPr>
                <w:noProof/>
                <w:webHidden/>
              </w:rPr>
              <w:fldChar w:fldCharType="end"/>
            </w:r>
          </w:hyperlink>
        </w:p>
        <w:p w14:paraId="766ECBF3" w14:textId="0AB8CF2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2" w:history="1">
            <w:r w:rsidRPr="00FE578D">
              <w:rPr>
                <w:rStyle w:val="Hyperlink"/>
                <w:rFonts w:eastAsia="Times New Roman"/>
                <w:noProof/>
              </w:rPr>
              <w:t>Điều 111. Thủ tục đăng ký niêm yết</w:t>
            </w:r>
            <w:r>
              <w:rPr>
                <w:noProof/>
                <w:webHidden/>
              </w:rPr>
              <w:tab/>
            </w:r>
            <w:r>
              <w:rPr>
                <w:noProof/>
                <w:webHidden/>
              </w:rPr>
              <w:fldChar w:fldCharType="begin"/>
            </w:r>
            <w:r>
              <w:rPr>
                <w:noProof/>
                <w:webHidden/>
              </w:rPr>
              <w:instrText xml:space="preserve"> PAGEREF _Toc204931372 \h </w:instrText>
            </w:r>
            <w:r>
              <w:rPr>
                <w:noProof/>
                <w:webHidden/>
              </w:rPr>
            </w:r>
            <w:r>
              <w:rPr>
                <w:noProof/>
                <w:webHidden/>
              </w:rPr>
              <w:fldChar w:fldCharType="separate"/>
            </w:r>
            <w:r>
              <w:rPr>
                <w:noProof/>
                <w:webHidden/>
              </w:rPr>
              <w:t>10</w:t>
            </w:r>
            <w:r>
              <w:rPr>
                <w:noProof/>
                <w:webHidden/>
              </w:rPr>
              <w:fldChar w:fldCharType="end"/>
            </w:r>
          </w:hyperlink>
        </w:p>
        <w:p w14:paraId="139317F3" w14:textId="7B6613C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3" w:history="1">
            <w:r w:rsidRPr="00FE578D">
              <w:rPr>
                <w:rStyle w:val="Hyperlink"/>
                <w:rFonts w:eastAsia="Times New Roman"/>
                <w:noProof/>
              </w:rPr>
              <w:t>Điều 6. Thủ tục đăng ký niêm yết và chính thức giao dịch - 17/QĐ-HĐTV</w:t>
            </w:r>
            <w:r>
              <w:rPr>
                <w:noProof/>
                <w:webHidden/>
              </w:rPr>
              <w:tab/>
            </w:r>
            <w:r>
              <w:rPr>
                <w:noProof/>
                <w:webHidden/>
              </w:rPr>
              <w:fldChar w:fldCharType="begin"/>
            </w:r>
            <w:r>
              <w:rPr>
                <w:noProof/>
                <w:webHidden/>
              </w:rPr>
              <w:instrText xml:space="preserve"> PAGEREF _Toc204931373 \h </w:instrText>
            </w:r>
            <w:r>
              <w:rPr>
                <w:noProof/>
                <w:webHidden/>
              </w:rPr>
            </w:r>
            <w:r>
              <w:rPr>
                <w:noProof/>
                <w:webHidden/>
              </w:rPr>
              <w:fldChar w:fldCharType="separate"/>
            </w:r>
            <w:r>
              <w:rPr>
                <w:noProof/>
                <w:webHidden/>
              </w:rPr>
              <w:t>10</w:t>
            </w:r>
            <w:r>
              <w:rPr>
                <w:noProof/>
                <w:webHidden/>
              </w:rPr>
              <w:fldChar w:fldCharType="end"/>
            </w:r>
          </w:hyperlink>
        </w:p>
        <w:p w14:paraId="0D0A83B2" w14:textId="48F564C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4" w:history="1">
            <w:r w:rsidRPr="00FE578D">
              <w:rPr>
                <w:rStyle w:val="Hyperlink"/>
                <w:rFonts w:eastAsia="Times New Roman"/>
                <w:noProof/>
              </w:rPr>
              <w:t>Điều 5. Hồ sơ đăng ký niêm yết chứng khoán - 17/QĐ-HĐTV</w:t>
            </w:r>
            <w:r>
              <w:rPr>
                <w:noProof/>
                <w:webHidden/>
              </w:rPr>
              <w:tab/>
            </w:r>
            <w:r>
              <w:rPr>
                <w:noProof/>
                <w:webHidden/>
              </w:rPr>
              <w:fldChar w:fldCharType="begin"/>
            </w:r>
            <w:r>
              <w:rPr>
                <w:noProof/>
                <w:webHidden/>
              </w:rPr>
              <w:instrText xml:space="preserve"> PAGEREF _Toc204931374 \h </w:instrText>
            </w:r>
            <w:r>
              <w:rPr>
                <w:noProof/>
                <w:webHidden/>
              </w:rPr>
            </w:r>
            <w:r>
              <w:rPr>
                <w:noProof/>
                <w:webHidden/>
              </w:rPr>
              <w:fldChar w:fldCharType="separate"/>
            </w:r>
            <w:r>
              <w:rPr>
                <w:noProof/>
                <w:webHidden/>
              </w:rPr>
              <w:t>10</w:t>
            </w:r>
            <w:r>
              <w:rPr>
                <w:noProof/>
                <w:webHidden/>
              </w:rPr>
              <w:fldChar w:fldCharType="end"/>
            </w:r>
          </w:hyperlink>
        </w:p>
        <w:p w14:paraId="676B02E7" w14:textId="3CC9FA95"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375" w:history="1">
            <w:r w:rsidRPr="00FE578D">
              <w:rPr>
                <w:rStyle w:val="Hyperlink"/>
                <w:noProof/>
              </w:rPr>
              <w:t>PHÂN PHỐI CỔ PHIẾU CHÀO BÁN</w:t>
            </w:r>
            <w:r>
              <w:rPr>
                <w:noProof/>
                <w:webHidden/>
              </w:rPr>
              <w:tab/>
            </w:r>
            <w:r>
              <w:rPr>
                <w:noProof/>
                <w:webHidden/>
              </w:rPr>
              <w:fldChar w:fldCharType="begin"/>
            </w:r>
            <w:r>
              <w:rPr>
                <w:noProof/>
                <w:webHidden/>
              </w:rPr>
              <w:instrText xml:space="preserve"> PAGEREF _Toc204931375 \h </w:instrText>
            </w:r>
            <w:r>
              <w:rPr>
                <w:noProof/>
                <w:webHidden/>
              </w:rPr>
            </w:r>
            <w:r>
              <w:rPr>
                <w:noProof/>
                <w:webHidden/>
              </w:rPr>
              <w:fldChar w:fldCharType="separate"/>
            </w:r>
            <w:r>
              <w:rPr>
                <w:noProof/>
                <w:webHidden/>
              </w:rPr>
              <w:t>12</w:t>
            </w:r>
            <w:r>
              <w:rPr>
                <w:noProof/>
                <w:webHidden/>
              </w:rPr>
              <w:fldChar w:fldCharType="end"/>
            </w:r>
          </w:hyperlink>
        </w:p>
        <w:p w14:paraId="0F5B3D73" w14:textId="165EB52B"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6" w:history="1">
            <w:r w:rsidRPr="00FE578D">
              <w:rPr>
                <w:rStyle w:val="Hyperlink"/>
                <w:noProof/>
              </w:rPr>
              <w:t>Điều 26: Phân phối chứng khoán - Luật chứng khoán 2019</w:t>
            </w:r>
            <w:r>
              <w:rPr>
                <w:noProof/>
                <w:webHidden/>
              </w:rPr>
              <w:tab/>
            </w:r>
            <w:r>
              <w:rPr>
                <w:noProof/>
                <w:webHidden/>
              </w:rPr>
              <w:fldChar w:fldCharType="begin"/>
            </w:r>
            <w:r>
              <w:rPr>
                <w:noProof/>
                <w:webHidden/>
              </w:rPr>
              <w:instrText xml:space="preserve"> PAGEREF _Toc204931376 \h </w:instrText>
            </w:r>
            <w:r>
              <w:rPr>
                <w:noProof/>
                <w:webHidden/>
              </w:rPr>
            </w:r>
            <w:r>
              <w:rPr>
                <w:noProof/>
                <w:webHidden/>
              </w:rPr>
              <w:fldChar w:fldCharType="separate"/>
            </w:r>
            <w:r>
              <w:rPr>
                <w:noProof/>
                <w:webHidden/>
              </w:rPr>
              <w:t>12</w:t>
            </w:r>
            <w:r>
              <w:rPr>
                <w:noProof/>
                <w:webHidden/>
              </w:rPr>
              <w:fldChar w:fldCharType="end"/>
            </w:r>
          </w:hyperlink>
        </w:p>
        <w:p w14:paraId="3A511CF9" w14:textId="1FBB30D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7" w:history="1">
            <w:r w:rsidRPr="00FE578D">
              <w:rPr>
                <w:rStyle w:val="Hyperlink"/>
                <w:noProof/>
              </w:rPr>
              <w:t>Điều 42: Xử lý cổ phiếu nhà đầu tư không đăng ký mua, không nộp tiền mua, số cổ phiếu lẻ - Nghị định 155/2020/NĐ-CP:</w:t>
            </w:r>
            <w:r>
              <w:rPr>
                <w:noProof/>
                <w:webHidden/>
              </w:rPr>
              <w:tab/>
            </w:r>
            <w:r>
              <w:rPr>
                <w:noProof/>
                <w:webHidden/>
              </w:rPr>
              <w:fldChar w:fldCharType="begin"/>
            </w:r>
            <w:r>
              <w:rPr>
                <w:noProof/>
                <w:webHidden/>
              </w:rPr>
              <w:instrText xml:space="preserve"> PAGEREF _Toc204931377 \h </w:instrText>
            </w:r>
            <w:r>
              <w:rPr>
                <w:noProof/>
                <w:webHidden/>
              </w:rPr>
            </w:r>
            <w:r>
              <w:rPr>
                <w:noProof/>
                <w:webHidden/>
              </w:rPr>
              <w:fldChar w:fldCharType="separate"/>
            </w:r>
            <w:r>
              <w:rPr>
                <w:noProof/>
                <w:webHidden/>
              </w:rPr>
              <w:t>12</w:t>
            </w:r>
            <w:r>
              <w:rPr>
                <w:noProof/>
                <w:webHidden/>
              </w:rPr>
              <w:fldChar w:fldCharType="end"/>
            </w:r>
          </w:hyperlink>
        </w:p>
        <w:p w14:paraId="54D15F23" w14:textId="00AD595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8" w:history="1">
            <w:r w:rsidRPr="00FE578D">
              <w:rPr>
                <w:rStyle w:val="Hyperlink"/>
                <w:noProof/>
              </w:rPr>
              <w:t>Khoản 3 Điều 32 Luật Chứng khoán 2019</w:t>
            </w:r>
            <w:r>
              <w:rPr>
                <w:noProof/>
                <w:webHidden/>
              </w:rPr>
              <w:tab/>
            </w:r>
            <w:r>
              <w:rPr>
                <w:noProof/>
                <w:webHidden/>
              </w:rPr>
              <w:fldChar w:fldCharType="begin"/>
            </w:r>
            <w:r>
              <w:rPr>
                <w:noProof/>
                <w:webHidden/>
              </w:rPr>
              <w:instrText xml:space="preserve"> PAGEREF _Toc204931378 \h </w:instrText>
            </w:r>
            <w:r>
              <w:rPr>
                <w:noProof/>
                <w:webHidden/>
              </w:rPr>
            </w:r>
            <w:r>
              <w:rPr>
                <w:noProof/>
                <w:webHidden/>
              </w:rPr>
              <w:fldChar w:fldCharType="separate"/>
            </w:r>
            <w:r>
              <w:rPr>
                <w:noProof/>
                <w:webHidden/>
              </w:rPr>
              <w:t>13</w:t>
            </w:r>
            <w:r>
              <w:rPr>
                <w:noProof/>
                <w:webHidden/>
              </w:rPr>
              <w:fldChar w:fldCharType="end"/>
            </w:r>
          </w:hyperlink>
        </w:p>
        <w:p w14:paraId="7F3BA404" w14:textId="4B80E6B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79" w:history="1">
            <w:r w:rsidRPr="00FE578D">
              <w:rPr>
                <w:rStyle w:val="Hyperlink"/>
                <w:noProof/>
              </w:rPr>
              <w:t>Điều 29 Luật Chứng khoán: Nghĩa vụ của Tổ chức Phát hành</w:t>
            </w:r>
            <w:r>
              <w:rPr>
                <w:noProof/>
                <w:webHidden/>
              </w:rPr>
              <w:tab/>
            </w:r>
            <w:r>
              <w:rPr>
                <w:noProof/>
                <w:webHidden/>
              </w:rPr>
              <w:fldChar w:fldCharType="begin"/>
            </w:r>
            <w:r>
              <w:rPr>
                <w:noProof/>
                <w:webHidden/>
              </w:rPr>
              <w:instrText xml:space="preserve"> PAGEREF _Toc204931379 \h </w:instrText>
            </w:r>
            <w:r>
              <w:rPr>
                <w:noProof/>
                <w:webHidden/>
              </w:rPr>
            </w:r>
            <w:r>
              <w:rPr>
                <w:noProof/>
                <w:webHidden/>
              </w:rPr>
              <w:fldChar w:fldCharType="separate"/>
            </w:r>
            <w:r>
              <w:rPr>
                <w:noProof/>
                <w:webHidden/>
              </w:rPr>
              <w:t>13</w:t>
            </w:r>
            <w:r>
              <w:rPr>
                <w:noProof/>
                <w:webHidden/>
              </w:rPr>
              <w:fldChar w:fldCharType="end"/>
            </w:r>
          </w:hyperlink>
        </w:p>
        <w:p w14:paraId="2E1039A5" w14:textId="7D3D63C6"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380" w:history="1">
            <w:r w:rsidRPr="00FE578D">
              <w:rPr>
                <w:rStyle w:val="Hyperlink"/>
                <w:noProof/>
              </w:rPr>
              <w:t>ĐĂNG KÝ CÔNG TY ĐẠI CHÚNG</w:t>
            </w:r>
            <w:r>
              <w:rPr>
                <w:noProof/>
                <w:webHidden/>
              </w:rPr>
              <w:tab/>
            </w:r>
            <w:r>
              <w:rPr>
                <w:noProof/>
                <w:webHidden/>
              </w:rPr>
              <w:fldChar w:fldCharType="begin"/>
            </w:r>
            <w:r>
              <w:rPr>
                <w:noProof/>
                <w:webHidden/>
              </w:rPr>
              <w:instrText xml:space="preserve"> PAGEREF _Toc204931380 \h </w:instrText>
            </w:r>
            <w:r>
              <w:rPr>
                <w:noProof/>
                <w:webHidden/>
              </w:rPr>
            </w:r>
            <w:r>
              <w:rPr>
                <w:noProof/>
                <w:webHidden/>
              </w:rPr>
              <w:fldChar w:fldCharType="separate"/>
            </w:r>
            <w:r>
              <w:rPr>
                <w:noProof/>
                <w:webHidden/>
              </w:rPr>
              <w:t>14</w:t>
            </w:r>
            <w:r>
              <w:rPr>
                <w:noProof/>
                <w:webHidden/>
              </w:rPr>
              <w:fldChar w:fldCharType="end"/>
            </w:r>
          </w:hyperlink>
        </w:p>
        <w:p w14:paraId="3F804316" w14:textId="34D41DB1"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1" w:history="1">
            <w:r w:rsidRPr="00FE578D">
              <w:rPr>
                <w:rStyle w:val="Hyperlink"/>
                <w:noProof/>
              </w:rPr>
              <w:t>Khoản 11 Điều 1 Luật 56/2024:</w:t>
            </w:r>
            <w:r>
              <w:rPr>
                <w:noProof/>
                <w:webHidden/>
              </w:rPr>
              <w:tab/>
            </w:r>
            <w:r>
              <w:rPr>
                <w:noProof/>
                <w:webHidden/>
              </w:rPr>
              <w:fldChar w:fldCharType="begin"/>
            </w:r>
            <w:r>
              <w:rPr>
                <w:noProof/>
                <w:webHidden/>
              </w:rPr>
              <w:instrText xml:space="preserve"> PAGEREF _Toc204931381 \h </w:instrText>
            </w:r>
            <w:r>
              <w:rPr>
                <w:noProof/>
                <w:webHidden/>
              </w:rPr>
            </w:r>
            <w:r>
              <w:rPr>
                <w:noProof/>
                <w:webHidden/>
              </w:rPr>
              <w:fldChar w:fldCharType="separate"/>
            </w:r>
            <w:r>
              <w:rPr>
                <w:noProof/>
                <w:webHidden/>
              </w:rPr>
              <w:t>14</w:t>
            </w:r>
            <w:r>
              <w:rPr>
                <w:noProof/>
                <w:webHidden/>
              </w:rPr>
              <w:fldChar w:fldCharType="end"/>
            </w:r>
          </w:hyperlink>
        </w:p>
        <w:p w14:paraId="369A7C28" w14:textId="27043C4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2" w:history="1">
            <w:r w:rsidRPr="00FE578D">
              <w:rPr>
                <w:rStyle w:val="Hyperlink"/>
                <w:noProof/>
              </w:rPr>
              <w:t>Điều 32 Luật chứng khoán 2019:</w:t>
            </w:r>
            <w:r>
              <w:rPr>
                <w:noProof/>
                <w:webHidden/>
              </w:rPr>
              <w:tab/>
            </w:r>
            <w:r>
              <w:rPr>
                <w:noProof/>
                <w:webHidden/>
              </w:rPr>
              <w:fldChar w:fldCharType="begin"/>
            </w:r>
            <w:r>
              <w:rPr>
                <w:noProof/>
                <w:webHidden/>
              </w:rPr>
              <w:instrText xml:space="preserve"> PAGEREF _Toc204931382 \h </w:instrText>
            </w:r>
            <w:r>
              <w:rPr>
                <w:noProof/>
                <w:webHidden/>
              </w:rPr>
            </w:r>
            <w:r>
              <w:rPr>
                <w:noProof/>
                <w:webHidden/>
              </w:rPr>
              <w:fldChar w:fldCharType="separate"/>
            </w:r>
            <w:r>
              <w:rPr>
                <w:noProof/>
                <w:webHidden/>
              </w:rPr>
              <w:t>14</w:t>
            </w:r>
            <w:r>
              <w:rPr>
                <w:noProof/>
                <w:webHidden/>
              </w:rPr>
              <w:fldChar w:fldCharType="end"/>
            </w:r>
          </w:hyperlink>
        </w:p>
        <w:p w14:paraId="5F99EA37" w14:textId="2374660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3" w:history="1">
            <w:r w:rsidRPr="00FE578D">
              <w:rPr>
                <w:rStyle w:val="Hyperlink"/>
                <w:noProof/>
              </w:rPr>
              <w:t>Điều 33 Luật chứng khoán 2019:</w:t>
            </w:r>
            <w:r>
              <w:rPr>
                <w:noProof/>
                <w:webHidden/>
              </w:rPr>
              <w:tab/>
            </w:r>
            <w:r>
              <w:rPr>
                <w:noProof/>
                <w:webHidden/>
              </w:rPr>
              <w:fldChar w:fldCharType="begin"/>
            </w:r>
            <w:r>
              <w:rPr>
                <w:noProof/>
                <w:webHidden/>
              </w:rPr>
              <w:instrText xml:space="preserve"> PAGEREF _Toc204931383 \h </w:instrText>
            </w:r>
            <w:r>
              <w:rPr>
                <w:noProof/>
                <w:webHidden/>
              </w:rPr>
            </w:r>
            <w:r>
              <w:rPr>
                <w:noProof/>
                <w:webHidden/>
              </w:rPr>
              <w:fldChar w:fldCharType="separate"/>
            </w:r>
            <w:r>
              <w:rPr>
                <w:noProof/>
                <w:webHidden/>
              </w:rPr>
              <w:t>14</w:t>
            </w:r>
            <w:r>
              <w:rPr>
                <w:noProof/>
                <w:webHidden/>
              </w:rPr>
              <w:fldChar w:fldCharType="end"/>
            </w:r>
          </w:hyperlink>
        </w:p>
        <w:p w14:paraId="2EBB1819" w14:textId="2C5E60B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4" w:history="1">
            <w:r w:rsidRPr="00FE578D">
              <w:rPr>
                <w:rStyle w:val="Hyperlink"/>
                <w:noProof/>
              </w:rPr>
              <w:t>Khoản 12 Điều 1 Luật 56:</w:t>
            </w:r>
            <w:r>
              <w:rPr>
                <w:noProof/>
                <w:webHidden/>
              </w:rPr>
              <w:tab/>
            </w:r>
            <w:r>
              <w:rPr>
                <w:noProof/>
                <w:webHidden/>
              </w:rPr>
              <w:fldChar w:fldCharType="begin"/>
            </w:r>
            <w:r>
              <w:rPr>
                <w:noProof/>
                <w:webHidden/>
              </w:rPr>
              <w:instrText xml:space="preserve"> PAGEREF _Toc204931384 \h </w:instrText>
            </w:r>
            <w:r>
              <w:rPr>
                <w:noProof/>
                <w:webHidden/>
              </w:rPr>
            </w:r>
            <w:r>
              <w:rPr>
                <w:noProof/>
                <w:webHidden/>
              </w:rPr>
              <w:fldChar w:fldCharType="separate"/>
            </w:r>
            <w:r>
              <w:rPr>
                <w:noProof/>
                <w:webHidden/>
              </w:rPr>
              <w:t>15</w:t>
            </w:r>
            <w:r>
              <w:rPr>
                <w:noProof/>
                <w:webHidden/>
              </w:rPr>
              <w:fldChar w:fldCharType="end"/>
            </w:r>
          </w:hyperlink>
        </w:p>
        <w:p w14:paraId="5A9841EF" w14:textId="262CE13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5" w:history="1">
            <w:r w:rsidRPr="00FE578D">
              <w:rPr>
                <w:rStyle w:val="Hyperlink"/>
                <w:noProof/>
              </w:rPr>
              <w:t>Điều 139. Tỷ lệ sở hữu nước ngoài trên thị trường chứng khoán Việt Nam</w:t>
            </w:r>
            <w:r>
              <w:rPr>
                <w:noProof/>
                <w:webHidden/>
              </w:rPr>
              <w:tab/>
            </w:r>
            <w:r>
              <w:rPr>
                <w:noProof/>
                <w:webHidden/>
              </w:rPr>
              <w:fldChar w:fldCharType="begin"/>
            </w:r>
            <w:r>
              <w:rPr>
                <w:noProof/>
                <w:webHidden/>
              </w:rPr>
              <w:instrText xml:space="preserve"> PAGEREF _Toc204931385 \h </w:instrText>
            </w:r>
            <w:r>
              <w:rPr>
                <w:noProof/>
                <w:webHidden/>
              </w:rPr>
            </w:r>
            <w:r>
              <w:rPr>
                <w:noProof/>
                <w:webHidden/>
              </w:rPr>
              <w:fldChar w:fldCharType="separate"/>
            </w:r>
            <w:r>
              <w:rPr>
                <w:noProof/>
                <w:webHidden/>
              </w:rPr>
              <w:t>15</w:t>
            </w:r>
            <w:r>
              <w:rPr>
                <w:noProof/>
                <w:webHidden/>
              </w:rPr>
              <w:fldChar w:fldCharType="end"/>
            </w:r>
          </w:hyperlink>
        </w:p>
        <w:p w14:paraId="1E265946" w14:textId="2EDD483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6" w:history="1">
            <w:r w:rsidRPr="00FE578D">
              <w:rPr>
                <w:rStyle w:val="Hyperlink"/>
                <w:noProof/>
              </w:rPr>
              <w:t>Điều 141. Trách nhiệm thông báo về tỷ lệ sở hữu nước ngoài tối đa của công ty đại chúng</w:t>
            </w:r>
            <w:r>
              <w:rPr>
                <w:noProof/>
                <w:webHidden/>
              </w:rPr>
              <w:tab/>
            </w:r>
            <w:r>
              <w:rPr>
                <w:noProof/>
                <w:webHidden/>
              </w:rPr>
              <w:fldChar w:fldCharType="begin"/>
            </w:r>
            <w:r>
              <w:rPr>
                <w:noProof/>
                <w:webHidden/>
              </w:rPr>
              <w:instrText xml:space="preserve"> PAGEREF _Toc204931386 \h </w:instrText>
            </w:r>
            <w:r>
              <w:rPr>
                <w:noProof/>
                <w:webHidden/>
              </w:rPr>
            </w:r>
            <w:r>
              <w:rPr>
                <w:noProof/>
                <w:webHidden/>
              </w:rPr>
              <w:fldChar w:fldCharType="separate"/>
            </w:r>
            <w:r>
              <w:rPr>
                <w:noProof/>
                <w:webHidden/>
              </w:rPr>
              <w:t>15</w:t>
            </w:r>
            <w:r>
              <w:rPr>
                <w:noProof/>
                <w:webHidden/>
              </w:rPr>
              <w:fldChar w:fldCharType="end"/>
            </w:r>
          </w:hyperlink>
        </w:p>
        <w:p w14:paraId="403B980A" w14:textId="4BA75FE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7" w:history="1">
            <w:r w:rsidRPr="00FE578D">
              <w:rPr>
                <w:rStyle w:val="Hyperlink"/>
                <w:noProof/>
              </w:rPr>
              <w:t>Điều 142. Hồ sơ, trình tự, thủ tục thông báo tỷ lệ sở hữu nước ngoài tối đa tại công ty đại chúng</w:t>
            </w:r>
            <w:r>
              <w:rPr>
                <w:noProof/>
                <w:webHidden/>
              </w:rPr>
              <w:tab/>
            </w:r>
            <w:r>
              <w:rPr>
                <w:noProof/>
                <w:webHidden/>
              </w:rPr>
              <w:fldChar w:fldCharType="begin"/>
            </w:r>
            <w:r>
              <w:rPr>
                <w:noProof/>
                <w:webHidden/>
              </w:rPr>
              <w:instrText xml:space="preserve"> PAGEREF _Toc204931387 \h </w:instrText>
            </w:r>
            <w:r>
              <w:rPr>
                <w:noProof/>
                <w:webHidden/>
              </w:rPr>
            </w:r>
            <w:r>
              <w:rPr>
                <w:noProof/>
                <w:webHidden/>
              </w:rPr>
              <w:fldChar w:fldCharType="separate"/>
            </w:r>
            <w:r>
              <w:rPr>
                <w:noProof/>
                <w:webHidden/>
              </w:rPr>
              <w:t>16</w:t>
            </w:r>
            <w:r>
              <w:rPr>
                <w:noProof/>
                <w:webHidden/>
              </w:rPr>
              <w:fldChar w:fldCharType="end"/>
            </w:r>
          </w:hyperlink>
        </w:p>
        <w:p w14:paraId="494487A8" w14:textId="5DD5DB2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8" w:history="1">
            <w:r w:rsidRPr="00FE578D">
              <w:rPr>
                <w:rStyle w:val="Hyperlink"/>
                <w:noProof/>
              </w:rPr>
              <w:t>Điều 34. Quyền và nghĩa vụ của công ty đại chúng</w:t>
            </w:r>
            <w:r>
              <w:rPr>
                <w:noProof/>
                <w:webHidden/>
              </w:rPr>
              <w:tab/>
            </w:r>
            <w:r>
              <w:rPr>
                <w:noProof/>
                <w:webHidden/>
              </w:rPr>
              <w:fldChar w:fldCharType="begin"/>
            </w:r>
            <w:r>
              <w:rPr>
                <w:noProof/>
                <w:webHidden/>
              </w:rPr>
              <w:instrText xml:space="preserve"> PAGEREF _Toc204931388 \h </w:instrText>
            </w:r>
            <w:r>
              <w:rPr>
                <w:noProof/>
                <w:webHidden/>
              </w:rPr>
            </w:r>
            <w:r>
              <w:rPr>
                <w:noProof/>
                <w:webHidden/>
              </w:rPr>
              <w:fldChar w:fldCharType="separate"/>
            </w:r>
            <w:r>
              <w:rPr>
                <w:noProof/>
                <w:webHidden/>
              </w:rPr>
              <w:t>17</w:t>
            </w:r>
            <w:r>
              <w:rPr>
                <w:noProof/>
                <w:webHidden/>
              </w:rPr>
              <w:fldChar w:fldCharType="end"/>
            </w:r>
          </w:hyperlink>
        </w:p>
        <w:p w14:paraId="65151192" w14:textId="0453F3B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89" w:history="1">
            <w:r w:rsidRPr="00FE578D">
              <w:rPr>
                <w:rStyle w:val="Hyperlink"/>
                <w:noProof/>
              </w:rPr>
              <w:t>Khoản 2 điều 7 thông tư 96/2020</w:t>
            </w:r>
            <w:r>
              <w:rPr>
                <w:noProof/>
                <w:webHidden/>
              </w:rPr>
              <w:tab/>
            </w:r>
            <w:r>
              <w:rPr>
                <w:noProof/>
                <w:webHidden/>
              </w:rPr>
              <w:fldChar w:fldCharType="begin"/>
            </w:r>
            <w:r>
              <w:rPr>
                <w:noProof/>
                <w:webHidden/>
              </w:rPr>
              <w:instrText xml:space="preserve"> PAGEREF _Toc204931389 \h </w:instrText>
            </w:r>
            <w:r>
              <w:rPr>
                <w:noProof/>
                <w:webHidden/>
              </w:rPr>
            </w:r>
            <w:r>
              <w:rPr>
                <w:noProof/>
                <w:webHidden/>
              </w:rPr>
              <w:fldChar w:fldCharType="separate"/>
            </w:r>
            <w:r>
              <w:rPr>
                <w:noProof/>
                <w:webHidden/>
              </w:rPr>
              <w:t>17</w:t>
            </w:r>
            <w:r>
              <w:rPr>
                <w:noProof/>
                <w:webHidden/>
              </w:rPr>
              <w:fldChar w:fldCharType="end"/>
            </w:r>
          </w:hyperlink>
        </w:p>
        <w:p w14:paraId="744FEA33" w14:textId="6D4A9650"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390" w:history="1">
            <w:r w:rsidRPr="00FE578D">
              <w:rPr>
                <w:rStyle w:val="Hyperlink"/>
                <w:noProof/>
              </w:rPr>
              <w:t>ĐĂNG KÝ CỔ PHIẾU TẬP TRUNG</w:t>
            </w:r>
            <w:r>
              <w:rPr>
                <w:noProof/>
                <w:webHidden/>
              </w:rPr>
              <w:tab/>
            </w:r>
            <w:r>
              <w:rPr>
                <w:noProof/>
                <w:webHidden/>
              </w:rPr>
              <w:fldChar w:fldCharType="begin"/>
            </w:r>
            <w:r>
              <w:rPr>
                <w:noProof/>
                <w:webHidden/>
              </w:rPr>
              <w:instrText xml:space="preserve"> PAGEREF _Toc204931390 \h </w:instrText>
            </w:r>
            <w:r>
              <w:rPr>
                <w:noProof/>
                <w:webHidden/>
              </w:rPr>
            </w:r>
            <w:r>
              <w:rPr>
                <w:noProof/>
                <w:webHidden/>
              </w:rPr>
              <w:fldChar w:fldCharType="separate"/>
            </w:r>
            <w:r>
              <w:rPr>
                <w:noProof/>
                <w:webHidden/>
              </w:rPr>
              <w:t>18</w:t>
            </w:r>
            <w:r>
              <w:rPr>
                <w:noProof/>
                <w:webHidden/>
              </w:rPr>
              <w:fldChar w:fldCharType="end"/>
            </w:r>
          </w:hyperlink>
        </w:p>
        <w:p w14:paraId="38D89067" w14:textId="0857D990"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1" w:history="1">
            <w:r w:rsidRPr="00FE578D">
              <w:rPr>
                <w:rStyle w:val="Hyperlink"/>
                <w:noProof/>
              </w:rPr>
              <w:t>Luật điều chỉnh</w:t>
            </w:r>
            <w:r>
              <w:rPr>
                <w:noProof/>
                <w:webHidden/>
              </w:rPr>
              <w:tab/>
            </w:r>
            <w:r>
              <w:rPr>
                <w:noProof/>
                <w:webHidden/>
              </w:rPr>
              <w:fldChar w:fldCharType="begin"/>
            </w:r>
            <w:r>
              <w:rPr>
                <w:noProof/>
                <w:webHidden/>
              </w:rPr>
              <w:instrText xml:space="preserve"> PAGEREF _Toc204931391 \h </w:instrText>
            </w:r>
            <w:r>
              <w:rPr>
                <w:noProof/>
                <w:webHidden/>
              </w:rPr>
            </w:r>
            <w:r>
              <w:rPr>
                <w:noProof/>
                <w:webHidden/>
              </w:rPr>
              <w:fldChar w:fldCharType="separate"/>
            </w:r>
            <w:r>
              <w:rPr>
                <w:noProof/>
                <w:webHidden/>
              </w:rPr>
              <w:t>18</w:t>
            </w:r>
            <w:r>
              <w:rPr>
                <w:noProof/>
                <w:webHidden/>
              </w:rPr>
              <w:fldChar w:fldCharType="end"/>
            </w:r>
          </w:hyperlink>
        </w:p>
        <w:p w14:paraId="67288C38" w14:textId="6FAECCD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2" w:history="1">
            <w:r w:rsidRPr="00FE578D">
              <w:rPr>
                <w:rStyle w:val="Hyperlink"/>
                <w:noProof/>
              </w:rPr>
              <w:t>Điều 61. Đăng ký chứng khoán</w:t>
            </w:r>
            <w:r>
              <w:rPr>
                <w:noProof/>
                <w:webHidden/>
              </w:rPr>
              <w:tab/>
            </w:r>
            <w:r>
              <w:rPr>
                <w:noProof/>
                <w:webHidden/>
              </w:rPr>
              <w:fldChar w:fldCharType="begin"/>
            </w:r>
            <w:r>
              <w:rPr>
                <w:noProof/>
                <w:webHidden/>
              </w:rPr>
              <w:instrText xml:space="preserve"> PAGEREF _Toc204931392 \h </w:instrText>
            </w:r>
            <w:r>
              <w:rPr>
                <w:noProof/>
                <w:webHidden/>
              </w:rPr>
            </w:r>
            <w:r>
              <w:rPr>
                <w:noProof/>
                <w:webHidden/>
              </w:rPr>
              <w:fldChar w:fldCharType="separate"/>
            </w:r>
            <w:r>
              <w:rPr>
                <w:noProof/>
                <w:webHidden/>
              </w:rPr>
              <w:t>18</w:t>
            </w:r>
            <w:r>
              <w:rPr>
                <w:noProof/>
                <w:webHidden/>
              </w:rPr>
              <w:fldChar w:fldCharType="end"/>
            </w:r>
          </w:hyperlink>
        </w:p>
        <w:p w14:paraId="19982127" w14:textId="71F2419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3" w:history="1">
            <w:r w:rsidRPr="00FE578D">
              <w:rPr>
                <w:rStyle w:val="Hyperlink"/>
                <w:noProof/>
              </w:rPr>
              <w:t>Điều 149. Đăng ký chứng khoán tại Tổng công ty lưu ký và bù trừ chứng khoán Việt Nam</w:t>
            </w:r>
            <w:r>
              <w:rPr>
                <w:noProof/>
                <w:webHidden/>
              </w:rPr>
              <w:tab/>
            </w:r>
            <w:r>
              <w:rPr>
                <w:noProof/>
                <w:webHidden/>
              </w:rPr>
              <w:fldChar w:fldCharType="begin"/>
            </w:r>
            <w:r>
              <w:rPr>
                <w:noProof/>
                <w:webHidden/>
              </w:rPr>
              <w:instrText xml:space="preserve"> PAGEREF _Toc204931393 \h </w:instrText>
            </w:r>
            <w:r>
              <w:rPr>
                <w:noProof/>
                <w:webHidden/>
              </w:rPr>
            </w:r>
            <w:r>
              <w:rPr>
                <w:noProof/>
                <w:webHidden/>
              </w:rPr>
              <w:fldChar w:fldCharType="separate"/>
            </w:r>
            <w:r>
              <w:rPr>
                <w:noProof/>
                <w:webHidden/>
              </w:rPr>
              <w:t>18</w:t>
            </w:r>
            <w:r>
              <w:rPr>
                <w:noProof/>
                <w:webHidden/>
              </w:rPr>
              <w:fldChar w:fldCharType="end"/>
            </w:r>
          </w:hyperlink>
        </w:p>
        <w:p w14:paraId="7C3CA2B7" w14:textId="6043A44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4" w:history="1">
            <w:r w:rsidRPr="00FE578D">
              <w:rPr>
                <w:rStyle w:val="Hyperlink"/>
                <w:noProof/>
              </w:rPr>
              <w:t>Điều 5. Hồ sơ đăng ký chứng khoán lần đầu - 50/QĐ-HĐTV</w:t>
            </w:r>
            <w:r>
              <w:rPr>
                <w:noProof/>
                <w:webHidden/>
              </w:rPr>
              <w:tab/>
            </w:r>
            <w:r>
              <w:rPr>
                <w:noProof/>
                <w:webHidden/>
              </w:rPr>
              <w:fldChar w:fldCharType="begin"/>
            </w:r>
            <w:r>
              <w:rPr>
                <w:noProof/>
                <w:webHidden/>
              </w:rPr>
              <w:instrText xml:space="preserve"> PAGEREF _Toc204931394 \h </w:instrText>
            </w:r>
            <w:r>
              <w:rPr>
                <w:noProof/>
                <w:webHidden/>
              </w:rPr>
            </w:r>
            <w:r>
              <w:rPr>
                <w:noProof/>
                <w:webHidden/>
              </w:rPr>
              <w:fldChar w:fldCharType="separate"/>
            </w:r>
            <w:r>
              <w:rPr>
                <w:noProof/>
                <w:webHidden/>
              </w:rPr>
              <w:t>18</w:t>
            </w:r>
            <w:r>
              <w:rPr>
                <w:noProof/>
                <w:webHidden/>
              </w:rPr>
              <w:fldChar w:fldCharType="end"/>
            </w:r>
          </w:hyperlink>
        </w:p>
        <w:p w14:paraId="3D3B469C" w14:textId="46F0436C"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5" w:history="1">
            <w:r w:rsidRPr="00FE578D">
              <w:rPr>
                <w:rStyle w:val="Hyperlink"/>
                <w:noProof/>
              </w:rPr>
              <w:t>Điều 6. Xử lý hồ sơ đăng ký chứng khoán lần đầu</w:t>
            </w:r>
            <w:r>
              <w:rPr>
                <w:noProof/>
                <w:webHidden/>
              </w:rPr>
              <w:tab/>
            </w:r>
            <w:r>
              <w:rPr>
                <w:noProof/>
                <w:webHidden/>
              </w:rPr>
              <w:fldChar w:fldCharType="begin"/>
            </w:r>
            <w:r>
              <w:rPr>
                <w:noProof/>
                <w:webHidden/>
              </w:rPr>
              <w:instrText xml:space="preserve"> PAGEREF _Toc204931395 \h </w:instrText>
            </w:r>
            <w:r>
              <w:rPr>
                <w:noProof/>
                <w:webHidden/>
              </w:rPr>
            </w:r>
            <w:r>
              <w:rPr>
                <w:noProof/>
                <w:webHidden/>
              </w:rPr>
              <w:fldChar w:fldCharType="separate"/>
            </w:r>
            <w:r>
              <w:rPr>
                <w:noProof/>
                <w:webHidden/>
              </w:rPr>
              <w:t>19</w:t>
            </w:r>
            <w:r>
              <w:rPr>
                <w:noProof/>
                <w:webHidden/>
              </w:rPr>
              <w:fldChar w:fldCharType="end"/>
            </w:r>
          </w:hyperlink>
        </w:p>
        <w:p w14:paraId="26109987" w14:textId="032E25A6"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396" w:history="1">
            <w:r w:rsidRPr="00FE578D">
              <w:rPr>
                <w:rStyle w:val="Hyperlink"/>
                <w:noProof/>
              </w:rPr>
              <w:t>ĐĂNG KÝ GIAO DỊCH CHỨNG KHOÁN</w:t>
            </w:r>
            <w:r>
              <w:rPr>
                <w:noProof/>
                <w:webHidden/>
              </w:rPr>
              <w:tab/>
            </w:r>
            <w:r>
              <w:rPr>
                <w:noProof/>
                <w:webHidden/>
              </w:rPr>
              <w:fldChar w:fldCharType="begin"/>
            </w:r>
            <w:r>
              <w:rPr>
                <w:noProof/>
                <w:webHidden/>
              </w:rPr>
              <w:instrText xml:space="preserve"> PAGEREF _Toc204931396 \h </w:instrText>
            </w:r>
            <w:r>
              <w:rPr>
                <w:noProof/>
                <w:webHidden/>
              </w:rPr>
            </w:r>
            <w:r>
              <w:rPr>
                <w:noProof/>
                <w:webHidden/>
              </w:rPr>
              <w:fldChar w:fldCharType="separate"/>
            </w:r>
            <w:r>
              <w:rPr>
                <w:noProof/>
                <w:webHidden/>
              </w:rPr>
              <w:t>20</w:t>
            </w:r>
            <w:r>
              <w:rPr>
                <w:noProof/>
                <w:webHidden/>
              </w:rPr>
              <w:fldChar w:fldCharType="end"/>
            </w:r>
          </w:hyperlink>
        </w:p>
        <w:p w14:paraId="65DE9520" w14:textId="6A64E839"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7" w:history="1">
            <w:r w:rsidRPr="00FE578D">
              <w:rPr>
                <w:rStyle w:val="Hyperlink"/>
                <w:noProof/>
              </w:rPr>
              <w:t>Điều 133. Đối tượng và thời hạn thực hiện đăng ký giao dịch</w:t>
            </w:r>
            <w:r>
              <w:rPr>
                <w:noProof/>
                <w:webHidden/>
              </w:rPr>
              <w:tab/>
            </w:r>
            <w:r>
              <w:rPr>
                <w:noProof/>
                <w:webHidden/>
              </w:rPr>
              <w:fldChar w:fldCharType="begin"/>
            </w:r>
            <w:r>
              <w:rPr>
                <w:noProof/>
                <w:webHidden/>
              </w:rPr>
              <w:instrText xml:space="preserve"> PAGEREF _Toc204931397 \h </w:instrText>
            </w:r>
            <w:r>
              <w:rPr>
                <w:noProof/>
                <w:webHidden/>
              </w:rPr>
            </w:r>
            <w:r>
              <w:rPr>
                <w:noProof/>
                <w:webHidden/>
              </w:rPr>
              <w:fldChar w:fldCharType="separate"/>
            </w:r>
            <w:r>
              <w:rPr>
                <w:noProof/>
                <w:webHidden/>
              </w:rPr>
              <w:t>20</w:t>
            </w:r>
            <w:r>
              <w:rPr>
                <w:noProof/>
                <w:webHidden/>
              </w:rPr>
              <w:fldChar w:fldCharType="end"/>
            </w:r>
          </w:hyperlink>
        </w:p>
        <w:p w14:paraId="270BD899" w14:textId="0CBDA49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8" w:history="1">
            <w:r w:rsidRPr="00FE578D">
              <w:rPr>
                <w:rStyle w:val="Hyperlink"/>
                <w:noProof/>
              </w:rPr>
              <w:t>Điều 134. Hồ sơ đăng ký giao dịch</w:t>
            </w:r>
            <w:r>
              <w:rPr>
                <w:noProof/>
                <w:webHidden/>
              </w:rPr>
              <w:tab/>
            </w:r>
            <w:r>
              <w:rPr>
                <w:noProof/>
                <w:webHidden/>
              </w:rPr>
              <w:fldChar w:fldCharType="begin"/>
            </w:r>
            <w:r>
              <w:rPr>
                <w:noProof/>
                <w:webHidden/>
              </w:rPr>
              <w:instrText xml:space="preserve"> PAGEREF _Toc204931398 \h </w:instrText>
            </w:r>
            <w:r>
              <w:rPr>
                <w:noProof/>
                <w:webHidden/>
              </w:rPr>
            </w:r>
            <w:r>
              <w:rPr>
                <w:noProof/>
                <w:webHidden/>
              </w:rPr>
              <w:fldChar w:fldCharType="separate"/>
            </w:r>
            <w:r>
              <w:rPr>
                <w:noProof/>
                <w:webHidden/>
              </w:rPr>
              <w:t>20</w:t>
            </w:r>
            <w:r>
              <w:rPr>
                <w:noProof/>
                <w:webHidden/>
              </w:rPr>
              <w:fldChar w:fldCharType="end"/>
            </w:r>
          </w:hyperlink>
        </w:p>
        <w:p w14:paraId="0C81359C" w14:textId="4C19C82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399" w:history="1">
            <w:r w:rsidRPr="00FE578D">
              <w:rPr>
                <w:rStyle w:val="Hyperlink"/>
                <w:noProof/>
              </w:rPr>
              <w:t>Điều 135. Thủ tục đăng ký giao dịch trên hệ thống giao dịch Upcom</w:t>
            </w:r>
            <w:r>
              <w:rPr>
                <w:noProof/>
                <w:webHidden/>
              </w:rPr>
              <w:tab/>
            </w:r>
            <w:r>
              <w:rPr>
                <w:noProof/>
                <w:webHidden/>
              </w:rPr>
              <w:fldChar w:fldCharType="begin"/>
            </w:r>
            <w:r>
              <w:rPr>
                <w:noProof/>
                <w:webHidden/>
              </w:rPr>
              <w:instrText xml:space="preserve"> PAGEREF _Toc204931399 \h </w:instrText>
            </w:r>
            <w:r>
              <w:rPr>
                <w:noProof/>
                <w:webHidden/>
              </w:rPr>
            </w:r>
            <w:r>
              <w:rPr>
                <w:noProof/>
                <w:webHidden/>
              </w:rPr>
              <w:fldChar w:fldCharType="separate"/>
            </w:r>
            <w:r>
              <w:rPr>
                <w:noProof/>
                <w:webHidden/>
              </w:rPr>
              <w:t>21</w:t>
            </w:r>
            <w:r>
              <w:rPr>
                <w:noProof/>
                <w:webHidden/>
              </w:rPr>
              <w:fldChar w:fldCharType="end"/>
            </w:r>
          </w:hyperlink>
        </w:p>
        <w:p w14:paraId="53F254D9" w14:textId="21F17AB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0" w:history="1">
            <w:r w:rsidRPr="00FE578D">
              <w:rPr>
                <w:rStyle w:val="Hyperlink"/>
                <w:noProof/>
              </w:rPr>
              <w:t>Điều 5. Hồ sơ đăng ký giao dịch - 34/QD-HDTV</w:t>
            </w:r>
            <w:r>
              <w:rPr>
                <w:noProof/>
                <w:webHidden/>
              </w:rPr>
              <w:tab/>
            </w:r>
            <w:r>
              <w:rPr>
                <w:noProof/>
                <w:webHidden/>
              </w:rPr>
              <w:fldChar w:fldCharType="begin"/>
            </w:r>
            <w:r>
              <w:rPr>
                <w:noProof/>
                <w:webHidden/>
              </w:rPr>
              <w:instrText xml:space="preserve"> PAGEREF _Toc204931400 \h </w:instrText>
            </w:r>
            <w:r>
              <w:rPr>
                <w:noProof/>
                <w:webHidden/>
              </w:rPr>
            </w:r>
            <w:r>
              <w:rPr>
                <w:noProof/>
                <w:webHidden/>
              </w:rPr>
              <w:fldChar w:fldCharType="separate"/>
            </w:r>
            <w:r>
              <w:rPr>
                <w:noProof/>
                <w:webHidden/>
              </w:rPr>
              <w:t>22</w:t>
            </w:r>
            <w:r>
              <w:rPr>
                <w:noProof/>
                <w:webHidden/>
              </w:rPr>
              <w:fldChar w:fldCharType="end"/>
            </w:r>
          </w:hyperlink>
        </w:p>
        <w:p w14:paraId="12ADE4FF" w14:textId="07AB046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1" w:history="1">
            <w:r w:rsidRPr="00FE578D">
              <w:rPr>
                <w:rStyle w:val="Hyperlink"/>
                <w:noProof/>
              </w:rPr>
              <w:t>Điều 6. Trình tự, thủ tục đăng ký giao dịch</w:t>
            </w:r>
            <w:r>
              <w:rPr>
                <w:noProof/>
                <w:webHidden/>
              </w:rPr>
              <w:tab/>
            </w:r>
            <w:r>
              <w:rPr>
                <w:noProof/>
                <w:webHidden/>
              </w:rPr>
              <w:fldChar w:fldCharType="begin"/>
            </w:r>
            <w:r>
              <w:rPr>
                <w:noProof/>
                <w:webHidden/>
              </w:rPr>
              <w:instrText xml:space="preserve"> PAGEREF _Toc204931401 \h </w:instrText>
            </w:r>
            <w:r>
              <w:rPr>
                <w:noProof/>
                <w:webHidden/>
              </w:rPr>
            </w:r>
            <w:r>
              <w:rPr>
                <w:noProof/>
                <w:webHidden/>
              </w:rPr>
              <w:fldChar w:fldCharType="separate"/>
            </w:r>
            <w:r>
              <w:rPr>
                <w:noProof/>
                <w:webHidden/>
              </w:rPr>
              <w:t>22</w:t>
            </w:r>
            <w:r>
              <w:rPr>
                <w:noProof/>
                <w:webHidden/>
              </w:rPr>
              <w:fldChar w:fldCharType="end"/>
            </w:r>
          </w:hyperlink>
        </w:p>
        <w:p w14:paraId="3436CE26" w14:textId="0891A0C5"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02" w:history="1">
            <w:r w:rsidRPr="00FE578D">
              <w:rPr>
                <w:rStyle w:val="Hyperlink"/>
                <w:noProof/>
              </w:rPr>
              <w:t>CHÀO BÁN CỔ PHIẾU LẦN ĐẦU CTCP RA CÔNG CHÚNG</w:t>
            </w:r>
            <w:r>
              <w:rPr>
                <w:noProof/>
                <w:webHidden/>
              </w:rPr>
              <w:tab/>
            </w:r>
            <w:r>
              <w:rPr>
                <w:noProof/>
                <w:webHidden/>
              </w:rPr>
              <w:fldChar w:fldCharType="begin"/>
            </w:r>
            <w:r>
              <w:rPr>
                <w:noProof/>
                <w:webHidden/>
              </w:rPr>
              <w:instrText xml:space="preserve"> PAGEREF _Toc204931402 \h </w:instrText>
            </w:r>
            <w:r>
              <w:rPr>
                <w:noProof/>
                <w:webHidden/>
              </w:rPr>
            </w:r>
            <w:r>
              <w:rPr>
                <w:noProof/>
                <w:webHidden/>
              </w:rPr>
              <w:fldChar w:fldCharType="separate"/>
            </w:r>
            <w:r>
              <w:rPr>
                <w:noProof/>
                <w:webHidden/>
              </w:rPr>
              <w:t>24</w:t>
            </w:r>
            <w:r>
              <w:rPr>
                <w:noProof/>
                <w:webHidden/>
              </w:rPr>
              <w:fldChar w:fldCharType="end"/>
            </w:r>
          </w:hyperlink>
        </w:p>
        <w:p w14:paraId="358F5488" w14:textId="5A76A9C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3" w:history="1">
            <w:r w:rsidRPr="00FE578D">
              <w:rPr>
                <w:rStyle w:val="Hyperlink"/>
                <w:noProof/>
              </w:rPr>
              <w:t>Khoản 1 Điều 15 Luật Chứng Khoán 2019:</w:t>
            </w:r>
            <w:r>
              <w:rPr>
                <w:noProof/>
                <w:webHidden/>
              </w:rPr>
              <w:tab/>
            </w:r>
            <w:r>
              <w:rPr>
                <w:noProof/>
                <w:webHidden/>
              </w:rPr>
              <w:fldChar w:fldCharType="begin"/>
            </w:r>
            <w:r>
              <w:rPr>
                <w:noProof/>
                <w:webHidden/>
              </w:rPr>
              <w:instrText xml:space="preserve"> PAGEREF _Toc204931403 \h </w:instrText>
            </w:r>
            <w:r>
              <w:rPr>
                <w:noProof/>
                <w:webHidden/>
              </w:rPr>
            </w:r>
            <w:r>
              <w:rPr>
                <w:noProof/>
                <w:webHidden/>
              </w:rPr>
              <w:fldChar w:fldCharType="separate"/>
            </w:r>
            <w:r>
              <w:rPr>
                <w:noProof/>
                <w:webHidden/>
              </w:rPr>
              <w:t>24</w:t>
            </w:r>
            <w:r>
              <w:rPr>
                <w:noProof/>
                <w:webHidden/>
              </w:rPr>
              <w:fldChar w:fldCharType="end"/>
            </w:r>
          </w:hyperlink>
        </w:p>
        <w:p w14:paraId="56AABF3F" w14:textId="5858C53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4" w:history="1">
            <w:r w:rsidRPr="00FE578D">
              <w:rPr>
                <w:rStyle w:val="Hyperlink"/>
                <w:noProof/>
              </w:rPr>
              <w:t>Điều 18 Luật Chứng Khoán 2019:</w:t>
            </w:r>
            <w:r>
              <w:rPr>
                <w:noProof/>
                <w:webHidden/>
              </w:rPr>
              <w:tab/>
            </w:r>
            <w:r>
              <w:rPr>
                <w:noProof/>
                <w:webHidden/>
              </w:rPr>
              <w:fldChar w:fldCharType="begin"/>
            </w:r>
            <w:r>
              <w:rPr>
                <w:noProof/>
                <w:webHidden/>
              </w:rPr>
              <w:instrText xml:space="preserve"> PAGEREF _Toc204931404 \h </w:instrText>
            </w:r>
            <w:r>
              <w:rPr>
                <w:noProof/>
                <w:webHidden/>
              </w:rPr>
            </w:r>
            <w:r>
              <w:rPr>
                <w:noProof/>
                <w:webHidden/>
              </w:rPr>
              <w:fldChar w:fldCharType="separate"/>
            </w:r>
            <w:r>
              <w:rPr>
                <w:noProof/>
                <w:webHidden/>
              </w:rPr>
              <w:t>24</w:t>
            </w:r>
            <w:r>
              <w:rPr>
                <w:noProof/>
                <w:webHidden/>
              </w:rPr>
              <w:fldChar w:fldCharType="end"/>
            </w:r>
          </w:hyperlink>
        </w:p>
        <w:p w14:paraId="6F77A58E" w14:textId="32E342F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5" w:history="1">
            <w:r w:rsidRPr="00FE578D">
              <w:rPr>
                <w:rStyle w:val="Hyperlink"/>
                <w:noProof/>
              </w:rPr>
              <w:t>Khoản 1 Điều 19 Luật Chứng Khoán 2019:</w:t>
            </w:r>
            <w:r>
              <w:rPr>
                <w:noProof/>
                <w:webHidden/>
              </w:rPr>
              <w:tab/>
            </w:r>
            <w:r>
              <w:rPr>
                <w:noProof/>
                <w:webHidden/>
              </w:rPr>
              <w:fldChar w:fldCharType="begin"/>
            </w:r>
            <w:r>
              <w:rPr>
                <w:noProof/>
                <w:webHidden/>
              </w:rPr>
              <w:instrText xml:space="preserve"> PAGEREF _Toc204931405 \h </w:instrText>
            </w:r>
            <w:r>
              <w:rPr>
                <w:noProof/>
                <w:webHidden/>
              </w:rPr>
            </w:r>
            <w:r>
              <w:rPr>
                <w:noProof/>
                <w:webHidden/>
              </w:rPr>
              <w:fldChar w:fldCharType="separate"/>
            </w:r>
            <w:r>
              <w:rPr>
                <w:noProof/>
                <w:webHidden/>
              </w:rPr>
              <w:t>25</w:t>
            </w:r>
            <w:r>
              <w:rPr>
                <w:noProof/>
                <w:webHidden/>
              </w:rPr>
              <w:fldChar w:fldCharType="end"/>
            </w:r>
          </w:hyperlink>
        </w:p>
        <w:p w14:paraId="5C173856" w14:textId="0C521634"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6" w:history="1">
            <w:r w:rsidRPr="00FE578D">
              <w:rPr>
                <w:rStyle w:val="Hyperlink"/>
                <w:noProof/>
              </w:rPr>
              <w:t>Điều 20 Luật Chứng Khoán 2019:</w:t>
            </w:r>
            <w:r>
              <w:rPr>
                <w:noProof/>
                <w:webHidden/>
              </w:rPr>
              <w:tab/>
            </w:r>
            <w:r>
              <w:rPr>
                <w:noProof/>
                <w:webHidden/>
              </w:rPr>
              <w:fldChar w:fldCharType="begin"/>
            </w:r>
            <w:r>
              <w:rPr>
                <w:noProof/>
                <w:webHidden/>
              </w:rPr>
              <w:instrText xml:space="preserve"> PAGEREF _Toc204931406 \h </w:instrText>
            </w:r>
            <w:r>
              <w:rPr>
                <w:noProof/>
                <w:webHidden/>
              </w:rPr>
            </w:r>
            <w:r>
              <w:rPr>
                <w:noProof/>
                <w:webHidden/>
              </w:rPr>
              <w:fldChar w:fldCharType="separate"/>
            </w:r>
            <w:r>
              <w:rPr>
                <w:noProof/>
                <w:webHidden/>
              </w:rPr>
              <w:t>25</w:t>
            </w:r>
            <w:r>
              <w:rPr>
                <w:noProof/>
                <w:webHidden/>
              </w:rPr>
              <w:fldChar w:fldCharType="end"/>
            </w:r>
          </w:hyperlink>
        </w:p>
        <w:p w14:paraId="01D92FE9" w14:textId="559E4CF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7" w:history="1">
            <w:r w:rsidRPr="00FE578D">
              <w:rPr>
                <w:rStyle w:val="Hyperlink"/>
                <w:noProof/>
              </w:rPr>
              <w:t>Khoản 7 Điều 1 Luật 56/2024:</w:t>
            </w:r>
            <w:r>
              <w:rPr>
                <w:noProof/>
                <w:webHidden/>
              </w:rPr>
              <w:tab/>
            </w:r>
            <w:r>
              <w:rPr>
                <w:noProof/>
                <w:webHidden/>
              </w:rPr>
              <w:fldChar w:fldCharType="begin"/>
            </w:r>
            <w:r>
              <w:rPr>
                <w:noProof/>
                <w:webHidden/>
              </w:rPr>
              <w:instrText xml:space="preserve"> PAGEREF _Toc204931407 \h </w:instrText>
            </w:r>
            <w:r>
              <w:rPr>
                <w:noProof/>
                <w:webHidden/>
              </w:rPr>
            </w:r>
            <w:r>
              <w:rPr>
                <w:noProof/>
                <w:webHidden/>
              </w:rPr>
              <w:fldChar w:fldCharType="separate"/>
            </w:r>
            <w:r>
              <w:rPr>
                <w:noProof/>
                <w:webHidden/>
              </w:rPr>
              <w:t>26</w:t>
            </w:r>
            <w:r>
              <w:rPr>
                <w:noProof/>
                <w:webHidden/>
              </w:rPr>
              <w:fldChar w:fldCharType="end"/>
            </w:r>
          </w:hyperlink>
        </w:p>
        <w:p w14:paraId="040FAA02" w14:textId="00CDCBD9"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8" w:history="1">
            <w:r w:rsidRPr="00FE578D">
              <w:rPr>
                <w:rStyle w:val="Hyperlink"/>
                <w:noProof/>
              </w:rPr>
              <w:t>Điều 11 Nghị định 155/2020/NĐ-CP:</w:t>
            </w:r>
            <w:r>
              <w:rPr>
                <w:noProof/>
                <w:webHidden/>
              </w:rPr>
              <w:tab/>
            </w:r>
            <w:r>
              <w:rPr>
                <w:noProof/>
                <w:webHidden/>
              </w:rPr>
              <w:fldChar w:fldCharType="begin"/>
            </w:r>
            <w:r>
              <w:rPr>
                <w:noProof/>
                <w:webHidden/>
              </w:rPr>
              <w:instrText xml:space="preserve"> PAGEREF _Toc204931408 \h </w:instrText>
            </w:r>
            <w:r>
              <w:rPr>
                <w:noProof/>
                <w:webHidden/>
              </w:rPr>
            </w:r>
            <w:r>
              <w:rPr>
                <w:noProof/>
                <w:webHidden/>
              </w:rPr>
              <w:fldChar w:fldCharType="separate"/>
            </w:r>
            <w:r>
              <w:rPr>
                <w:noProof/>
                <w:webHidden/>
              </w:rPr>
              <w:t>26</w:t>
            </w:r>
            <w:r>
              <w:rPr>
                <w:noProof/>
                <w:webHidden/>
              </w:rPr>
              <w:fldChar w:fldCharType="end"/>
            </w:r>
          </w:hyperlink>
        </w:p>
        <w:p w14:paraId="67F9B038" w14:textId="0C6E9AD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09" w:history="1">
            <w:r w:rsidRPr="00FE578D">
              <w:rPr>
                <w:rStyle w:val="Hyperlink"/>
                <w:noProof/>
              </w:rPr>
              <w:t>Điều 29. Nghĩa vụ của tổ chức phát hành</w:t>
            </w:r>
            <w:r>
              <w:rPr>
                <w:noProof/>
                <w:webHidden/>
              </w:rPr>
              <w:tab/>
            </w:r>
            <w:r>
              <w:rPr>
                <w:noProof/>
                <w:webHidden/>
              </w:rPr>
              <w:fldChar w:fldCharType="begin"/>
            </w:r>
            <w:r>
              <w:rPr>
                <w:noProof/>
                <w:webHidden/>
              </w:rPr>
              <w:instrText xml:space="preserve"> PAGEREF _Toc204931409 \h </w:instrText>
            </w:r>
            <w:r>
              <w:rPr>
                <w:noProof/>
                <w:webHidden/>
              </w:rPr>
            </w:r>
            <w:r>
              <w:rPr>
                <w:noProof/>
                <w:webHidden/>
              </w:rPr>
              <w:fldChar w:fldCharType="separate"/>
            </w:r>
            <w:r>
              <w:rPr>
                <w:noProof/>
                <w:webHidden/>
              </w:rPr>
              <w:t>28</w:t>
            </w:r>
            <w:r>
              <w:rPr>
                <w:noProof/>
                <w:webHidden/>
              </w:rPr>
              <w:fldChar w:fldCharType="end"/>
            </w:r>
          </w:hyperlink>
        </w:p>
        <w:p w14:paraId="70EA4C97" w14:textId="154014BA"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10" w:history="1">
            <w:r w:rsidRPr="00FE578D">
              <w:rPr>
                <w:rStyle w:val="Hyperlink"/>
                <w:noProof/>
              </w:rPr>
              <w:t>CHÀO BÁN THÊM CỔ PHẦN RA CÔNG CHÚNG</w:t>
            </w:r>
            <w:r>
              <w:rPr>
                <w:noProof/>
                <w:webHidden/>
              </w:rPr>
              <w:tab/>
            </w:r>
            <w:r>
              <w:rPr>
                <w:noProof/>
                <w:webHidden/>
              </w:rPr>
              <w:fldChar w:fldCharType="begin"/>
            </w:r>
            <w:r>
              <w:rPr>
                <w:noProof/>
                <w:webHidden/>
              </w:rPr>
              <w:instrText xml:space="preserve"> PAGEREF _Toc204931410 \h </w:instrText>
            </w:r>
            <w:r>
              <w:rPr>
                <w:noProof/>
                <w:webHidden/>
              </w:rPr>
            </w:r>
            <w:r>
              <w:rPr>
                <w:noProof/>
                <w:webHidden/>
              </w:rPr>
              <w:fldChar w:fldCharType="separate"/>
            </w:r>
            <w:r>
              <w:rPr>
                <w:noProof/>
                <w:webHidden/>
              </w:rPr>
              <w:t>29</w:t>
            </w:r>
            <w:r>
              <w:rPr>
                <w:noProof/>
                <w:webHidden/>
              </w:rPr>
              <w:fldChar w:fldCharType="end"/>
            </w:r>
          </w:hyperlink>
        </w:p>
        <w:p w14:paraId="6789423A" w14:textId="0077945B"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1" w:history="1">
            <w:r w:rsidRPr="00FE578D">
              <w:rPr>
                <w:rStyle w:val="Hyperlink"/>
                <w:noProof/>
              </w:rPr>
              <w:t>Khoản 2 Điều 15 Luật Chứng Khoán 2019:</w:t>
            </w:r>
            <w:r>
              <w:rPr>
                <w:noProof/>
                <w:webHidden/>
              </w:rPr>
              <w:tab/>
            </w:r>
            <w:r>
              <w:rPr>
                <w:noProof/>
                <w:webHidden/>
              </w:rPr>
              <w:fldChar w:fldCharType="begin"/>
            </w:r>
            <w:r>
              <w:rPr>
                <w:noProof/>
                <w:webHidden/>
              </w:rPr>
              <w:instrText xml:space="preserve"> PAGEREF _Toc204931411 \h </w:instrText>
            </w:r>
            <w:r>
              <w:rPr>
                <w:noProof/>
                <w:webHidden/>
              </w:rPr>
            </w:r>
            <w:r>
              <w:rPr>
                <w:noProof/>
                <w:webHidden/>
              </w:rPr>
              <w:fldChar w:fldCharType="separate"/>
            </w:r>
            <w:r>
              <w:rPr>
                <w:noProof/>
                <w:webHidden/>
              </w:rPr>
              <w:t>29</w:t>
            </w:r>
            <w:r>
              <w:rPr>
                <w:noProof/>
                <w:webHidden/>
              </w:rPr>
              <w:fldChar w:fldCharType="end"/>
            </w:r>
          </w:hyperlink>
        </w:p>
        <w:p w14:paraId="17BE9133" w14:textId="18CF5AE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2" w:history="1">
            <w:r w:rsidRPr="00FE578D">
              <w:rPr>
                <w:rStyle w:val="Hyperlink"/>
                <w:noProof/>
              </w:rPr>
              <w:t>Khoản 6 Điều 1 Luật 56/2024:</w:t>
            </w:r>
            <w:r>
              <w:rPr>
                <w:noProof/>
                <w:webHidden/>
              </w:rPr>
              <w:tab/>
            </w:r>
            <w:r>
              <w:rPr>
                <w:noProof/>
                <w:webHidden/>
              </w:rPr>
              <w:fldChar w:fldCharType="begin"/>
            </w:r>
            <w:r>
              <w:rPr>
                <w:noProof/>
                <w:webHidden/>
              </w:rPr>
              <w:instrText xml:space="preserve"> PAGEREF _Toc204931412 \h </w:instrText>
            </w:r>
            <w:r>
              <w:rPr>
                <w:noProof/>
                <w:webHidden/>
              </w:rPr>
            </w:r>
            <w:r>
              <w:rPr>
                <w:noProof/>
                <w:webHidden/>
              </w:rPr>
              <w:fldChar w:fldCharType="separate"/>
            </w:r>
            <w:r>
              <w:rPr>
                <w:noProof/>
                <w:webHidden/>
              </w:rPr>
              <w:t>29</w:t>
            </w:r>
            <w:r>
              <w:rPr>
                <w:noProof/>
                <w:webHidden/>
              </w:rPr>
              <w:fldChar w:fldCharType="end"/>
            </w:r>
          </w:hyperlink>
        </w:p>
        <w:p w14:paraId="04D51B1C" w14:textId="69448E6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3" w:history="1">
            <w:r w:rsidRPr="00FE578D">
              <w:rPr>
                <w:rStyle w:val="Hyperlink"/>
                <w:noProof/>
              </w:rPr>
              <w:t xml:space="preserve">Khoản 1 Điều 19 Luật Chứng Khoán 2019 quy định về </w:t>
            </w:r>
            <w:r w:rsidRPr="00FE578D">
              <w:rPr>
                <w:rStyle w:val="Hyperlink"/>
                <w:noProof/>
                <w:highlight w:val="yellow"/>
              </w:rPr>
              <w:t>Bản Cáo Bạch</w:t>
            </w:r>
            <w:r w:rsidRPr="00FE578D">
              <w:rPr>
                <w:rStyle w:val="Hyperlink"/>
                <w:noProof/>
              </w:rPr>
              <w:t>:</w:t>
            </w:r>
            <w:r>
              <w:rPr>
                <w:noProof/>
                <w:webHidden/>
              </w:rPr>
              <w:tab/>
            </w:r>
            <w:r>
              <w:rPr>
                <w:noProof/>
                <w:webHidden/>
              </w:rPr>
              <w:fldChar w:fldCharType="begin"/>
            </w:r>
            <w:r>
              <w:rPr>
                <w:noProof/>
                <w:webHidden/>
              </w:rPr>
              <w:instrText xml:space="preserve"> PAGEREF _Toc204931413 \h </w:instrText>
            </w:r>
            <w:r>
              <w:rPr>
                <w:noProof/>
                <w:webHidden/>
              </w:rPr>
            </w:r>
            <w:r>
              <w:rPr>
                <w:noProof/>
                <w:webHidden/>
              </w:rPr>
              <w:fldChar w:fldCharType="separate"/>
            </w:r>
            <w:r>
              <w:rPr>
                <w:noProof/>
                <w:webHidden/>
              </w:rPr>
              <w:t>29</w:t>
            </w:r>
            <w:r>
              <w:rPr>
                <w:noProof/>
                <w:webHidden/>
              </w:rPr>
              <w:fldChar w:fldCharType="end"/>
            </w:r>
          </w:hyperlink>
        </w:p>
        <w:p w14:paraId="7E7DC2E1" w14:textId="3849A635"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4" w:history="1">
            <w:r w:rsidRPr="00FE578D">
              <w:rPr>
                <w:rStyle w:val="Hyperlink"/>
                <w:noProof/>
              </w:rPr>
              <w:t>Khoản 3 Điều 19 Luật Chứng Khoán 2019 quy định về chữ ký Bản Cáo Bạch:</w:t>
            </w:r>
            <w:r>
              <w:rPr>
                <w:noProof/>
                <w:webHidden/>
              </w:rPr>
              <w:tab/>
            </w:r>
            <w:r>
              <w:rPr>
                <w:noProof/>
                <w:webHidden/>
              </w:rPr>
              <w:fldChar w:fldCharType="begin"/>
            </w:r>
            <w:r>
              <w:rPr>
                <w:noProof/>
                <w:webHidden/>
              </w:rPr>
              <w:instrText xml:space="preserve"> PAGEREF _Toc204931414 \h </w:instrText>
            </w:r>
            <w:r>
              <w:rPr>
                <w:noProof/>
                <w:webHidden/>
              </w:rPr>
            </w:r>
            <w:r>
              <w:rPr>
                <w:noProof/>
                <w:webHidden/>
              </w:rPr>
              <w:fldChar w:fldCharType="separate"/>
            </w:r>
            <w:r>
              <w:rPr>
                <w:noProof/>
                <w:webHidden/>
              </w:rPr>
              <w:t>30</w:t>
            </w:r>
            <w:r>
              <w:rPr>
                <w:noProof/>
                <w:webHidden/>
              </w:rPr>
              <w:fldChar w:fldCharType="end"/>
            </w:r>
          </w:hyperlink>
        </w:p>
        <w:p w14:paraId="39AA3D68" w14:textId="6542B559"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5" w:history="1">
            <w:r w:rsidRPr="00FE578D">
              <w:rPr>
                <w:rStyle w:val="Hyperlink"/>
                <w:noProof/>
              </w:rPr>
              <w:t xml:space="preserve">Điều 20 Luật Chứng Khoán 2019 quy định về </w:t>
            </w:r>
            <w:r w:rsidRPr="00FE578D">
              <w:rPr>
                <w:rStyle w:val="Hyperlink"/>
                <w:noProof/>
                <w:highlight w:val="yellow"/>
              </w:rPr>
              <w:t>BCTC</w:t>
            </w:r>
            <w:r w:rsidRPr="00FE578D">
              <w:rPr>
                <w:rStyle w:val="Hyperlink"/>
                <w:noProof/>
              </w:rPr>
              <w:t>:</w:t>
            </w:r>
            <w:r>
              <w:rPr>
                <w:noProof/>
                <w:webHidden/>
              </w:rPr>
              <w:tab/>
            </w:r>
            <w:r>
              <w:rPr>
                <w:noProof/>
                <w:webHidden/>
              </w:rPr>
              <w:fldChar w:fldCharType="begin"/>
            </w:r>
            <w:r>
              <w:rPr>
                <w:noProof/>
                <w:webHidden/>
              </w:rPr>
              <w:instrText xml:space="preserve"> PAGEREF _Toc204931415 \h </w:instrText>
            </w:r>
            <w:r>
              <w:rPr>
                <w:noProof/>
                <w:webHidden/>
              </w:rPr>
            </w:r>
            <w:r>
              <w:rPr>
                <w:noProof/>
                <w:webHidden/>
              </w:rPr>
              <w:fldChar w:fldCharType="separate"/>
            </w:r>
            <w:r>
              <w:rPr>
                <w:noProof/>
                <w:webHidden/>
              </w:rPr>
              <w:t>30</w:t>
            </w:r>
            <w:r>
              <w:rPr>
                <w:noProof/>
                <w:webHidden/>
              </w:rPr>
              <w:fldChar w:fldCharType="end"/>
            </w:r>
          </w:hyperlink>
        </w:p>
        <w:p w14:paraId="5302886F" w14:textId="784F8FAF"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6" w:history="1">
            <w:r w:rsidRPr="00FE578D">
              <w:rPr>
                <w:rStyle w:val="Hyperlink"/>
                <w:noProof/>
              </w:rPr>
              <w:t>Điều 12 Nghị định 155/2020/NĐ-CP:</w:t>
            </w:r>
            <w:r>
              <w:rPr>
                <w:noProof/>
                <w:webHidden/>
              </w:rPr>
              <w:tab/>
            </w:r>
            <w:r>
              <w:rPr>
                <w:noProof/>
                <w:webHidden/>
              </w:rPr>
              <w:fldChar w:fldCharType="begin"/>
            </w:r>
            <w:r>
              <w:rPr>
                <w:noProof/>
                <w:webHidden/>
              </w:rPr>
              <w:instrText xml:space="preserve"> PAGEREF _Toc204931416 \h </w:instrText>
            </w:r>
            <w:r>
              <w:rPr>
                <w:noProof/>
                <w:webHidden/>
              </w:rPr>
            </w:r>
            <w:r>
              <w:rPr>
                <w:noProof/>
                <w:webHidden/>
              </w:rPr>
              <w:fldChar w:fldCharType="separate"/>
            </w:r>
            <w:r>
              <w:rPr>
                <w:noProof/>
                <w:webHidden/>
              </w:rPr>
              <w:t>30</w:t>
            </w:r>
            <w:r>
              <w:rPr>
                <w:noProof/>
                <w:webHidden/>
              </w:rPr>
              <w:fldChar w:fldCharType="end"/>
            </w:r>
          </w:hyperlink>
        </w:p>
        <w:p w14:paraId="2338F95F" w14:textId="505CA73E"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7" w:history="1">
            <w:r w:rsidRPr="00FE578D">
              <w:rPr>
                <w:rStyle w:val="Hyperlink"/>
                <w:rFonts w:eastAsia="Times New Roman"/>
                <w:noProof/>
                <w:lang w:eastAsia="en-US"/>
              </w:rPr>
              <w:t>Điều 41 Nghị định 155. Trình tự, thủ tục chào bán chứng khoán ra công chúng</w:t>
            </w:r>
            <w:r>
              <w:rPr>
                <w:noProof/>
                <w:webHidden/>
              </w:rPr>
              <w:tab/>
            </w:r>
            <w:r>
              <w:rPr>
                <w:noProof/>
                <w:webHidden/>
              </w:rPr>
              <w:fldChar w:fldCharType="begin"/>
            </w:r>
            <w:r>
              <w:rPr>
                <w:noProof/>
                <w:webHidden/>
              </w:rPr>
              <w:instrText xml:space="preserve"> PAGEREF _Toc204931417 \h </w:instrText>
            </w:r>
            <w:r>
              <w:rPr>
                <w:noProof/>
                <w:webHidden/>
              </w:rPr>
            </w:r>
            <w:r>
              <w:rPr>
                <w:noProof/>
                <w:webHidden/>
              </w:rPr>
              <w:fldChar w:fldCharType="separate"/>
            </w:r>
            <w:r>
              <w:rPr>
                <w:noProof/>
                <w:webHidden/>
              </w:rPr>
              <w:t>32</w:t>
            </w:r>
            <w:r>
              <w:rPr>
                <w:noProof/>
                <w:webHidden/>
              </w:rPr>
              <w:fldChar w:fldCharType="end"/>
            </w:r>
          </w:hyperlink>
        </w:p>
        <w:p w14:paraId="5BC36C54" w14:textId="51DE0D1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18" w:history="1">
            <w:r w:rsidRPr="00FE578D">
              <w:rPr>
                <w:rStyle w:val="Hyperlink"/>
                <w:rFonts w:eastAsia="Times New Roman"/>
                <w:noProof/>
                <w:lang w:eastAsia="en-US"/>
              </w:rPr>
              <w:t>Luật chứng khoán 2019</w:t>
            </w:r>
            <w:r>
              <w:rPr>
                <w:noProof/>
                <w:webHidden/>
              </w:rPr>
              <w:tab/>
            </w:r>
            <w:r>
              <w:rPr>
                <w:noProof/>
                <w:webHidden/>
              </w:rPr>
              <w:fldChar w:fldCharType="begin"/>
            </w:r>
            <w:r>
              <w:rPr>
                <w:noProof/>
                <w:webHidden/>
              </w:rPr>
              <w:instrText xml:space="preserve"> PAGEREF _Toc204931418 \h </w:instrText>
            </w:r>
            <w:r>
              <w:rPr>
                <w:noProof/>
                <w:webHidden/>
              </w:rPr>
            </w:r>
            <w:r>
              <w:rPr>
                <w:noProof/>
                <w:webHidden/>
              </w:rPr>
              <w:fldChar w:fldCharType="separate"/>
            </w:r>
            <w:r>
              <w:rPr>
                <w:noProof/>
                <w:webHidden/>
              </w:rPr>
              <w:t>33</w:t>
            </w:r>
            <w:r>
              <w:rPr>
                <w:noProof/>
                <w:webHidden/>
              </w:rPr>
              <w:fldChar w:fldCharType="end"/>
            </w:r>
          </w:hyperlink>
        </w:p>
        <w:p w14:paraId="731FC2E8" w14:textId="7C5816EB"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19" w:history="1">
            <w:r w:rsidRPr="00FE578D">
              <w:rPr>
                <w:rStyle w:val="Hyperlink"/>
                <w:noProof/>
                <w:lang w:bidi="vi-VN"/>
              </w:rPr>
              <w:t>CHÀO BÁN CỔ PHẦN RIÊNG LẺ</w:t>
            </w:r>
            <w:r>
              <w:rPr>
                <w:noProof/>
                <w:webHidden/>
              </w:rPr>
              <w:tab/>
            </w:r>
            <w:r>
              <w:rPr>
                <w:noProof/>
                <w:webHidden/>
              </w:rPr>
              <w:fldChar w:fldCharType="begin"/>
            </w:r>
            <w:r>
              <w:rPr>
                <w:noProof/>
                <w:webHidden/>
              </w:rPr>
              <w:instrText xml:space="preserve"> PAGEREF _Toc204931419 \h </w:instrText>
            </w:r>
            <w:r>
              <w:rPr>
                <w:noProof/>
                <w:webHidden/>
              </w:rPr>
            </w:r>
            <w:r>
              <w:rPr>
                <w:noProof/>
                <w:webHidden/>
              </w:rPr>
              <w:fldChar w:fldCharType="separate"/>
            </w:r>
            <w:r>
              <w:rPr>
                <w:noProof/>
                <w:webHidden/>
              </w:rPr>
              <w:t>34</w:t>
            </w:r>
            <w:r>
              <w:rPr>
                <w:noProof/>
                <w:webHidden/>
              </w:rPr>
              <w:fldChar w:fldCharType="end"/>
            </w:r>
          </w:hyperlink>
        </w:p>
        <w:p w14:paraId="248529CE" w14:textId="2E44608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0" w:history="1">
            <w:r w:rsidRPr="00FE578D">
              <w:rPr>
                <w:rStyle w:val="Hyperlink"/>
                <w:noProof/>
                <w:lang w:bidi="vi-VN"/>
              </w:rPr>
              <w:t>Điều 31 Luật Chứng Khoán 2019</w:t>
            </w:r>
            <w:r>
              <w:rPr>
                <w:noProof/>
                <w:webHidden/>
              </w:rPr>
              <w:tab/>
            </w:r>
            <w:r>
              <w:rPr>
                <w:noProof/>
                <w:webHidden/>
              </w:rPr>
              <w:fldChar w:fldCharType="begin"/>
            </w:r>
            <w:r>
              <w:rPr>
                <w:noProof/>
                <w:webHidden/>
              </w:rPr>
              <w:instrText xml:space="preserve"> PAGEREF _Toc204931420 \h </w:instrText>
            </w:r>
            <w:r>
              <w:rPr>
                <w:noProof/>
                <w:webHidden/>
              </w:rPr>
            </w:r>
            <w:r>
              <w:rPr>
                <w:noProof/>
                <w:webHidden/>
              </w:rPr>
              <w:fldChar w:fldCharType="separate"/>
            </w:r>
            <w:r>
              <w:rPr>
                <w:noProof/>
                <w:webHidden/>
              </w:rPr>
              <w:t>34</w:t>
            </w:r>
            <w:r>
              <w:rPr>
                <w:noProof/>
                <w:webHidden/>
              </w:rPr>
              <w:fldChar w:fldCharType="end"/>
            </w:r>
          </w:hyperlink>
        </w:p>
        <w:p w14:paraId="23A1907D" w14:textId="4BEC6F9C"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1" w:history="1">
            <w:r w:rsidRPr="00FE578D">
              <w:rPr>
                <w:rStyle w:val="Hyperlink"/>
                <w:noProof/>
              </w:rPr>
              <w:t>Điều 43 Nđ155. Hồ sơ đăng ký chào bán cổ phiếu riêng lẻ của công ty đại chúng</w:t>
            </w:r>
            <w:r>
              <w:rPr>
                <w:noProof/>
                <w:webHidden/>
              </w:rPr>
              <w:tab/>
            </w:r>
            <w:r>
              <w:rPr>
                <w:noProof/>
                <w:webHidden/>
              </w:rPr>
              <w:fldChar w:fldCharType="begin"/>
            </w:r>
            <w:r>
              <w:rPr>
                <w:noProof/>
                <w:webHidden/>
              </w:rPr>
              <w:instrText xml:space="preserve"> PAGEREF _Toc204931421 \h </w:instrText>
            </w:r>
            <w:r>
              <w:rPr>
                <w:noProof/>
                <w:webHidden/>
              </w:rPr>
            </w:r>
            <w:r>
              <w:rPr>
                <w:noProof/>
                <w:webHidden/>
              </w:rPr>
              <w:fldChar w:fldCharType="separate"/>
            </w:r>
            <w:r>
              <w:rPr>
                <w:noProof/>
                <w:webHidden/>
              </w:rPr>
              <w:t>34</w:t>
            </w:r>
            <w:r>
              <w:rPr>
                <w:noProof/>
                <w:webHidden/>
              </w:rPr>
              <w:fldChar w:fldCharType="end"/>
            </w:r>
          </w:hyperlink>
        </w:p>
        <w:p w14:paraId="0830DE49" w14:textId="4453683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2" w:history="1">
            <w:r w:rsidRPr="00FE578D">
              <w:rPr>
                <w:rStyle w:val="Hyperlink"/>
                <w:noProof/>
              </w:rPr>
              <w:t>Điều 48 Nghị định 155</w:t>
            </w:r>
            <w:r>
              <w:rPr>
                <w:noProof/>
                <w:webHidden/>
              </w:rPr>
              <w:tab/>
            </w:r>
            <w:r>
              <w:rPr>
                <w:noProof/>
                <w:webHidden/>
              </w:rPr>
              <w:fldChar w:fldCharType="begin"/>
            </w:r>
            <w:r>
              <w:rPr>
                <w:noProof/>
                <w:webHidden/>
              </w:rPr>
              <w:instrText xml:space="preserve"> PAGEREF _Toc204931422 \h </w:instrText>
            </w:r>
            <w:r>
              <w:rPr>
                <w:noProof/>
                <w:webHidden/>
              </w:rPr>
            </w:r>
            <w:r>
              <w:rPr>
                <w:noProof/>
                <w:webHidden/>
              </w:rPr>
              <w:fldChar w:fldCharType="separate"/>
            </w:r>
            <w:r>
              <w:rPr>
                <w:noProof/>
                <w:webHidden/>
              </w:rPr>
              <w:t>35</w:t>
            </w:r>
            <w:r>
              <w:rPr>
                <w:noProof/>
                <w:webHidden/>
              </w:rPr>
              <w:fldChar w:fldCharType="end"/>
            </w:r>
          </w:hyperlink>
        </w:p>
        <w:p w14:paraId="55CC45F3" w14:textId="15C46ED7"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23" w:history="1">
            <w:r w:rsidRPr="00FE578D">
              <w:rPr>
                <w:rStyle w:val="Hyperlink"/>
                <w:noProof/>
              </w:rPr>
              <w:t>PHÁT HÀNH TRÁI PHIẾU RIÊNG LẺ TÀI TRỢ DỰ ÁN</w:t>
            </w:r>
            <w:r>
              <w:rPr>
                <w:noProof/>
                <w:webHidden/>
              </w:rPr>
              <w:tab/>
            </w:r>
            <w:r>
              <w:rPr>
                <w:noProof/>
                <w:webHidden/>
              </w:rPr>
              <w:fldChar w:fldCharType="begin"/>
            </w:r>
            <w:r>
              <w:rPr>
                <w:noProof/>
                <w:webHidden/>
              </w:rPr>
              <w:instrText xml:space="preserve"> PAGEREF _Toc204931423 \h </w:instrText>
            </w:r>
            <w:r>
              <w:rPr>
                <w:noProof/>
                <w:webHidden/>
              </w:rPr>
            </w:r>
            <w:r>
              <w:rPr>
                <w:noProof/>
                <w:webHidden/>
              </w:rPr>
              <w:fldChar w:fldCharType="separate"/>
            </w:r>
            <w:r>
              <w:rPr>
                <w:noProof/>
                <w:webHidden/>
              </w:rPr>
              <w:t>37</w:t>
            </w:r>
            <w:r>
              <w:rPr>
                <w:noProof/>
                <w:webHidden/>
              </w:rPr>
              <w:fldChar w:fldCharType="end"/>
            </w:r>
          </w:hyperlink>
        </w:p>
        <w:p w14:paraId="18A4544B" w14:textId="2EA11D9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4" w:history="1">
            <w:r w:rsidRPr="00FE578D">
              <w:rPr>
                <w:rStyle w:val="Hyperlink"/>
                <w:noProof/>
              </w:rPr>
              <w:t>Điều 5. Nguyên tắc phát hành và sử dụng vốn trái phiếu</w:t>
            </w:r>
            <w:r>
              <w:rPr>
                <w:noProof/>
                <w:webHidden/>
              </w:rPr>
              <w:tab/>
            </w:r>
            <w:r>
              <w:rPr>
                <w:noProof/>
                <w:webHidden/>
              </w:rPr>
              <w:fldChar w:fldCharType="begin"/>
            </w:r>
            <w:r>
              <w:rPr>
                <w:noProof/>
                <w:webHidden/>
              </w:rPr>
              <w:instrText xml:space="preserve"> PAGEREF _Toc204931424 \h </w:instrText>
            </w:r>
            <w:r>
              <w:rPr>
                <w:noProof/>
                <w:webHidden/>
              </w:rPr>
            </w:r>
            <w:r>
              <w:rPr>
                <w:noProof/>
                <w:webHidden/>
              </w:rPr>
              <w:fldChar w:fldCharType="separate"/>
            </w:r>
            <w:r>
              <w:rPr>
                <w:noProof/>
                <w:webHidden/>
              </w:rPr>
              <w:t>37</w:t>
            </w:r>
            <w:r>
              <w:rPr>
                <w:noProof/>
                <w:webHidden/>
              </w:rPr>
              <w:fldChar w:fldCharType="end"/>
            </w:r>
          </w:hyperlink>
        </w:p>
        <w:p w14:paraId="734292FD" w14:textId="11B6DE41"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5" w:history="1">
            <w:r w:rsidRPr="00FE578D">
              <w:rPr>
                <w:rStyle w:val="Hyperlink"/>
                <w:noProof/>
              </w:rPr>
              <w:t xml:space="preserve">Điều 6. Điều kiện, điều khoản cơ bản của trái phiếu </w:t>
            </w:r>
            <w:r w:rsidRPr="00FE578D">
              <w:rPr>
                <w:rStyle w:val="Hyperlink"/>
                <w:b/>
                <w:bCs/>
                <w:noProof/>
              </w:rPr>
              <w:t>(TnC)</w:t>
            </w:r>
            <w:r>
              <w:rPr>
                <w:noProof/>
                <w:webHidden/>
              </w:rPr>
              <w:tab/>
            </w:r>
            <w:r>
              <w:rPr>
                <w:noProof/>
                <w:webHidden/>
              </w:rPr>
              <w:fldChar w:fldCharType="begin"/>
            </w:r>
            <w:r>
              <w:rPr>
                <w:noProof/>
                <w:webHidden/>
              </w:rPr>
              <w:instrText xml:space="preserve"> PAGEREF _Toc204931425 \h </w:instrText>
            </w:r>
            <w:r>
              <w:rPr>
                <w:noProof/>
                <w:webHidden/>
              </w:rPr>
            </w:r>
            <w:r>
              <w:rPr>
                <w:noProof/>
                <w:webHidden/>
              </w:rPr>
              <w:fldChar w:fldCharType="separate"/>
            </w:r>
            <w:r>
              <w:rPr>
                <w:noProof/>
                <w:webHidden/>
              </w:rPr>
              <w:t>37</w:t>
            </w:r>
            <w:r>
              <w:rPr>
                <w:noProof/>
                <w:webHidden/>
              </w:rPr>
              <w:fldChar w:fldCharType="end"/>
            </w:r>
          </w:hyperlink>
        </w:p>
        <w:p w14:paraId="5C0DFAA1" w14:textId="10E4A1D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6" w:history="1">
            <w:r w:rsidRPr="00FE578D">
              <w:rPr>
                <w:rStyle w:val="Hyperlink"/>
                <w:rFonts w:cs="Times New Roman"/>
                <w:noProof/>
              </w:rPr>
              <w:t>Điều 7. Mua lại trái phiếu trước hạn, hoán đổi trái phiếu</w:t>
            </w:r>
            <w:r>
              <w:rPr>
                <w:noProof/>
                <w:webHidden/>
              </w:rPr>
              <w:tab/>
            </w:r>
            <w:r>
              <w:rPr>
                <w:noProof/>
                <w:webHidden/>
              </w:rPr>
              <w:fldChar w:fldCharType="begin"/>
            </w:r>
            <w:r>
              <w:rPr>
                <w:noProof/>
                <w:webHidden/>
              </w:rPr>
              <w:instrText xml:space="preserve"> PAGEREF _Toc204931426 \h </w:instrText>
            </w:r>
            <w:r>
              <w:rPr>
                <w:noProof/>
                <w:webHidden/>
              </w:rPr>
            </w:r>
            <w:r>
              <w:rPr>
                <w:noProof/>
                <w:webHidden/>
              </w:rPr>
              <w:fldChar w:fldCharType="separate"/>
            </w:r>
            <w:r>
              <w:rPr>
                <w:noProof/>
                <w:webHidden/>
              </w:rPr>
              <w:t>38</w:t>
            </w:r>
            <w:r>
              <w:rPr>
                <w:noProof/>
                <w:webHidden/>
              </w:rPr>
              <w:fldChar w:fldCharType="end"/>
            </w:r>
          </w:hyperlink>
        </w:p>
        <w:p w14:paraId="1F54E31C" w14:textId="13FD705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7" w:history="1">
            <w:r w:rsidRPr="00FE578D">
              <w:rPr>
                <w:rStyle w:val="Hyperlink"/>
                <w:noProof/>
              </w:rPr>
              <w:t>Điều 8. Nhà đầu tư mua trái phiếu</w:t>
            </w:r>
            <w:r>
              <w:rPr>
                <w:noProof/>
                <w:webHidden/>
              </w:rPr>
              <w:tab/>
            </w:r>
            <w:r>
              <w:rPr>
                <w:noProof/>
                <w:webHidden/>
              </w:rPr>
              <w:fldChar w:fldCharType="begin"/>
            </w:r>
            <w:r>
              <w:rPr>
                <w:noProof/>
                <w:webHidden/>
              </w:rPr>
              <w:instrText xml:space="preserve"> PAGEREF _Toc204931427 \h </w:instrText>
            </w:r>
            <w:r>
              <w:rPr>
                <w:noProof/>
                <w:webHidden/>
              </w:rPr>
            </w:r>
            <w:r>
              <w:rPr>
                <w:noProof/>
                <w:webHidden/>
              </w:rPr>
              <w:fldChar w:fldCharType="separate"/>
            </w:r>
            <w:r>
              <w:rPr>
                <w:noProof/>
                <w:webHidden/>
              </w:rPr>
              <w:t>39</w:t>
            </w:r>
            <w:r>
              <w:rPr>
                <w:noProof/>
                <w:webHidden/>
              </w:rPr>
              <w:fldChar w:fldCharType="end"/>
            </w:r>
          </w:hyperlink>
        </w:p>
        <w:p w14:paraId="16995CE0" w14:textId="1184BAA4"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8" w:history="1">
            <w:r w:rsidRPr="00FE578D">
              <w:rPr>
                <w:rStyle w:val="Hyperlink"/>
                <w:rFonts w:eastAsia="Times New Roman"/>
                <w:noProof/>
                <w:lang w:eastAsia="en-US"/>
              </w:rPr>
              <w:t>Điều 9. Điều kiện chào bán trái phiếu</w:t>
            </w:r>
            <w:r>
              <w:rPr>
                <w:noProof/>
                <w:webHidden/>
              </w:rPr>
              <w:tab/>
            </w:r>
            <w:r>
              <w:rPr>
                <w:noProof/>
                <w:webHidden/>
              </w:rPr>
              <w:fldChar w:fldCharType="begin"/>
            </w:r>
            <w:r>
              <w:rPr>
                <w:noProof/>
                <w:webHidden/>
              </w:rPr>
              <w:instrText xml:space="preserve"> PAGEREF _Toc204931428 \h </w:instrText>
            </w:r>
            <w:r>
              <w:rPr>
                <w:noProof/>
                <w:webHidden/>
              </w:rPr>
            </w:r>
            <w:r>
              <w:rPr>
                <w:noProof/>
                <w:webHidden/>
              </w:rPr>
              <w:fldChar w:fldCharType="separate"/>
            </w:r>
            <w:r>
              <w:rPr>
                <w:noProof/>
                <w:webHidden/>
              </w:rPr>
              <w:t>39</w:t>
            </w:r>
            <w:r>
              <w:rPr>
                <w:noProof/>
                <w:webHidden/>
              </w:rPr>
              <w:fldChar w:fldCharType="end"/>
            </w:r>
          </w:hyperlink>
        </w:p>
        <w:p w14:paraId="148CBD97" w14:textId="2B163215"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29" w:history="1">
            <w:r w:rsidRPr="00FE578D">
              <w:rPr>
                <w:rStyle w:val="Hyperlink"/>
                <w:noProof/>
              </w:rPr>
              <w:t>Điều 11. Quy trình chào bán trái phiếu</w:t>
            </w:r>
            <w:r>
              <w:rPr>
                <w:noProof/>
                <w:webHidden/>
              </w:rPr>
              <w:tab/>
            </w:r>
            <w:r>
              <w:rPr>
                <w:noProof/>
                <w:webHidden/>
              </w:rPr>
              <w:fldChar w:fldCharType="begin"/>
            </w:r>
            <w:r>
              <w:rPr>
                <w:noProof/>
                <w:webHidden/>
              </w:rPr>
              <w:instrText xml:space="preserve"> PAGEREF _Toc204931429 \h </w:instrText>
            </w:r>
            <w:r>
              <w:rPr>
                <w:noProof/>
                <w:webHidden/>
              </w:rPr>
            </w:r>
            <w:r>
              <w:rPr>
                <w:noProof/>
                <w:webHidden/>
              </w:rPr>
              <w:fldChar w:fldCharType="separate"/>
            </w:r>
            <w:r>
              <w:rPr>
                <w:noProof/>
                <w:webHidden/>
              </w:rPr>
              <w:t>40</w:t>
            </w:r>
            <w:r>
              <w:rPr>
                <w:noProof/>
                <w:webHidden/>
              </w:rPr>
              <w:fldChar w:fldCharType="end"/>
            </w:r>
          </w:hyperlink>
        </w:p>
        <w:p w14:paraId="765216E1" w14:textId="7407613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30" w:history="1">
            <w:r w:rsidRPr="00FE578D">
              <w:rPr>
                <w:rStyle w:val="Hyperlink"/>
                <w:noProof/>
              </w:rPr>
              <w:t>Điều 12. Hồ sơ chào bán trái phiếu</w:t>
            </w:r>
            <w:r>
              <w:rPr>
                <w:noProof/>
                <w:webHidden/>
              </w:rPr>
              <w:tab/>
            </w:r>
            <w:r>
              <w:rPr>
                <w:noProof/>
                <w:webHidden/>
              </w:rPr>
              <w:fldChar w:fldCharType="begin"/>
            </w:r>
            <w:r>
              <w:rPr>
                <w:noProof/>
                <w:webHidden/>
              </w:rPr>
              <w:instrText xml:space="preserve"> PAGEREF _Toc204931430 \h </w:instrText>
            </w:r>
            <w:r>
              <w:rPr>
                <w:noProof/>
                <w:webHidden/>
              </w:rPr>
            </w:r>
            <w:r>
              <w:rPr>
                <w:noProof/>
                <w:webHidden/>
              </w:rPr>
              <w:fldChar w:fldCharType="separate"/>
            </w:r>
            <w:r>
              <w:rPr>
                <w:noProof/>
                <w:webHidden/>
              </w:rPr>
              <w:t>41</w:t>
            </w:r>
            <w:r>
              <w:rPr>
                <w:noProof/>
                <w:webHidden/>
              </w:rPr>
              <w:fldChar w:fldCharType="end"/>
            </w:r>
          </w:hyperlink>
        </w:p>
        <w:p w14:paraId="4644AB73" w14:textId="1D67F000"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31" w:history="1">
            <w:r w:rsidRPr="00FE578D">
              <w:rPr>
                <w:rStyle w:val="Hyperlink"/>
                <w:noProof/>
              </w:rPr>
              <w:t>CỔ ĐÔNG CÔNG TY CHÀO BÁN CỔ PHIẾU RA CÔNG CHÚNG</w:t>
            </w:r>
            <w:r>
              <w:rPr>
                <w:noProof/>
                <w:webHidden/>
              </w:rPr>
              <w:tab/>
            </w:r>
            <w:r>
              <w:rPr>
                <w:noProof/>
                <w:webHidden/>
              </w:rPr>
              <w:fldChar w:fldCharType="begin"/>
            </w:r>
            <w:r>
              <w:rPr>
                <w:noProof/>
                <w:webHidden/>
              </w:rPr>
              <w:instrText xml:space="preserve"> PAGEREF _Toc204931431 \h </w:instrText>
            </w:r>
            <w:r>
              <w:rPr>
                <w:noProof/>
                <w:webHidden/>
              </w:rPr>
            </w:r>
            <w:r>
              <w:rPr>
                <w:noProof/>
                <w:webHidden/>
              </w:rPr>
              <w:fldChar w:fldCharType="separate"/>
            </w:r>
            <w:r>
              <w:rPr>
                <w:noProof/>
                <w:webHidden/>
              </w:rPr>
              <w:t>50</w:t>
            </w:r>
            <w:r>
              <w:rPr>
                <w:noProof/>
                <w:webHidden/>
              </w:rPr>
              <w:fldChar w:fldCharType="end"/>
            </w:r>
          </w:hyperlink>
        </w:p>
        <w:p w14:paraId="53724267" w14:textId="2D27C71D"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32" w:history="1">
            <w:r w:rsidRPr="00FE578D">
              <w:rPr>
                <w:rStyle w:val="Hyperlink"/>
                <w:noProof/>
              </w:rPr>
              <w:t>THÔNG BÁO TỶ LỆ SỞ HỮU NƯỚC NGOÀI</w:t>
            </w:r>
            <w:r>
              <w:rPr>
                <w:noProof/>
                <w:webHidden/>
              </w:rPr>
              <w:tab/>
            </w:r>
            <w:r>
              <w:rPr>
                <w:noProof/>
                <w:webHidden/>
              </w:rPr>
              <w:fldChar w:fldCharType="begin"/>
            </w:r>
            <w:r>
              <w:rPr>
                <w:noProof/>
                <w:webHidden/>
              </w:rPr>
              <w:instrText xml:space="preserve"> PAGEREF _Toc204931432 \h </w:instrText>
            </w:r>
            <w:r>
              <w:rPr>
                <w:noProof/>
                <w:webHidden/>
              </w:rPr>
            </w:r>
            <w:r>
              <w:rPr>
                <w:noProof/>
                <w:webHidden/>
              </w:rPr>
              <w:fldChar w:fldCharType="separate"/>
            </w:r>
            <w:r>
              <w:rPr>
                <w:noProof/>
                <w:webHidden/>
              </w:rPr>
              <w:t>51</w:t>
            </w:r>
            <w:r>
              <w:rPr>
                <w:noProof/>
                <w:webHidden/>
              </w:rPr>
              <w:fldChar w:fldCharType="end"/>
            </w:r>
          </w:hyperlink>
        </w:p>
        <w:p w14:paraId="616A4B46" w14:textId="27DD2804"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33" w:history="1">
            <w:r w:rsidRPr="00FE578D">
              <w:rPr>
                <w:rStyle w:val="Hyperlink"/>
                <w:noProof/>
              </w:rPr>
              <w:t>PHÁT HÀNH TĂNG VỐN TỪ NGUỒN VỐN CHỦ SỞ HỮU</w:t>
            </w:r>
            <w:r>
              <w:rPr>
                <w:noProof/>
                <w:webHidden/>
              </w:rPr>
              <w:tab/>
            </w:r>
            <w:r>
              <w:rPr>
                <w:noProof/>
                <w:webHidden/>
              </w:rPr>
              <w:fldChar w:fldCharType="begin"/>
            </w:r>
            <w:r>
              <w:rPr>
                <w:noProof/>
                <w:webHidden/>
              </w:rPr>
              <w:instrText xml:space="preserve"> PAGEREF _Toc204931433 \h </w:instrText>
            </w:r>
            <w:r>
              <w:rPr>
                <w:noProof/>
                <w:webHidden/>
              </w:rPr>
            </w:r>
            <w:r>
              <w:rPr>
                <w:noProof/>
                <w:webHidden/>
              </w:rPr>
              <w:fldChar w:fldCharType="separate"/>
            </w:r>
            <w:r>
              <w:rPr>
                <w:noProof/>
                <w:webHidden/>
              </w:rPr>
              <w:t>52</w:t>
            </w:r>
            <w:r>
              <w:rPr>
                <w:noProof/>
                <w:webHidden/>
              </w:rPr>
              <w:fldChar w:fldCharType="end"/>
            </w:r>
          </w:hyperlink>
        </w:p>
        <w:p w14:paraId="45D69ECF" w14:textId="03D8562A"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34" w:history="1">
            <w:r w:rsidRPr="00FE578D">
              <w:rPr>
                <w:rStyle w:val="Hyperlink"/>
                <w:rFonts w:asciiTheme="majorHAnsi" w:eastAsiaTheme="majorEastAsia" w:hAnsiTheme="majorHAnsi" w:cstheme="majorBidi"/>
                <w:noProof/>
              </w:rPr>
              <w:t>Điểm c Khoản 2 Điều 15 Luật Chứng khoán 2019</w:t>
            </w:r>
            <w:r>
              <w:rPr>
                <w:noProof/>
                <w:webHidden/>
              </w:rPr>
              <w:tab/>
            </w:r>
            <w:r>
              <w:rPr>
                <w:noProof/>
                <w:webHidden/>
              </w:rPr>
              <w:fldChar w:fldCharType="begin"/>
            </w:r>
            <w:r>
              <w:rPr>
                <w:noProof/>
                <w:webHidden/>
              </w:rPr>
              <w:instrText xml:space="preserve"> PAGEREF _Toc204931434 \h </w:instrText>
            </w:r>
            <w:r>
              <w:rPr>
                <w:noProof/>
                <w:webHidden/>
              </w:rPr>
            </w:r>
            <w:r>
              <w:rPr>
                <w:noProof/>
                <w:webHidden/>
              </w:rPr>
              <w:fldChar w:fldCharType="separate"/>
            </w:r>
            <w:r>
              <w:rPr>
                <w:noProof/>
                <w:webHidden/>
              </w:rPr>
              <w:t>52</w:t>
            </w:r>
            <w:r>
              <w:rPr>
                <w:noProof/>
                <w:webHidden/>
              </w:rPr>
              <w:fldChar w:fldCharType="end"/>
            </w:r>
          </w:hyperlink>
        </w:p>
        <w:p w14:paraId="559757FE" w14:textId="7E83584F"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35" w:history="1">
            <w:r w:rsidRPr="00FE578D">
              <w:rPr>
                <w:rStyle w:val="Hyperlink"/>
                <w:rFonts w:asciiTheme="majorHAnsi" w:eastAsiaTheme="majorEastAsia" w:hAnsiTheme="majorHAnsi" w:cstheme="majorBidi"/>
                <w:noProof/>
              </w:rPr>
              <w:t>Điều 62. Điều kiện công ty đại chúng phát hành cổ phiếu để tăng vốn cổ phần từ nguồn vốn chủ sở hữu</w:t>
            </w:r>
            <w:r>
              <w:rPr>
                <w:noProof/>
                <w:webHidden/>
              </w:rPr>
              <w:tab/>
            </w:r>
            <w:r>
              <w:rPr>
                <w:noProof/>
                <w:webHidden/>
              </w:rPr>
              <w:fldChar w:fldCharType="begin"/>
            </w:r>
            <w:r>
              <w:rPr>
                <w:noProof/>
                <w:webHidden/>
              </w:rPr>
              <w:instrText xml:space="preserve"> PAGEREF _Toc204931435 \h </w:instrText>
            </w:r>
            <w:r>
              <w:rPr>
                <w:noProof/>
                <w:webHidden/>
              </w:rPr>
            </w:r>
            <w:r>
              <w:rPr>
                <w:noProof/>
                <w:webHidden/>
              </w:rPr>
              <w:fldChar w:fldCharType="separate"/>
            </w:r>
            <w:r>
              <w:rPr>
                <w:noProof/>
                <w:webHidden/>
              </w:rPr>
              <w:t>52</w:t>
            </w:r>
            <w:r>
              <w:rPr>
                <w:noProof/>
                <w:webHidden/>
              </w:rPr>
              <w:fldChar w:fldCharType="end"/>
            </w:r>
          </w:hyperlink>
        </w:p>
        <w:p w14:paraId="2A17A196" w14:textId="7C705945"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36" w:history="1">
            <w:r w:rsidRPr="00FE578D">
              <w:rPr>
                <w:rStyle w:val="Hyperlink"/>
                <w:noProof/>
              </w:rPr>
              <w:t>Điều 63. Tài liệu báo cáo phát hành cổ phiếu để tăng vốn cổ phần từ nguồn vốn chủ sở hữu của công ty đại chúng</w:t>
            </w:r>
            <w:r>
              <w:rPr>
                <w:noProof/>
                <w:webHidden/>
              </w:rPr>
              <w:tab/>
            </w:r>
            <w:r>
              <w:rPr>
                <w:noProof/>
                <w:webHidden/>
              </w:rPr>
              <w:fldChar w:fldCharType="begin"/>
            </w:r>
            <w:r>
              <w:rPr>
                <w:noProof/>
                <w:webHidden/>
              </w:rPr>
              <w:instrText xml:space="preserve"> PAGEREF _Toc204931436 \h </w:instrText>
            </w:r>
            <w:r>
              <w:rPr>
                <w:noProof/>
                <w:webHidden/>
              </w:rPr>
            </w:r>
            <w:r>
              <w:rPr>
                <w:noProof/>
                <w:webHidden/>
              </w:rPr>
              <w:fldChar w:fldCharType="separate"/>
            </w:r>
            <w:r>
              <w:rPr>
                <w:noProof/>
                <w:webHidden/>
              </w:rPr>
              <w:t>52</w:t>
            </w:r>
            <w:r>
              <w:rPr>
                <w:noProof/>
                <w:webHidden/>
              </w:rPr>
              <w:fldChar w:fldCharType="end"/>
            </w:r>
          </w:hyperlink>
        </w:p>
        <w:p w14:paraId="679ECA10" w14:textId="32DD984B"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37" w:history="1">
            <w:r w:rsidRPr="00FE578D">
              <w:rPr>
                <w:rStyle w:val="Hyperlink"/>
                <w:noProof/>
              </w:rPr>
              <w:t>Điều 69 Nghị định 155. Trình tự, thủ tục phát hành cổ phiếu để trả cổ tức, phát hành cổ phiếu để tăng vốn cổ phần từ nguồn vốn chủ sở hữu, phát hành cổ phiếu theo chương trình lựa chọn cho người lao động</w:t>
            </w:r>
            <w:r>
              <w:rPr>
                <w:noProof/>
                <w:webHidden/>
              </w:rPr>
              <w:tab/>
            </w:r>
            <w:r>
              <w:rPr>
                <w:noProof/>
                <w:webHidden/>
              </w:rPr>
              <w:fldChar w:fldCharType="begin"/>
            </w:r>
            <w:r>
              <w:rPr>
                <w:noProof/>
                <w:webHidden/>
              </w:rPr>
              <w:instrText xml:space="preserve"> PAGEREF _Toc204931437 \h </w:instrText>
            </w:r>
            <w:r>
              <w:rPr>
                <w:noProof/>
                <w:webHidden/>
              </w:rPr>
            </w:r>
            <w:r>
              <w:rPr>
                <w:noProof/>
                <w:webHidden/>
              </w:rPr>
              <w:fldChar w:fldCharType="separate"/>
            </w:r>
            <w:r>
              <w:rPr>
                <w:noProof/>
                <w:webHidden/>
              </w:rPr>
              <w:t>53</w:t>
            </w:r>
            <w:r>
              <w:rPr>
                <w:noProof/>
                <w:webHidden/>
              </w:rPr>
              <w:fldChar w:fldCharType="end"/>
            </w:r>
          </w:hyperlink>
        </w:p>
        <w:p w14:paraId="51BAA818" w14:textId="78AB166C"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38" w:history="1">
            <w:r w:rsidRPr="00FE578D">
              <w:rPr>
                <w:rStyle w:val="Hyperlink"/>
                <w:noProof/>
              </w:rPr>
              <w:t>Khoản 5 Điều 4 Thông tư 118/2020/TT-BTC</w:t>
            </w:r>
            <w:r>
              <w:rPr>
                <w:noProof/>
                <w:webHidden/>
              </w:rPr>
              <w:tab/>
            </w:r>
            <w:r>
              <w:rPr>
                <w:noProof/>
                <w:webHidden/>
              </w:rPr>
              <w:fldChar w:fldCharType="begin"/>
            </w:r>
            <w:r>
              <w:rPr>
                <w:noProof/>
                <w:webHidden/>
              </w:rPr>
              <w:instrText xml:space="preserve"> PAGEREF _Toc204931438 \h </w:instrText>
            </w:r>
            <w:r>
              <w:rPr>
                <w:noProof/>
                <w:webHidden/>
              </w:rPr>
            </w:r>
            <w:r>
              <w:rPr>
                <w:noProof/>
                <w:webHidden/>
              </w:rPr>
              <w:fldChar w:fldCharType="separate"/>
            </w:r>
            <w:r>
              <w:rPr>
                <w:noProof/>
                <w:webHidden/>
              </w:rPr>
              <w:t>53</w:t>
            </w:r>
            <w:r>
              <w:rPr>
                <w:noProof/>
                <w:webHidden/>
              </w:rPr>
              <w:fldChar w:fldCharType="end"/>
            </w:r>
          </w:hyperlink>
        </w:p>
        <w:p w14:paraId="00CF8A39" w14:textId="7C54388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39" w:history="1">
            <w:r w:rsidRPr="00FE578D">
              <w:rPr>
                <w:rStyle w:val="Hyperlink"/>
                <w:noProof/>
              </w:rPr>
              <w:t>Khoản 8 Điều 5 Thông tư 118/2020/TT-BTC</w:t>
            </w:r>
            <w:r>
              <w:rPr>
                <w:noProof/>
                <w:webHidden/>
              </w:rPr>
              <w:tab/>
            </w:r>
            <w:r>
              <w:rPr>
                <w:noProof/>
                <w:webHidden/>
              </w:rPr>
              <w:fldChar w:fldCharType="begin"/>
            </w:r>
            <w:r>
              <w:rPr>
                <w:noProof/>
                <w:webHidden/>
              </w:rPr>
              <w:instrText xml:space="preserve"> PAGEREF _Toc204931439 \h </w:instrText>
            </w:r>
            <w:r>
              <w:rPr>
                <w:noProof/>
                <w:webHidden/>
              </w:rPr>
            </w:r>
            <w:r>
              <w:rPr>
                <w:noProof/>
                <w:webHidden/>
              </w:rPr>
              <w:fldChar w:fldCharType="separate"/>
            </w:r>
            <w:r>
              <w:rPr>
                <w:noProof/>
                <w:webHidden/>
              </w:rPr>
              <w:t>54</w:t>
            </w:r>
            <w:r>
              <w:rPr>
                <w:noProof/>
                <w:webHidden/>
              </w:rPr>
              <w:fldChar w:fldCharType="end"/>
            </w:r>
          </w:hyperlink>
        </w:p>
        <w:p w14:paraId="34F65698" w14:textId="4AD7393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0" w:history="1">
            <w:r w:rsidRPr="00FE578D">
              <w:rPr>
                <w:rStyle w:val="Hyperlink"/>
                <w:noProof/>
              </w:rPr>
              <w:t>Khoản 4 Điều 11 Thông tư 96/2020/TT-BTC. Công bố thông tin bất thường</w:t>
            </w:r>
            <w:r>
              <w:rPr>
                <w:noProof/>
                <w:webHidden/>
              </w:rPr>
              <w:tab/>
            </w:r>
            <w:r>
              <w:rPr>
                <w:noProof/>
                <w:webHidden/>
              </w:rPr>
              <w:fldChar w:fldCharType="begin"/>
            </w:r>
            <w:r>
              <w:rPr>
                <w:noProof/>
                <w:webHidden/>
              </w:rPr>
              <w:instrText xml:space="preserve"> PAGEREF _Toc204931440 \h </w:instrText>
            </w:r>
            <w:r>
              <w:rPr>
                <w:noProof/>
                <w:webHidden/>
              </w:rPr>
            </w:r>
            <w:r>
              <w:rPr>
                <w:noProof/>
                <w:webHidden/>
              </w:rPr>
              <w:fldChar w:fldCharType="separate"/>
            </w:r>
            <w:r>
              <w:rPr>
                <w:noProof/>
                <w:webHidden/>
              </w:rPr>
              <w:t>54</w:t>
            </w:r>
            <w:r>
              <w:rPr>
                <w:noProof/>
                <w:webHidden/>
              </w:rPr>
              <w:fldChar w:fldCharType="end"/>
            </w:r>
          </w:hyperlink>
        </w:p>
        <w:p w14:paraId="6964CD4C" w14:textId="6A0111DE"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1" w:history="1">
            <w:r w:rsidRPr="00FE578D">
              <w:rPr>
                <w:rStyle w:val="Hyperlink"/>
                <w:noProof/>
              </w:rPr>
              <w:t>Điều 7 QĐ38/QĐ-HĐTV. Thông báo thực hiện quyền</w:t>
            </w:r>
            <w:r>
              <w:rPr>
                <w:noProof/>
                <w:webHidden/>
              </w:rPr>
              <w:tab/>
            </w:r>
            <w:r>
              <w:rPr>
                <w:noProof/>
                <w:webHidden/>
              </w:rPr>
              <w:fldChar w:fldCharType="begin"/>
            </w:r>
            <w:r>
              <w:rPr>
                <w:noProof/>
                <w:webHidden/>
              </w:rPr>
              <w:instrText xml:space="preserve"> PAGEREF _Toc204931441 \h </w:instrText>
            </w:r>
            <w:r>
              <w:rPr>
                <w:noProof/>
                <w:webHidden/>
              </w:rPr>
            </w:r>
            <w:r>
              <w:rPr>
                <w:noProof/>
                <w:webHidden/>
              </w:rPr>
              <w:fldChar w:fldCharType="separate"/>
            </w:r>
            <w:r>
              <w:rPr>
                <w:noProof/>
                <w:webHidden/>
              </w:rPr>
              <w:t>54</w:t>
            </w:r>
            <w:r>
              <w:rPr>
                <w:noProof/>
                <w:webHidden/>
              </w:rPr>
              <w:fldChar w:fldCharType="end"/>
            </w:r>
          </w:hyperlink>
        </w:p>
        <w:p w14:paraId="5B24DE45" w14:textId="55554CED"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2" w:history="1">
            <w:r w:rsidRPr="00FE578D">
              <w:rPr>
                <w:rStyle w:val="Hyperlink"/>
                <w:noProof/>
              </w:rPr>
              <w:t>Điều 10. Thực hiện quyền nhận cổ tức bằng cổ phiếu, lợi tức bằng chứng chỉ quỹ, nhận cổ phiếu phát hành để tăng vốn cổ phần từ nguồn vốn chủ sở hữu</w:t>
            </w:r>
            <w:r>
              <w:rPr>
                <w:noProof/>
                <w:webHidden/>
              </w:rPr>
              <w:tab/>
            </w:r>
            <w:r>
              <w:rPr>
                <w:noProof/>
                <w:webHidden/>
              </w:rPr>
              <w:fldChar w:fldCharType="begin"/>
            </w:r>
            <w:r>
              <w:rPr>
                <w:noProof/>
                <w:webHidden/>
              </w:rPr>
              <w:instrText xml:space="preserve"> PAGEREF _Toc204931442 \h </w:instrText>
            </w:r>
            <w:r>
              <w:rPr>
                <w:noProof/>
                <w:webHidden/>
              </w:rPr>
            </w:r>
            <w:r>
              <w:rPr>
                <w:noProof/>
                <w:webHidden/>
              </w:rPr>
              <w:fldChar w:fldCharType="separate"/>
            </w:r>
            <w:r>
              <w:rPr>
                <w:noProof/>
                <w:webHidden/>
              </w:rPr>
              <w:t>54</w:t>
            </w:r>
            <w:r>
              <w:rPr>
                <w:noProof/>
                <w:webHidden/>
              </w:rPr>
              <w:fldChar w:fldCharType="end"/>
            </w:r>
          </w:hyperlink>
        </w:p>
        <w:p w14:paraId="306FF6C0" w14:textId="3400962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3" w:history="1">
            <w:r w:rsidRPr="00FE578D">
              <w:rPr>
                <w:rStyle w:val="Hyperlink"/>
                <w:noProof/>
              </w:rPr>
              <w:t>Điều 13 37/QĐ-HĐTV. Hồ sơ điều chỉnh thông tin số lượng chứng khoán đăng ký</w:t>
            </w:r>
            <w:r>
              <w:rPr>
                <w:noProof/>
                <w:webHidden/>
              </w:rPr>
              <w:tab/>
            </w:r>
            <w:r>
              <w:rPr>
                <w:noProof/>
                <w:webHidden/>
              </w:rPr>
              <w:fldChar w:fldCharType="begin"/>
            </w:r>
            <w:r>
              <w:rPr>
                <w:noProof/>
                <w:webHidden/>
              </w:rPr>
              <w:instrText xml:space="preserve"> PAGEREF _Toc204931443 \h </w:instrText>
            </w:r>
            <w:r>
              <w:rPr>
                <w:noProof/>
                <w:webHidden/>
              </w:rPr>
            </w:r>
            <w:r>
              <w:rPr>
                <w:noProof/>
                <w:webHidden/>
              </w:rPr>
              <w:fldChar w:fldCharType="separate"/>
            </w:r>
            <w:r>
              <w:rPr>
                <w:noProof/>
                <w:webHidden/>
              </w:rPr>
              <w:t>55</w:t>
            </w:r>
            <w:r>
              <w:rPr>
                <w:noProof/>
                <w:webHidden/>
              </w:rPr>
              <w:fldChar w:fldCharType="end"/>
            </w:r>
          </w:hyperlink>
        </w:p>
        <w:p w14:paraId="5259FCFD" w14:textId="4EE352E5"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4" w:history="1">
            <w:r w:rsidRPr="00FE578D">
              <w:rPr>
                <w:rStyle w:val="Hyperlink"/>
                <w:noProof/>
              </w:rPr>
              <w:t>Điều 14 37/QĐ-HĐTV. Xử lý hồ sơ điều chỉnh thông tin số lượng chứng khoán đăng ký</w:t>
            </w:r>
            <w:r>
              <w:rPr>
                <w:noProof/>
                <w:webHidden/>
              </w:rPr>
              <w:tab/>
            </w:r>
            <w:r>
              <w:rPr>
                <w:noProof/>
                <w:webHidden/>
              </w:rPr>
              <w:fldChar w:fldCharType="begin"/>
            </w:r>
            <w:r>
              <w:rPr>
                <w:noProof/>
                <w:webHidden/>
              </w:rPr>
              <w:instrText xml:space="preserve"> PAGEREF _Toc204931444 \h </w:instrText>
            </w:r>
            <w:r>
              <w:rPr>
                <w:noProof/>
                <w:webHidden/>
              </w:rPr>
            </w:r>
            <w:r>
              <w:rPr>
                <w:noProof/>
                <w:webHidden/>
              </w:rPr>
              <w:fldChar w:fldCharType="separate"/>
            </w:r>
            <w:r>
              <w:rPr>
                <w:noProof/>
                <w:webHidden/>
              </w:rPr>
              <w:t>57</w:t>
            </w:r>
            <w:r>
              <w:rPr>
                <w:noProof/>
                <w:webHidden/>
              </w:rPr>
              <w:fldChar w:fldCharType="end"/>
            </w:r>
          </w:hyperlink>
        </w:p>
        <w:p w14:paraId="614B5C8F" w14:textId="56EC4C53"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45" w:history="1">
            <w:r w:rsidRPr="00FE578D">
              <w:rPr>
                <w:rStyle w:val="Hyperlink"/>
                <w:noProof/>
              </w:rPr>
              <w:t>PHÁT HÀNH CỔ PHIẾU ĐỂ TRẢ CỔ TỨC</w:t>
            </w:r>
            <w:r>
              <w:rPr>
                <w:noProof/>
                <w:webHidden/>
              </w:rPr>
              <w:tab/>
            </w:r>
            <w:r>
              <w:rPr>
                <w:noProof/>
                <w:webHidden/>
              </w:rPr>
              <w:fldChar w:fldCharType="begin"/>
            </w:r>
            <w:r>
              <w:rPr>
                <w:noProof/>
                <w:webHidden/>
              </w:rPr>
              <w:instrText xml:space="preserve"> PAGEREF _Toc204931445 \h </w:instrText>
            </w:r>
            <w:r>
              <w:rPr>
                <w:noProof/>
                <w:webHidden/>
              </w:rPr>
            </w:r>
            <w:r>
              <w:rPr>
                <w:noProof/>
                <w:webHidden/>
              </w:rPr>
              <w:fldChar w:fldCharType="separate"/>
            </w:r>
            <w:r>
              <w:rPr>
                <w:noProof/>
                <w:webHidden/>
              </w:rPr>
              <w:t>58</w:t>
            </w:r>
            <w:r>
              <w:rPr>
                <w:noProof/>
                <w:webHidden/>
              </w:rPr>
              <w:fldChar w:fldCharType="end"/>
            </w:r>
          </w:hyperlink>
        </w:p>
        <w:p w14:paraId="232AD44F" w14:textId="4CB7E83B"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6" w:history="1">
            <w:r w:rsidRPr="00FE578D">
              <w:rPr>
                <w:rStyle w:val="Hyperlink"/>
                <w:noProof/>
              </w:rPr>
              <w:t>Điều 60. Điều kiện công ty đại chúng phát hành cổ phiếu để trả cổ tức</w:t>
            </w:r>
            <w:r>
              <w:rPr>
                <w:noProof/>
                <w:webHidden/>
              </w:rPr>
              <w:tab/>
            </w:r>
            <w:r>
              <w:rPr>
                <w:noProof/>
                <w:webHidden/>
              </w:rPr>
              <w:fldChar w:fldCharType="begin"/>
            </w:r>
            <w:r>
              <w:rPr>
                <w:noProof/>
                <w:webHidden/>
              </w:rPr>
              <w:instrText xml:space="preserve"> PAGEREF _Toc204931446 \h </w:instrText>
            </w:r>
            <w:r>
              <w:rPr>
                <w:noProof/>
                <w:webHidden/>
              </w:rPr>
            </w:r>
            <w:r>
              <w:rPr>
                <w:noProof/>
                <w:webHidden/>
              </w:rPr>
              <w:fldChar w:fldCharType="separate"/>
            </w:r>
            <w:r>
              <w:rPr>
                <w:noProof/>
                <w:webHidden/>
              </w:rPr>
              <w:t>58</w:t>
            </w:r>
            <w:r>
              <w:rPr>
                <w:noProof/>
                <w:webHidden/>
              </w:rPr>
              <w:fldChar w:fldCharType="end"/>
            </w:r>
          </w:hyperlink>
        </w:p>
        <w:p w14:paraId="3D1FA5ED" w14:textId="626B6983"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7" w:history="1">
            <w:r w:rsidRPr="00FE578D">
              <w:rPr>
                <w:rStyle w:val="Hyperlink"/>
                <w:noProof/>
              </w:rPr>
              <w:t>Điều 61. Tài liệu báo cáo phát hành cổ phiếu để trả cổ tức của công ty đại chúng</w:t>
            </w:r>
            <w:r>
              <w:rPr>
                <w:noProof/>
                <w:webHidden/>
              </w:rPr>
              <w:tab/>
            </w:r>
            <w:r>
              <w:rPr>
                <w:noProof/>
                <w:webHidden/>
              </w:rPr>
              <w:fldChar w:fldCharType="begin"/>
            </w:r>
            <w:r>
              <w:rPr>
                <w:noProof/>
                <w:webHidden/>
              </w:rPr>
              <w:instrText xml:space="preserve"> PAGEREF _Toc204931447 \h </w:instrText>
            </w:r>
            <w:r>
              <w:rPr>
                <w:noProof/>
                <w:webHidden/>
              </w:rPr>
            </w:r>
            <w:r>
              <w:rPr>
                <w:noProof/>
                <w:webHidden/>
              </w:rPr>
              <w:fldChar w:fldCharType="separate"/>
            </w:r>
            <w:r>
              <w:rPr>
                <w:noProof/>
                <w:webHidden/>
              </w:rPr>
              <w:t>58</w:t>
            </w:r>
            <w:r>
              <w:rPr>
                <w:noProof/>
                <w:webHidden/>
              </w:rPr>
              <w:fldChar w:fldCharType="end"/>
            </w:r>
          </w:hyperlink>
        </w:p>
        <w:p w14:paraId="022D5D07" w14:textId="5104621E"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8" w:history="1">
            <w:r w:rsidRPr="00FE578D">
              <w:rPr>
                <w:rStyle w:val="Hyperlink"/>
                <w:noProof/>
              </w:rPr>
              <w:t>Khoản 5 Điều 4 Thông tư 118/2020/TT-BTC</w:t>
            </w:r>
            <w:r>
              <w:rPr>
                <w:noProof/>
                <w:webHidden/>
              </w:rPr>
              <w:tab/>
            </w:r>
            <w:r>
              <w:rPr>
                <w:noProof/>
                <w:webHidden/>
              </w:rPr>
              <w:fldChar w:fldCharType="begin"/>
            </w:r>
            <w:r>
              <w:rPr>
                <w:noProof/>
                <w:webHidden/>
              </w:rPr>
              <w:instrText xml:space="preserve"> PAGEREF _Toc204931448 \h </w:instrText>
            </w:r>
            <w:r>
              <w:rPr>
                <w:noProof/>
                <w:webHidden/>
              </w:rPr>
            </w:r>
            <w:r>
              <w:rPr>
                <w:noProof/>
                <w:webHidden/>
              </w:rPr>
              <w:fldChar w:fldCharType="separate"/>
            </w:r>
            <w:r>
              <w:rPr>
                <w:noProof/>
                <w:webHidden/>
              </w:rPr>
              <w:t>58</w:t>
            </w:r>
            <w:r>
              <w:rPr>
                <w:noProof/>
                <w:webHidden/>
              </w:rPr>
              <w:fldChar w:fldCharType="end"/>
            </w:r>
          </w:hyperlink>
        </w:p>
        <w:p w14:paraId="2156868C" w14:textId="362A18D0"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49" w:history="1">
            <w:r w:rsidRPr="00FE578D">
              <w:rPr>
                <w:rStyle w:val="Hyperlink"/>
                <w:noProof/>
              </w:rPr>
              <w:t>Khoản 8 Điều 5 Thông tư 118/2020/TT-BTC</w:t>
            </w:r>
            <w:r>
              <w:rPr>
                <w:noProof/>
                <w:webHidden/>
              </w:rPr>
              <w:tab/>
            </w:r>
            <w:r>
              <w:rPr>
                <w:noProof/>
                <w:webHidden/>
              </w:rPr>
              <w:fldChar w:fldCharType="begin"/>
            </w:r>
            <w:r>
              <w:rPr>
                <w:noProof/>
                <w:webHidden/>
              </w:rPr>
              <w:instrText xml:space="preserve"> PAGEREF _Toc204931449 \h </w:instrText>
            </w:r>
            <w:r>
              <w:rPr>
                <w:noProof/>
                <w:webHidden/>
              </w:rPr>
            </w:r>
            <w:r>
              <w:rPr>
                <w:noProof/>
                <w:webHidden/>
              </w:rPr>
              <w:fldChar w:fldCharType="separate"/>
            </w:r>
            <w:r>
              <w:rPr>
                <w:noProof/>
                <w:webHidden/>
              </w:rPr>
              <w:t>58</w:t>
            </w:r>
            <w:r>
              <w:rPr>
                <w:noProof/>
                <w:webHidden/>
              </w:rPr>
              <w:fldChar w:fldCharType="end"/>
            </w:r>
          </w:hyperlink>
        </w:p>
        <w:p w14:paraId="0F747AC3" w14:textId="21E0E725"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0" w:history="1">
            <w:r w:rsidRPr="00FE578D">
              <w:rPr>
                <w:rStyle w:val="Hyperlink"/>
                <w:noProof/>
              </w:rPr>
              <w:t>Điều 69 Nghị định 155. Trình tự, thủ tục phát hành cổ phiếu để trả cổ tức, phát hành cổ phiếu để tăng vốn cổ phần từ nguồn vốn chủ sở hữu, phát hành cổ phiếu theo chương trình lựa chọn cho người lao động</w:t>
            </w:r>
            <w:r>
              <w:rPr>
                <w:noProof/>
                <w:webHidden/>
              </w:rPr>
              <w:tab/>
            </w:r>
            <w:r>
              <w:rPr>
                <w:noProof/>
                <w:webHidden/>
              </w:rPr>
              <w:fldChar w:fldCharType="begin"/>
            </w:r>
            <w:r>
              <w:rPr>
                <w:noProof/>
                <w:webHidden/>
              </w:rPr>
              <w:instrText xml:space="preserve"> PAGEREF _Toc204931450 \h </w:instrText>
            </w:r>
            <w:r>
              <w:rPr>
                <w:noProof/>
                <w:webHidden/>
              </w:rPr>
            </w:r>
            <w:r>
              <w:rPr>
                <w:noProof/>
                <w:webHidden/>
              </w:rPr>
              <w:fldChar w:fldCharType="separate"/>
            </w:r>
            <w:r>
              <w:rPr>
                <w:noProof/>
                <w:webHidden/>
              </w:rPr>
              <w:t>59</w:t>
            </w:r>
            <w:r>
              <w:rPr>
                <w:noProof/>
                <w:webHidden/>
              </w:rPr>
              <w:fldChar w:fldCharType="end"/>
            </w:r>
          </w:hyperlink>
        </w:p>
        <w:p w14:paraId="0296436A" w14:textId="7835AF5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1" w:history="1">
            <w:r w:rsidRPr="00FE578D">
              <w:rPr>
                <w:rStyle w:val="Hyperlink"/>
                <w:noProof/>
              </w:rPr>
              <w:t>Khoản 4 Điều 11 Thông tư 96/2020/TT-BTC. Công bố thông tin bất thường</w:t>
            </w:r>
            <w:r>
              <w:rPr>
                <w:noProof/>
                <w:webHidden/>
              </w:rPr>
              <w:tab/>
            </w:r>
            <w:r>
              <w:rPr>
                <w:noProof/>
                <w:webHidden/>
              </w:rPr>
              <w:fldChar w:fldCharType="begin"/>
            </w:r>
            <w:r>
              <w:rPr>
                <w:noProof/>
                <w:webHidden/>
              </w:rPr>
              <w:instrText xml:space="preserve"> PAGEREF _Toc204931451 \h </w:instrText>
            </w:r>
            <w:r>
              <w:rPr>
                <w:noProof/>
                <w:webHidden/>
              </w:rPr>
            </w:r>
            <w:r>
              <w:rPr>
                <w:noProof/>
                <w:webHidden/>
              </w:rPr>
              <w:fldChar w:fldCharType="separate"/>
            </w:r>
            <w:r>
              <w:rPr>
                <w:noProof/>
                <w:webHidden/>
              </w:rPr>
              <w:t>59</w:t>
            </w:r>
            <w:r>
              <w:rPr>
                <w:noProof/>
                <w:webHidden/>
              </w:rPr>
              <w:fldChar w:fldCharType="end"/>
            </w:r>
          </w:hyperlink>
        </w:p>
        <w:p w14:paraId="59A4F24D" w14:textId="14D41EBE"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2" w:history="1">
            <w:r w:rsidRPr="00FE578D">
              <w:rPr>
                <w:rStyle w:val="Hyperlink"/>
                <w:noProof/>
              </w:rPr>
              <w:t>Điều 7 QĐ38/QĐ-HĐTV. Thông báo thực hiện quyền</w:t>
            </w:r>
            <w:r>
              <w:rPr>
                <w:noProof/>
                <w:webHidden/>
              </w:rPr>
              <w:tab/>
            </w:r>
            <w:r>
              <w:rPr>
                <w:noProof/>
                <w:webHidden/>
              </w:rPr>
              <w:fldChar w:fldCharType="begin"/>
            </w:r>
            <w:r>
              <w:rPr>
                <w:noProof/>
                <w:webHidden/>
              </w:rPr>
              <w:instrText xml:space="preserve"> PAGEREF _Toc204931452 \h </w:instrText>
            </w:r>
            <w:r>
              <w:rPr>
                <w:noProof/>
                <w:webHidden/>
              </w:rPr>
            </w:r>
            <w:r>
              <w:rPr>
                <w:noProof/>
                <w:webHidden/>
              </w:rPr>
              <w:fldChar w:fldCharType="separate"/>
            </w:r>
            <w:r>
              <w:rPr>
                <w:noProof/>
                <w:webHidden/>
              </w:rPr>
              <w:t>60</w:t>
            </w:r>
            <w:r>
              <w:rPr>
                <w:noProof/>
                <w:webHidden/>
              </w:rPr>
              <w:fldChar w:fldCharType="end"/>
            </w:r>
          </w:hyperlink>
        </w:p>
        <w:p w14:paraId="27F0680A" w14:textId="2A4706A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3" w:history="1">
            <w:r w:rsidRPr="00FE578D">
              <w:rPr>
                <w:rStyle w:val="Hyperlink"/>
                <w:noProof/>
              </w:rPr>
              <w:t>Điều 13 37/QĐ-HĐTV. Hồ sơ điều chỉnh thông tin số lượng chứng khoán đăng ký</w:t>
            </w:r>
            <w:r>
              <w:rPr>
                <w:noProof/>
                <w:webHidden/>
              </w:rPr>
              <w:tab/>
            </w:r>
            <w:r>
              <w:rPr>
                <w:noProof/>
                <w:webHidden/>
              </w:rPr>
              <w:fldChar w:fldCharType="begin"/>
            </w:r>
            <w:r>
              <w:rPr>
                <w:noProof/>
                <w:webHidden/>
              </w:rPr>
              <w:instrText xml:space="preserve"> PAGEREF _Toc204931453 \h </w:instrText>
            </w:r>
            <w:r>
              <w:rPr>
                <w:noProof/>
                <w:webHidden/>
              </w:rPr>
            </w:r>
            <w:r>
              <w:rPr>
                <w:noProof/>
                <w:webHidden/>
              </w:rPr>
              <w:fldChar w:fldCharType="separate"/>
            </w:r>
            <w:r>
              <w:rPr>
                <w:noProof/>
                <w:webHidden/>
              </w:rPr>
              <w:t>60</w:t>
            </w:r>
            <w:r>
              <w:rPr>
                <w:noProof/>
                <w:webHidden/>
              </w:rPr>
              <w:fldChar w:fldCharType="end"/>
            </w:r>
          </w:hyperlink>
        </w:p>
        <w:p w14:paraId="4CD41FF9" w14:textId="39172FCB"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4" w:history="1">
            <w:r w:rsidRPr="00FE578D">
              <w:rPr>
                <w:rStyle w:val="Hyperlink"/>
                <w:noProof/>
              </w:rPr>
              <w:t>Điều 14 37/QĐ-HĐTV. Xử lý hồ sơ điều chỉnh thông tin số lượng chứng khoán đăng ký</w:t>
            </w:r>
            <w:r>
              <w:rPr>
                <w:noProof/>
                <w:webHidden/>
              </w:rPr>
              <w:tab/>
            </w:r>
            <w:r>
              <w:rPr>
                <w:noProof/>
                <w:webHidden/>
              </w:rPr>
              <w:fldChar w:fldCharType="begin"/>
            </w:r>
            <w:r>
              <w:rPr>
                <w:noProof/>
                <w:webHidden/>
              </w:rPr>
              <w:instrText xml:space="preserve"> PAGEREF _Toc204931454 \h </w:instrText>
            </w:r>
            <w:r>
              <w:rPr>
                <w:noProof/>
                <w:webHidden/>
              </w:rPr>
            </w:r>
            <w:r>
              <w:rPr>
                <w:noProof/>
                <w:webHidden/>
              </w:rPr>
              <w:fldChar w:fldCharType="separate"/>
            </w:r>
            <w:r>
              <w:rPr>
                <w:noProof/>
                <w:webHidden/>
              </w:rPr>
              <w:t>62</w:t>
            </w:r>
            <w:r>
              <w:rPr>
                <w:noProof/>
                <w:webHidden/>
              </w:rPr>
              <w:fldChar w:fldCharType="end"/>
            </w:r>
          </w:hyperlink>
        </w:p>
        <w:p w14:paraId="00DB7338" w14:textId="3E63D9C4" w:rsidR="00291E46" w:rsidRDefault="00291E46">
          <w:pPr>
            <w:pStyle w:val="TOC1"/>
            <w:tabs>
              <w:tab w:val="right" w:leader="dot" w:pos="9487"/>
            </w:tabs>
            <w:rPr>
              <w:rFonts w:asciiTheme="minorHAnsi" w:eastAsiaTheme="minorEastAsia" w:hAnsiTheme="minorHAnsi" w:cstheme="minorBidi"/>
              <w:noProof/>
              <w:color w:val="auto"/>
              <w:sz w:val="22"/>
              <w:szCs w:val="22"/>
              <w:lang w:eastAsia="en-US"/>
            </w:rPr>
          </w:pPr>
          <w:hyperlink w:anchor="_Toc204931455" w:history="1">
            <w:r w:rsidRPr="00FE578D">
              <w:rPr>
                <w:rStyle w:val="Hyperlink"/>
                <w:noProof/>
              </w:rPr>
              <w:t>CHÀO BÁN TRÁI PHIẾU CÔNG CHÚNG</w:t>
            </w:r>
            <w:r>
              <w:rPr>
                <w:noProof/>
                <w:webHidden/>
              </w:rPr>
              <w:tab/>
            </w:r>
            <w:r>
              <w:rPr>
                <w:noProof/>
                <w:webHidden/>
              </w:rPr>
              <w:fldChar w:fldCharType="begin"/>
            </w:r>
            <w:r>
              <w:rPr>
                <w:noProof/>
                <w:webHidden/>
              </w:rPr>
              <w:instrText xml:space="preserve"> PAGEREF _Toc204931455 \h </w:instrText>
            </w:r>
            <w:r>
              <w:rPr>
                <w:noProof/>
                <w:webHidden/>
              </w:rPr>
            </w:r>
            <w:r>
              <w:rPr>
                <w:noProof/>
                <w:webHidden/>
              </w:rPr>
              <w:fldChar w:fldCharType="separate"/>
            </w:r>
            <w:r>
              <w:rPr>
                <w:noProof/>
                <w:webHidden/>
              </w:rPr>
              <w:t>63</w:t>
            </w:r>
            <w:r>
              <w:rPr>
                <w:noProof/>
                <w:webHidden/>
              </w:rPr>
              <w:fldChar w:fldCharType="end"/>
            </w:r>
          </w:hyperlink>
        </w:p>
        <w:p w14:paraId="7DDFE410" w14:textId="6A37F9D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6" w:history="1">
            <w:r w:rsidRPr="00FE578D">
              <w:rPr>
                <w:rStyle w:val="Hyperlink"/>
                <w:noProof/>
              </w:rPr>
              <w:t>Khoản 3 Điều 15 Luật Chứng khoán 2019</w:t>
            </w:r>
            <w:r>
              <w:rPr>
                <w:noProof/>
                <w:webHidden/>
              </w:rPr>
              <w:tab/>
            </w:r>
            <w:r>
              <w:rPr>
                <w:noProof/>
                <w:webHidden/>
              </w:rPr>
              <w:fldChar w:fldCharType="begin"/>
            </w:r>
            <w:r>
              <w:rPr>
                <w:noProof/>
                <w:webHidden/>
              </w:rPr>
              <w:instrText xml:space="preserve"> PAGEREF _Toc204931456 \h </w:instrText>
            </w:r>
            <w:r>
              <w:rPr>
                <w:noProof/>
                <w:webHidden/>
              </w:rPr>
            </w:r>
            <w:r>
              <w:rPr>
                <w:noProof/>
                <w:webHidden/>
              </w:rPr>
              <w:fldChar w:fldCharType="separate"/>
            </w:r>
            <w:r>
              <w:rPr>
                <w:noProof/>
                <w:webHidden/>
              </w:rPr>
              <w:t>63</w:t>
            </w:r>
            <w:r>
              <w:rPr>
                <w:noProof/>
                <w:webHidden/>
              </w:rPr>
              <w:fldChar w:fldCharType="end"/>
            </w:r>
          </w:hyperlink>
        </w:p>
        <w:p w14:paraId="113D26EA" w14:textId="600122F6"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7" w:history="1">
            <w:r w:rsidRPr="00FE578D">
              <w:rPr>
                <w:rStyle w:val="Hyperlink"/>
                <w:noProof/>
              </w:rPr>
              <w:t>Điều 19. Điều kiện chào bán trái phiếu ra công chúng</w:t>
            </w:r>
            <w:r>
              <w:rPr>
                <w:noProof/>
                <w:webHidden/>
              </w:rPr>
              <w:tab/>
            </w:r>
            <w:r>
              <w:rPr>
                <w:noProof/>
                <w:webHidden/>
              </w:rPr>
              <w:fldChar w:fldCharType="begin"/>
            </w:r>
            <w:r>
              <w:rPr>
                <w:noProof/>
                <w:webHidden/>
              </w:rPr>
              <w:instrText xml:space="preserve"> PAGEREF _Toc204931457 \h </w:instrText>
            </w:r>
            <w:r>
              <w:rPr>
                <w:noProof/>
                <w:webHidden/>
              </w:rPr>
            </w:r>
            <w:r>
              <w:rPr>
                <w:noProof/>
                <w:webHidden/>
              </w:rPr>
              <w:fldChar w:fldCharType="separate"/>
            </w:r>
            <w:r>
              <w:rPr>
                <w:noProof/>
                <w:webHidden/>
              </w:rPr>
              <w:t>63</w:t>
            </w:r>
            <w:r>
              <w:rPr>
                <w:noProof/>
                <w:webHidden/>
              </w:rPr>
              <w:fldChar w:fldCharType="end"/>
            </w:r>
          </w:hyperlink>
        </w:p>
        <w:p w14:paraId="720A89A4" w14:textId="6024E8A2"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8" w:history="1">
            <w:r w:rsidRPr="00FE578D">
              <w:rPr>
                <w:rStyle w:val="Hyperlink"/>
                <w:noProof/>
              </w:rPr>
              <w:t>Điều 20. Hồ sơ đăng ký chào bán trái phiếu ra công chúng</w:t>
            </w:r>
            <w:r>
              <w:rPr>
                <w:noProof/>
                <w:webHidden/>
              </w:rPr>
              <w:tab/>
            </w:r>
            <w:r>
              <w:rPr>
                <w:noProof/>
                <w:webHidden/>
              </w:rPr>
              <w:fldChar w:fldCharType="begin"/>
            </w:r>
            <w:r>
              <w:rPr>
                <w:noProof/>
                <w:webHidden/>
              </w:rPr>
              <w:instrText xml:space="preserve"> PAGEREF _Toc204931458 \h </w:instrText>
            </w:r>
            <w:r>
              <w:rPr>
                <w:noProof/>
                <w:webHidden/>
              </w:rPr>
            </w:r>
            <w:r>
              <w:rPr>
                <w:noProof/>
                <w:webHidden/>
              </w:rPr>
              <w:fldChar w:fldCharType="separate"/>
            </w:r>
            <w:r>
              <w:rPr>
                <w:noProof/>
                <w:webHidden/>
              </w:rPr>
              <w:t>63</w:t>
            </w:r>
            <w:r>
              <w:rPr>
                <w:noProof/>
                <w:webHidden/>
              </w:rPr>
              <w:fldChar w:fldCharType="end"/>
            </w:r>
          </w:hyperlink>
        </w:p>
        <w:p w14:paraId="194F3FFB" w14:textId="5111A79A"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59" w:history="1">
            <w:r w:rsidRPr="00FE578D">
              <w:rPr>
                <w:rStyle w:val="Hyperlink"/>
                <w:noProof/>
              </w:rPr>
              <w:t>Điều 20. Báo cáo tài chính</w:t>
            </w:r>
            <w:r>
              <w:rPr>
                <w:noProof/>
                <w:webHidden/>
              </w:rPr>
              <w:tab/>
            </w:r>
            <w:r>
              <w:rPr>
                <w:noProof/>
                <w:webHidden/>
              </w:rPr>
              <w:fldChar w:fldCharType="begin"/>
            </w:r>
            <w:r>
              <w:rPr>
                <w:noProof/>
                <w:webHidden/>
              </w:rPr>
              <w:instrText xml:space="preserve"> PAGEREF _Toc204931459 \h </w:instrText>
            </w:r>
            <w:r>
              <w:rPr>
                <w:noProof/>
                <w:webHidden/>
              </w:rPr>
            </w:r>
            <w:r>
              <w:rPr>
                <w:noProof/>
                <w:webHidden/>
              </w:rPr>
              <w:fldChar w:fldCharType="separate"/>
            </w:r>
            <w:r>
              <w:rPr>
                <w:noProof/>
                <w:webHidden/>
              </w:rPr>
              <w:t>64</w:t>
            </w:r>
            <w:r>
              <w:rPr>
                <w:noProof/>
                <w:webHidden/>
              </w:rPr>
              <w:fldChar w:fldCharType="end"/>
            </w:r>
          </w:hyperlink>
        </w:p>
        <w:p w14:paraId="10564D23" w14:textId="50F377F4"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60" w:history="1">
            <w:r w:rsidRPr="00FE578D">
              <w:rPr>
                <w:rStyle w:val="Hyperlink"/>
                <w:noProof/>
              </w:rPr>
              <w:t>Điểm b Khoản 6 Điều 1 Luật 56</w:t>
            </w:r>
            <w:r>
              <w:rPr>
                <w:noProof/>
                <w:webHidden/>
              </w:rPr>
              <w:tab/>
            </w:r>
            <w:r>
              <w:rPr>
                <w:noProof/>
                <w:webHidden/>
              </w:rPr>
              <w:fldChar w:fldCharType="begin"/>
            </w:r>
            <w:r>
              <w:rPr>
                <w:noProof/>
                <w:webHidden/>
              </w:rPr>
              <w:instrText xml:space="preserve"> PAGEREF _Toc204931460 \h </w:instrText>
            </w:r>
            <w:r>
              <w:rPr>
                <w:noProof/>
                <w:webHidden/>
              </w:rPr>
            </w:r>
            <w:r>
              <w:rPr>
                <w:noProof/>
                <w:webHidden/>
              </w:rPr>
              <w:fldChar w:fldCharType="separate"/>
            </w:r>
            <w:r>
              <w:rPr>
                <w:noProof/>
                <w:webHidden/>
              </w:rPr>
              <w:t>64</w:t>
            </w:r>
            <w:r>
              <w:rPr>
                <w:noProof/>
                <w:webHidden/>
              </w:rPr>
              <w:fldChar w:fldCharType="end"/>
            </w:r>
          </w:hyperlink>
        </w:p>
        <w:p w14:paraId="59DA0018" w14:textId="1E5D54E8"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61" w:history="1">
            <w:r w:rsidRPr="00FE578D">
              <w:rPr>
                <w:rStyle w:val="Hyperlink"/>
                <w:rFonts w:eastAsia="Times New Roman"/>
                <w:noProof/>
                <w:lang w:val="nl-NL" w:eastAsia="en-US"/>
              </w:rPr>
              <w:t>Điều 24. Đại diện người sở hữu trái phiếu</w:t>
            </w:r>
            <w:r>
              <w:rPr>
                <w:noProof/>
                <w:webHidden/>
              </w:rPr>
              <w:tab/>
            </w:r>
            <w:r>
              <w:rPr>
                <w:noProof/>
                <w:webHidden/>
              </w:rPr>
              <w:fldChar w:fldCharType="begin"/>
            </w:r>
            <w:r>
              <w:rPr>
                <w:noProof/>
                <w:webHidden/>
              </w:rPr>
              <w:instrText xml:space="preserve"> PAGEREF _Toc204931461 \h </w:instrText>
            </w:r>
            <w:r>
              <w:rPr>
                <w:noProof/>
                <w:webHidden/>
              </w:rPr>
            </w:r>
            <w:r>
              <w:rPr>
                <w:noProof/>
                <w:webHidden/>
              </w:rPr>
              <w:fldChar w:fldCharType="separate"/>
            </w:r>
            <w:r>
              <w:rPr>
                <w:noProof/>
                <w:webHidden/>
              </w:rPr>
              <w:t>64</w:t>
            </w:r>
            <w:r>
              <w:rPr>
                <w:noProof/>
                <w:webHidden/>
              </w:rPr>
              <w:fldChar w:fldCharType="end"/>
            </w:r>
          </w:hyperlink>
        </w:p>
        <w:p w14:paraId="1B428465" w14:textId="2F152DC7"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62" w:history="1">
            <w:r w:rsidRPr="00FE578D">
              <w:rPr>
                <w:rStyle w:val="Hyperlink"/>
                <w:rFonts w:eastAsia="Times New Roman"/>
                <w:noProof/>
                <w:lang w:val="nl-NL" w:eastAsia="en-US"/>
              </w:rPr>
              <w:t>Điều 25. Hồ sơ đăng ký chào bán trái phiếu có bảo đảm ra công chúng</w:t>
            </w:r>
            <w:r>
              <w:rPr>
                <w:noProof/>
                <w:webHidden/>
              </w:rPr>
              <w:tab/>
            </w:r>
            <w:r>
              <w:rPr>
                <w:noProof/>
                <w:webHidden/>
              </w:rPr>
              <w:fldChar w:fldCharType="begin"/>
            </w:r>
            <w:r>
              <w:rPr>
                <w:noProof/>
                <w:webHidden/>
              </w:rPr>
              <w:instrText xml:space="preserve"> PAGEREF _Toc204931462 \h </w:instrText>
            </w:r>
            <w:r>
              <w:rPr>
                <w:noProof/>
                <w:webHidden/>
              </w:rPr>
            </w:r>
            <w:r>
              <w:rPr>
                <w:noProof/>
                <w:webHidden/>
              </w:rPr>
              <w:fldChar w:fldCharType="separate"/>
            </w:r>
            <w:r>
              <w:rPr>
                <w:noProof/>
                <w:webHidden/>
              </w:rPr>
              <w:t>65</w:t>
            </w:r>
            <w:r>
              <w:rPr>
                <w:noProof/>
                <w:webHidden/>
              </w:rPr>
              <w:fldChar w:fldCharType="end"/>
            </w:r>
          </w:hyperlink>
        </w:p>
        <w:p w14:paraId="61DDCAD7" w14:textId="44C9F2BE" w:rsidR="00291E46" w:rsidRDefault="00291E46">
          <w:pPr>
            <w:pStyle w:val="TOC2"/>
            <w:tabs>
              <w:tab w:val="right" w:leader="dot" w:pos="9487"/>
            </w:tabs>
            <w:rPr>
              <w:rFonts w:asciiTheme="minorHAnsi" w:eastAsiaTheme="minorEastAsia" w:hAnsiTheme="minorHAnsi" w:cstheme="minorBidi"/>
              <w:noProof/>
              <w:color w:val="auto"/>
              <w:sz w:val="22"/>
              <w:szCs w:val="22"/>
              <w:lang w:eastAsia="en-US"/>
            </w:rPr>
          </w:pPr>
          <w:hyperlink w:anchor="_Toc204931463" w:history="1">
            <w:r w:rsidRPr="00FE578D">
              <w:rPr>
                <w:rStyle w:val="Hyperlink"/>
                <w:rFonts w:eastAsia="Times New Roman"/>
                <w:noProof/>
                <w:lang w:val="nl-NL" w:eastAsia="en-US"/>
              </w:rPr>
              <w:t>Điều 26 Thông tư 121/2020/TT-BTC</w:t>
            </w:r>
            <w:r>
              <w:rPr>
                <w:noProof/>
                <w:webHidden/>
              </w:rPr>
              <w:tab/>
            </w:r>
            <w:r>
              <w:rPr>
                <w:noProof/>
                <w:webHidden/>
              </w:rPr>
              <w:fldChar w:fldCharType="begin"/>
            </w:r>
            <w:r>
              <w:rPr>
                <w:noProof/>
                <w:webHidden/>
              </w:rPr>
              <w:instrText xml:space="preserve"> PAGEREF _Toc204931463 \h </w:instrText>
            </w:r>
            <w:r>
              <w:rPr>
                <w:noProof/>
                <w:webHidden/>
              </w:rPr>
            </w:r>
            <w:r>
              <w:rPr>
                <w:noProof/>
                <w:webHidden/>
              </w:rPr>
              <w:fldChar w:fldCharType="separate"/>
            </w:r>
            <w:r>
              <w:rPr>
                <w:noProof/>
                <w:webHidden/>
              </w:rPr>
              <w:t>65</w:t>
            </w:r>
            <w:r>
              <w:rPr>
                <w:noProof/>
                <w:webHidden/>
              </w:rPr>
              <w:fldChar w:fldCharType="end"/>
            </w:r>
          </w:hyperlink>
        </w:p>
        <w:p w14:paraId="0502102F" w14:textId="14BB8422" w:rsidR="00BA665D" w:rsidRDefault="00BA665D" w:rsidP="00B400C3">
          <w:r>
            <w:rPr>
              <w:noProof/>
            </w:rPr>
            <w:fldChar w:fldCharType="end"/>
          </w:r>
        </w:p>
      </w:sdtContent>
    </w:sdt>
    <w:p w14:paraId="66BCFBB0" w14:textId="77777777" w:rsidR="00BA665D" w:rsidRDefault="00BA665D" w:rsidP="00B400C3">
      <w:pPr>
        <w:rPr>
          <w:rFonts w:ascii="Calibri Light" w:eastAsia="Times New Roman" w:hAnsi="Calibri Light" w:cs="Times New Roman"/>
          <w:kern w:val="32"/>
          <w:sz w:val="32"/>
          <w:szCs w:val="32"/>
        </w:rPr>
      </w:pPr>
      <w:r>
        <w:br w:type="page"/>
      </w:r>
    </w:p>
    <w:p w14:paraId="6D952253" w14:textId="61A08937" w:rsidR="001B4E97" w:rsidRPr="00ED4C3C" w:rsidRDefault="00BE6A20" w:rsidP="00B400C3">
      <w:pPr>
        <w:pStyle w:val="Heading1"/>
      </w:pPr>
      <w:bookmarkStart w:id="2" w:name="_Toc204931364"/>
      <w:r w:rsidRPr="00BE6A20">
        <w:lastRenderedPageBreak/>
        <w:t>CHÀO BÁN CỔ PHIẾU LẦN ĐẦU CÔNG TY TNHH</w:t>
      </w:r>
      <w:bookmarkEnd w:id="2"/>
    </w:p>
    <w:p w14:paraId="15F39D7C" w14:textId="388180D2" w:rsidR="001B4E97" w:rsidRPr="00D9542B" w:rsidRDefault="001B4E97" w:rsidP="00B400C3">
      <w:pPr>
        <w:pStyle w:val="Heading2"/>
        <w:rPr>
          <w:bCs/>
        </w:rPr>
      </w:pPr>
      <w:bookmarkStart w:id="3" w:name="_Toc204931365"/>
      <w:r w:rsidRPr="003138E0">
        <w:t>Điều 15. Điều kiện chào bán cổ phiếu lần đầu ra công chúng để chuyển đổi công ty trách nhiệm hữu hạn thành công ty cổ phần</w:t>
      </w:r>
      <w:bookmarkEnd w:id="1"/>
      <w:bookmarkEnd w:id="0"/>
      <w:bookmarkEnd w:id="3"/>
    </w:p>
    <w:p w14:paraId="3DED6202" w14:textId="77777777" w:rsidR="001B4E97" w:rsidRPr="002619B9" w:rsidRDefault="001B4E97" w:rsidP="00B400C3">
      <w:r w:rsidRPr="002619B9">
        <w:t>1. Có phương án chuyển đổi công ty trách nhiệm hữu hạn thành công ty cổ phần được Hội đồng thành viên hoặc chủ sở hữu công ty thông qua.</w:t>
      </w:r>
    </w:p>
    <w:p w14:paraId="56D5B6E6" w14:textId="77777777" w:rsidR="001B4E97" w:rsidRPr="002619B9" w:rsidRDefault="001B4E97" w:rsidP="00B400C3">
      <w:r w:rsidRPr="002619B9">
        <w:t>2. Có phương án phát hành được Hội đồng thành viên hoặc chủ sở hữu công ty thông qua; có phương án sử dụng vốn thu được từ đợt chào bán (trừ trường hợp chào bán theo hình thức quy định tại điểm b khoản 1 Điều 10 Nghị định này) được Hội đồng thành viên hoặc chủ sở hữu công ty thông qua.</w:t>
      </w:r>
    </w:p>
    <w:p w14:paraId="5FD67D07" w14:textId="77777777" w:rsidR="001B4E97" w:rsidRPr="002619B9" w:rsidRDefault="001B4E97" w:rsidP="00B400C3">
      <w:r w:rsidRPr="002619B9">
        <w:t>3. Các thành viên góp vốn hoặc chủ sở hữu công ty phải cam kết cùng nhau nắm giữ ít nhất 20% vốn điều lệ của tổ chức phát hành tối thiểu là 01 năm kể từ ngày kết thúc đợt chào bán.</w:t>
      </w:r>
    </w:p>
    <w:p w14:paraId="42876FD3" w14:textId="77777777" w:rsidR="001B4E97" w:rsidRPr="002619B9" w:rsidRDefault="001B4E97" w:rsidP="00B400C3">
      <w:r w:rsidRPr="002619B9">
        <w:t>4. Việc chào bán cổ phiếu đáp ứng quy định về tỷ lệ sở hữu nước ngoài tại công ty đại chúng theo quy định của pháp luật.</w:t>
      </w:r>
    </w:p>
    <w:p w14:paraId="60D9DC46" w14:textId="77777777" w:rsidR="001B4E97" w:rsidRPr="002619B9" w:rsidRDefault="001B4E97" w:rsidP="00B400C3">
      <w:r w:rsidRPr="002619B9">
        <w:t>5. Có thỏa thuận giữa thành viên có phần vốn được chào bán với tổ chức phát hành về phương án chào bán, giá chào bán trong trường hợp chào bán phần vốn góp của thành viên.</w:t>
      </w:r>
    </w:p>
    <w:p w14:paraId="20E4557A" w14:textId="4825B28B" w:rsidR="001B4E97" w:rsidRDefault="001B4E97" w:rsidP="00B400C3">
      <w:r w:rsidRPr="008B211B">
        <w:rPr>
          <w:highlight w:val="yellow"/>
        </w:rPr>
        <w:t>6. Điều kiện quy định tại các điểm a, b, d, e, g, h và i khoản 1 Điều 15 Luật Chứng khoán.</w:t>
      </w:r>
    </w:p>
    <w:p w14:paraId="43C5ED5C" w14:textId="77777777" w:rsidR="001B4E97" w:rsidRPr="001B4E97" w:rsidRDefault="001B4E97" w:rsidP="00B400C3">
      <w:r w:rsidRPr="001B4E97">
        <w:t xml:space="preserve">a) Mức vốn điều lệ đã góp tại thời điểm đăng ký chào bán từ </w:t>
      </w:r>
      <w:r w:rsidRPr="001B4E97">
        <w:rPr>
          <w:u w:val="single"/>
        </w:rPr>
        <w:t>30 tỷ đồng trở lên</w:t>
      </w:r>
      <w:r w:rsidRPr="001B4E97">
        <w:t xml:space="preserve"> tính theo giá trị ghi trên sổ kế toán;</w:t>
      </w:r>
    </w:p>
    <w:p w14:paraId="1B2FBA64" w14:textId="77777777" w:rsidR="001B4E97" w:rsidRPr="001B4E97" w:rsidRDefault="001B4E97" w:rsidP="00B400C3">
      <w:r w:rsidRPr="001B4E97">
        <w:t xml:space="preserve">b) Hoạt động kinh doanh của </w:t>
      </w:r>
      <w:r w:rsidRPr="001B4E97">
        <w:rPr>
          <w:u w:val="single"/>
        </w:rPr>
        <w:t>02 năm liên tục liền trước năm đăng ký</w:t>
      </w:r>
      <w:r w:rsidRPr="001B4E97">
        <w:t xml:space="preserve"> chào bán phải có </w:t>
      </w:r>
      <w:r w:rsidRPr="001B4E97">
        <w:rPr>
          <w:u w:val="single"/>
        </w:rPr>
        <w:t>lãi, đồng thời không có lỗ lũy kế</w:t>
      </w:r>
      <w:r w:rsidRPr="001B4E97">
        <w:t xml:space="preserve"> tính đến năm đăng ký chào bán;</w:t>
      </w:r>
    </w:p>
    <w:p w14:paraId="110E4B3F" w14:textId="77777777" w:rsidR="001B4E97" w:rsidRPr="001B4E97" w:rsidRDefault="001B4E97" w:rsidP="00B400C3">
      <w:r w:rsidRPr="001B4E97">
        <w:t xml:space="preserve">d) </w:t>
      </w:r>
      <w:r w:rsidRPr="001B4E97">
        <w:rPr>
          <w:u w:val="single"/>
        </w:rPr>
        <w:t>Tối thiểu là 15% số cổ phiếu</w:t>
      </w:r>
      <w:r w:rsidRPr="001B4E97">
        <w:t xml:space="preserve"> có quyền biểu quyết của tổ chức phát hành phải được </w:t>
      </w:r>
      <w:r w:rsidRPr="001B4E97">
        <w:rPr>
          <w:u w:val="single"/>
        </w:rPr>
        <w:t>bán cho ít nhất 100 nhà đầu tư không phải là cổ đông lớn</w:t>
      </w:r>
      <w:r w:rsidRPr="001B4E97">
        <w:t>; trường hợp vốn điều lệ của tổ chức phát hành từ 1.000 tỷ đồng trở lên, tỷ lệ tối thiểu là 10% số cổ phiếu có quyền biểu quyết của tổ chức phát hành;</w:t>
      </w:r>
    </w:p>
    <w:p w14:paraId="6C697D36" w14:textId="77777777" w:rsidR="001B4E97" w:rsidRPr="001B4E97" w:rsidRDefault="001B4E97" w:rsidP="00B400C3">
      <w:r w:rsidRPr="001B4E97">
        <w:t>e) Tổ chức phát hành không thuộc trường hợp đang bị truy cứu trách nhiệm hình sự hoặc đã bị kết án về một trong các tội xâm phạm trật tự quản lý kinh tế mà chưa được xóa án tích;</w:t>
      </w:r>
    </w:p>
    <w:p w14:paraId="25F56BD7" w14:textId="77777777" w:rsidR="001B4E97" w:rsidRPr="001B4E97" w:rsidRDefault="001B4E97" w:rsidP="00B400C3">
      <w:r w:rsidRPr="001B4E97">
        <w:t>g) Có công ty chứng khoán tư vấn hồ sơ đăng ký chào bán cổ phiếu ra công chúng, trừ trường hợp tổ chức phát hành là công ty chứng khoán;</w:t>
      </w:r>
    </w:p>
    <w:p w14:paraId="5336EE3F" w14:textId="77777777" w:rsidR="001B4E97" w:rsidRPr="001B4E97" w:rsidRDefault="001B4E97" w:rsidP="00B400C3">
      <w:r w:rsidRPr="001B4E97">
        <w:t>h) Có cam kết và phải thực hiện niêm yết hoặc đăng ký giao dịch cổ phiếu trên hệ thống giao dịch chứng khoán sau khi kết thúc đợt chào bán;</w:t>
      </w:r>
    </w:p>
    <w:p w14:paraId="7D5ECA3D" w14:textId="00FBA53C" w:rsidR="001B4E97" w:rsidRDefault="001B4E97" w:rsidP="00B400C3">
      <w:r w:rsidRPr="001B4E97">
        <w:t>i) Tổ chức phát hành phải mở tài khoản phong tỏa nhận tiền mua cổ phiếu của đợt chào bán”</w:t>
      </w:r>
      <w:r w:rsidR="00FB5DEB">
        <w:t>.</w:t>
      </w:r>
    </w:p>
    <w:p w14:paraId="548FDE7F" w14:textId="77777777" w:rsidR="00FB5DEB" w:rsidRPr="00FB5DEB" w:rsidRDefault="00FB5DEB" w:rsidP="00B400C3"/>
    <w:p w14:paraId="72B0004F" w14:textId="77777777" w:rsidR="001B4E97" w:rsidRPr="00D9542B" w:rsidRDefault="001B4E97" w:rsidP="00B400C3">
      <w:pPr>
        <w:pStyle w:val="Heading2"/>
        <w:rPr>
          <w:bCs/>
        </w:rPr>
      </w:pPr>
      <w:bookmarkStart w:id="4" w:name="dieu_16"/>
      <w:bookmarkStart w:id="5" w:name="_Toc71038677"/>
      <w:bookmarkStart w:id="6" w:name="_Toc204931366"/>
      <w:r w:rsidRPr="00D9542B">
        <w:t>Điều 16. Hồ sơ đăng ký chào bán cổ phiếu lần đầu ra công chúng để chuyển đổi công ty trách nhiệm hữu hạn thành công ty cổ phần</w:t>
      </w:r>
      <w:bookmarkEnd w:id="4"/>
      <w:bookmarkEnd w:id="5"/>
      <w:bookmarkEnd w:id="6"/>
    </w:p>
    <w:p w14:paraId="4B8A66DD" w14:textId="77777777" w:rsidR="00AA7AE4" w:rsidRPr="00240F44" w:rsidRDefault="00AA7AE4" w:rsidP="00B400C3">
      <w:r w:rsidRPr="00240F44">
        <w:t>1. Quyết định của Hội đồng thành viên hoặc chủ sở hữu công ty thông qua phương án chuyển đổi công ty trách nhiệm hữu hạn thành công ty cổ phần, trong đó:</w:t>
      </w:r>
    </w:p>
    <w:p w14:paraId="179910C4" w14:textId="77777777" w:rsidR="00AA7AE4" w:rsidRPr="00240F44" w:rsidRDefault="00AA7AE4" w:rsidP="00B400C3">
      <w:r w:rsidRPr="00240F44">
        <w:t>a) Phương án chuyển đổi phải nêu rõ phương thức chuyển đổi loại hình doanh nghiệp: chuyển đổi huy động thêm vốn hoặc không huy động thêm vốn hoặc phương thức kết hợp giữa huy động thêm vốn và bán phần vốn góp của thành viên, chủ sở hữu công ty;</w:t>
      </w:r>
    </w:p>
    <w:p w14:paraId="6624F8EE" w14:textId="77777777" w:rsidR="00AA7AE4" w:rsidRPr="00240F44" w:rsidRDefault="00AA7AE4" w:rsidP="00B400C3">
      <w:r w:rsidRPr="00240F44">
        <w:t>b) Phương án chuyển đổi phải nêu rõ cơ cấu vốn điều lệ dự kiến của công ty sau chuyển đổi, trong đó bao gồm: số lượng cổ phiếu của thành viên/chủ sở hữu công ty, số lượng cổ phiếu chào bán ra công chúng (bao gồm: số lượng cổ phiếu chào bán để huy động thêm vốn cho tổ chức phát hành, số lượng cổ phiếu do thành viên/chủ sở hữu công ty bán phần vốn góp), số lượng cổ phiếu chào bán cho các đối tượng khác (nếu có).</w:t>
      </w:r>
    </w:p>
    <w:p w14:paraId="336EB879" w14:textId="77777777" w:rsidR="00AA7AE4" w:rsidRPr="00240F44" w:rsidRDefault="00AA7AE4" w:rsidP="00B400C3">
      <w:r w:rsidRPr="00240F44">
        <w:t>2. Quyết định của Hội đồng thành viên hoặc chủ sở hữu công ty thông qua phương án phát hành, thông qua phương án sử dụng vốn thu được từ đợt chào bán (trừ trường hợp chào bán theo hình thức quy định tại điểm b khoản 1 Điều 10 Nghị định này) và thông qua việc niêm yết hoặc đăng ký giao dịch cổ phiếu trên hệ thống giao dịch chứng khoán, trong đó:</w:t>
      </w:r>
    </w:p>
    <w:p w14:paraId="39A7D705" w14:textId="77777777" w:rsidR="00AA7AE4" w:rsidRPr="00240F44" w:rsidRDefault="00AA7AE4" w:rsidP="00B400C3">
      <w:r w:rsidRPr="00240F44">
        <w:t xml:space="preserve">a) Phương án phát hành nêu rõ: giá chào bán hoặc nguyên tắc xác định giá chào bán (trừ trường hợp chào bán theo hình thức quy định tại điểm b khoản 1 Điều 10 Nghị định này), số lượng cổ phiếu chào bán. Giá chào bán là giá được Hội đồng thành viên hoặc chủ sở hữu công ty thông qua </w:t>
      </w:r>
      <w:r w:rsidRPr="00240F44">
        <w:lastRenderedPageBreak/>
        <w:t>hoặc được xác định trên cơ sở nguyên tắc xác định giá đã được Hội đồng thành viên hoặc chủ sở hữu công ty thông qua;</w:t>
      </w:r>
    </w:p>
    <w:p w14:paraId="76F0A538" w14:textId="77777777" w:rsidR="00AA7AE4" w:rsidRPr="00240F44" w:rsidRDefault="00AA7AE4" w:rsidP="00B400C3">
      <w:r w:rsidRPr="00240F44">
        <w:t>b) Phương án sử dụng vốn là phương án sử dụng số vốn được huy động thêm cho tổ chức phát hành. Trường hợp đợt chào bán nhằm mục đích huy động phần vốn để thực hiện dự án, phương án sử dụng vốn phải bao gồm nội dung về phương án bù đắp phần thiếu hụt vốn dự kiến huy động từ đợt chào bán để thực hiện dự án;</w:t>
      </w:r>
    </w:p>
    <w:p w14:paraId="08FF3D59" w14:textId="77777777" w:rsidR="00AA7AE4" w:rsidRPr="00240F44" w:rsidRDefault="00AA7AE4" w:rsidP="00B400C3">
      <w:r w:rsidRPr="00240F44">
        <w:t>c) Trường hợp kết hợp chào bán để huy động thêm vốn cho tổ chức phát hành và chào bán phần vốn thuộc sở hữu của thành viên, chủ sở hữu công ty, phương án phát hành phải nêu rõ nguyên tắc ưu tiên phân phối cổ phiếu.</w:t>
      </w:r>
    </w:p>
    <w:p w14:paraId="42E1374E" w14:textId="77777777" w:rsidR="00AA7AE4" w:rsidRPr="00240F44" w:rsidRDefault="00AA7AE4" w:rsidP="00B400C3">
      <w:r w:rsidRPr="00240F44">
        <w:t>3. Văn bản cam kết nắm giữ cổ phiếu của thành viên góp vốn hoặc chủ sở hữu công ty.</w:t>
      </w:r>
    </w:p>
    <w:p w14:paraId="5513791C" w14:textId="77777777" w:rsidR="00AA7AE4" w:rsidRPr="00240F44" w:rsidRDefault="00AA7AE4" w:rsidP="00B400C3">
      <w:r w:rsidRPr="00240F44">
        <w:t>4. Quyết định của Hội đồng thành viên hoặc chủ sở hữu công ty thông qua phương án đảm bảo việc chào bán cổ phiếu đáp ứng quy định về tỷ lệ sở hữu nước ngoài.</w:t>
      </w:r>
    </w:p>
    <w:p w14:paraId="671A15D7" w14:textId="77777777" w:rsidR="00AA7AE4" w:rsidRPr="00240F44" w:rsidRDefault="00AA7AE4" w:rsidP="00B400C3">
      <w:r w:rsidRPr="00240F44">
        <w:t>5. Văn bản thỏa thuận giữa thành viên có phần vốn được chào bán với công ty về phương án chào bán, giá chào bán (nếu có).</w:t>
      </w:r>
    </w:p>
    <w:p w14:paraId="6EC4BDCE" w14:textId="77777777" w:rsidR="00AA7AE4" w:rsidRPr="00240F44" w:rsidRDefault="00AA7AE4" w:rsidP="00B400C3">
      <w:r w:rsidRPr="00240F44">
        <w:t>6. Quyết định của Hội đồng thành viên hoặc chủ sở hữu công ty thông qua hồ sơ đăng ký chào bán cổ phiếu ra công chúng. Đối với việc chào bán cổ phiếu ra công chúng của tổ chức tín dụng, hồ sơ phải có văn bản chấp thuận của Ngân hàng Nhà nước Việt Nam về đề nghị tăng vốn điều lệ, chuyển nhượng theo quy định của pháp luật về các tổ chức tín dụng. Đối với việc chào bán cổ phiếu ra công chúng của tổ chức kinh doanh bảo hiểm, hồ sơ phải có văn bản chấp thuận của Bộ Tài chính về việc tăng vốn điều lệ, chuyển nhượng theo quy định của pháp luật về kinh doanh bảo hiểm.</w:t>
      </w:r>
    </w:p>
    <w:p w14:paraId="14866BB2" w14:textId="0CB28CD6" w:rsidR="001B4E97" w:rsidRDefault="00AA7AE4" w:rsidP="00B400C3">
      <w:r w:rsidRPr="00AA7AE4">
        <w:rPr>
          <w:highlight w:val="yellow"/>
        </w:rPr>
        <w:t>7. Các tài liệu quy định tại các điểm c, đ và h khoản 1 Điều 18 Luật Chứng khoán và tại các khoản 1, 2, 4, 5, 6, 8 Điều 11 Nghị định này</w:t>
      </w:r>
      <w:r w:rsidR="001B4E97" w:rsidRPr="002619B9">
        <w:t>.</w:t>
      </w:r>
    </w:p>
    <w:p w14:paraId="56A1C7FB" w14:textId="6A5E966F" w:rsidR="00F816AA" w:rsidRPr="00F816AA" w:rsidRDefault="00F816AA" w:rsidP="00B400C3">
      <w:pPr>
        <w:pStyle w:val="BodyText"/>
      </w:pPr>
      <w:r w:rsidRPr="00F816AA">
        <w:rPr>
          <w:highlight w:val="yellow"/>
        </w:rPr>
        <w:t>điểm c, đ và h khoản 1 Điều 18 Luật Chứng khoán</w:t>
      </w:r>
      <w:r w:rsidRPr="00F816AA">
        <w:t>:</w:t>
      </w:r>
    </w:p>
    <w:p w14:paraId="24B9A6F7" w14:textId="73992EB5" w:rsidR="00F816AA" w:rsidRPr="00F816AA" w:rsidRDefault="00F816AA" w:rsidP="00B400C3">
      <w:pPr>
        <w:pStyle w:val="BodyText"/>
      </w:pPr>
      <w:r w:rsidRPr="00F816AA">
        <w:t>c) Điều lệ của tổ chức phát hành;</w:t>
      </w:r>
    </w:p>
    <w:p w14:paraId="20E6C2A8" w14:textId="77777777" w:rsidR="00F816AA" w:rsidRPr="00F816AA" w:rsidRDefault="00F816AA" w:rsidP="00B400C3">
      <w:pPr>
        <w:pStyle w:val="BodyText"/>
      </w:pPr>
      <w:r w:rsidRPr="00F816AA">
        <w:t>đ) Văn bản cam kết đáp ứng quy định tại điểm d và điểm e khoản 1 Điều 15 của Luật này;</w:t>
      </w:r>
    </w:p>
    <w:p w14:paraId="56A1A5BD" w14:textId="77777777" w:rsidR="00F816AA" w:rsidRPr="00F816AA" w:rsidRDefault="00F816AA" w:rsidP="00B400C3">
      <w:pPr>
        <w:pStyle w:val="BodyText"/>
      </w:pPr>
      <w:r w:rsidRPr="00F816AA">
        <w:t>h) Văn bản xác nhận của ngân hàng, chi nhánh ngân hàng nước ngoài về việc mở tài khoản phong tỏa nhận tiền mua cổ phiếu của đợt chào bán;</w:t>
      </w:r>
    </w:p>
    <w:p w14:paraId="2C4A527F" w14:textId="21630B70" w:rsidR="00F816AA" w:rsidRPr="00F816AA" w:rsidRDefault="00F816AA" w:rsidP="00B400C3">
      <w:pPr>
        <w:pStyle w:val="BodyText"/>
        <w:rPr>
          <w:highlight w:val="yellow"/>
        </w:rPr>
      </w:pPr>
      <w:r w:rsidRPr="00F816AA">
        <w:rPr>
          <w:highlight w:val="yellow"/>
        </w:rPr>
        <w:t>khoản 1, 2, 4, 5, 6, 8 Điều 11 Nghị định 155/2020/NĐ-CP:</w:t>
      </w:r>
    </w:p>
    <w:p w14:paraId="1E16F770" w14:textId="77777777" w:rsidR="00F816AA" w:rsidRPr="00F816AA" w:rsidRDefault="00F816AA" w:rsidP="00B400C3">
      <w:r w:rsidRPr="00F816AA">
        <w:t>1. Giấy đăng ký chào bán theo Mẫu số 03 Phụ lục ban hành kèm theo Nghị định này.</w:t>
      </w:r>
    </w:p>
    <w:p w14:paraId="721F47CB" w14:textId="77777777" w:rsidR="00F816AA" w:rsidRPr="00F816AA" w:rsidRDefault="00F816AA" w:rsidP="00B400C3">
      <w:r w:rsidRPr="00F816AA">
        <w:t xml:space="preserve">2. Bản cáo bạch theo quy định tại </w:t>
      </w:r>
      <w:bookmarkStart w:id="7" w:name="dc_9"/>
      <w:r w:rsidRPr="00F816AA">
        <w:t>Điều 19 Luật Chứng khoán</w:t>
      </w:r>
      <w:bookmarkEnd w:id="7"/>
      <w:r w:rsidRPr="00F816AA">
        <w:t>.</w:t>
      </w:r>
    </w:p>
    <w:p w14:paraId="0C223595" w14:textId="77777777" w:rsidR="00F816AA" w:rsidRPr="00F816AA" w:rsidRDefault="00F816AA" w:rsidP="00B400C3">
      <w:r w:rsidRPr="00F816AA">
        <w:t xml:space="preserve">4. Báo cáo tài chính của tổ chức phát hành trong 02 năm gần nhất đáp ứng quy định tại </w:t>
      </w:r>
      <w:bookmarkStart w:id="8" w:name="dc_10"/>
      <w:r w:rsidRPr="00F816AA">
        <w:t>Điều 20 Luật Chứng khoán</w:t>
      </w:r>
      <w:bookmarkEnd w:id="8"/>
      <w:r w:rsidRPr="00F816AA">
        <w:t>, trong đó:</w:t>
      </w:r>
    </w:p>
    <w:p w14:paraId="176E4396" w14:textId="77777777" w:rsidR="00F816AA" w:rsidRPr="00F816AA" w:rsidRDefault="00F816AA" w:rsidP="00B400C3">
      <w:r w:rsidRPr="00F816AA">
        <w:t>a)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 Trường hợp tổ chức phát hành hoàn thiện hồ sơ sau 90 ngày kể từ ngày kết thúc kỳ kế toán năm, tổ chức phát hành phải bổ sung báo cáo tài chính năm gần nhất được kiểm toán;</w:t>
      </w:r>
    </w:p>
    <w:p w14:paraId="7C239CA4" w14:textId="77777777" w:rsidR="00F816AA" w:rsidRPr="00F816AA" w:rsidRDefault="00F816AA" w:rsidP="00B400C3">
      <w:r w:rsidRPr="00F816AA">
        <w:t>b) Trường hợp tổ chức phát hành thực hiện phát hành cổ phiếu để tăng vốn điều lệ sau ngày kết thúc kỳ kế toán gần nhất được kiểm toán hoặc soát xét, tổ chức phát hành phải bổ sung báo cáo về vốn góp của chủ sở hữu được kiểm toán bởi tổ chức kiểm toán được chấp thuận.</w:t>
      </w:r>
    </w:p>
    <w:p w14:paraId="7D3D46E5" w14:textId="77777777" w:rsidR="00F816AA" w:rsidRPr="00F816AA" w:rsidRDefault="00F816AA" w:rsidP="00B400C3">
      <w:r w:rsidRPr="00F816AA">
        <w:t>5. Hợp đồng tư vấn hồ sơ đăng ký chào bán cổ phiếu ra công chúng với công ty chứng khoán, trừ trường hợp tổ chức phát hành là công ty chứng khoán.</w:t>
      </w:r>
    </w:p>
    <w:p w14:paraId="32D5C131" w14:textId="77777777" w:rsidR="00F816AA" w:rsidRPr="00F816AA" w:rsidRDefault="00F816AA" w:rsidP="00B400C3">
      <w:r w:rsidRPr="00F816AA">
        <w:t>6. Cam kết bảo lãnh phát hành (nếu có) bao gồm các nội dung tối thiểu theo Mẫu số 04 Phụ lục ban hành kèm theo Nghị định này. Trường hợp có tổ hợp bảo lãnh phát hành, cam kết bảo lãnh phát hành của tổ chức bảo lãnh phát hành chính phải kèm theo hợp đồng giữa các tổ chức bảo lãnh phát hành. Các tài liệu này phải được gửi đến Ủy ban Chứng khoán Nhà nước trước ngày cấp Giấy chứng nhận đăng ký chào bán.</w:t>
      </w:r>
    </w:p>
    <w:p w14:paraId="29ED316C" w14:textId="77777777" w:rsidR="00F816AA" w:rsidRPr="00F816AA" w:rsidRDefault="00F816AA" w:rsidP="00B400C3">
      <w:r w:rsidRPr="00F816AA">
        <w:lastRenderedPageBreak/>
        <w:t>8. Văn bản cam kết của Hội đồng quản trị triển khai niêm yết hoặc đăng ký giao dịch cổ phiếu trên hệ thống giao dịch chứng khoán.</w:t>
      </w:r>
    </w:p>
    <w:p w14:paraId="4D6C2A9F" w14:textId="77777777" w:rsidR="00AA7AE4" w:rsidRPr="00AA7AE4" w:rsidRDefault="00AA7AE4" w:rsidP="00B400C3"/>
    <w:p w14:paraId="2D61A013" w14:textId="77777777" w:rsidR="00BE6A20" w:rsidRDefault="00BE6A20" w:rsidP="00B400C3">
      <w:pPr>
        <w:rPr>
          <w:rFonts w:cs="Times New Roman"/>
          <w:lang w:eastAsia="en-US"/>
        </w:rPr>
      </w:pPr>
      <w:r>
        <w:br w:type="page"/>
      </w:r>
    </w:p>
    <w:p w14:paraId="551BC238" w14:textId="6339390D" w:rsidR="00BE6A20" w:rsidRDefault="00BE6A20" w:rsidP="00B400C3">
      <w:pPr>
        <w:pStyle w:val="Heading1"/>
      </w:pPr>
      <w:bookmarkStart w:id="9" w:name="_Toc204931367"/>
      <w:r>
        <w:lastRenderedPageBreak/>
        <w:t>NIÊM YẾT CÔNG TY CỔ PHẦN</w:t>
      </w:r>
      <w:bookmarkEnd w:id="9"/>
    </w:p>
    <w:p w14:paraId="37599CFC" w14:textId="2D4497C7" w:rsidR="00256147" w:rsidRDefault="00256147" w:rsidP="00B400C3">
      <w:r>
        <w:t>Luật Chứng Khoán 2019</w:t>
      </w:r>
    </w:p>
    <w:p w14:paraId="3B7F89D4" w14:textId="7FD63E2C" w:rsidR="00256147" w:rsidRDefault="00256147" w:rsidP="00B400C3">
      <w:r>
        <w:t>Nghị định 155 2020</w:t>
      </w:r>
    </w:p>
    <w:p w14:paraId="254E8336" w14:textId="0FB71D72" w:rsidR="00256147" w:rsidRPr="00256147" w:rsidRDefault="00256147" w:rsidP="00B400C3">
      <w:r w:rsidRPr="00256147">
        <w:t>17/QĐ-HĐTV</w:t>
      </w:r>
    </w:p>
    <w:p w14:paraId="1B7AB71D" w14:textId="0F292388" w:rsidR="003138E0" w:rsidRPr="00BE6A20" w:rsidRDefault="00BA665D" w:rsidP="00B400C3">
      <w:pPr>
        <w:pStyle w:val="Heading2"/>
        <w:rPr>
          <w:rFonts w:eastAsia="Times New Roman"/>
        </w:rPr>
      </w:pPr>
      <w:bookmarkStart w:id="10" w:name="_Toc204931368"/>
      <w:r>
        <w:rPr>
          <w:rFonts w:eastAsia="Times New Roman"/>
        </w:rPr>
        <w:t xml:space="preserve">Điều 20: </w:t>
      </w:r>
      <w:r w:rsidR="00877F06">
        <w:rPr>
          <w:rFonts w:eastAsia="Times New Roman"/>
        </w:rPr>
        <w:t>Báo cáo tài chính - Luật Chứng Khoán 2019</w:t>
      </w:r>
      <w:bookmarkEnd w:id="10"/>
    </w:p>
    <w:p w14:paraId="4DCF91F3" w14:textId="77777777" w:rsidR="003138E0" w:rsidRPr="000C4ED7" w:rsidRDefault="003138E0" w:rsidP="00B400C3">
      <w:bookmarkStart w:id="11" w:name="dieu_20"/>
      <w:r w:rsidRPr="000C4ED7">
        <w:t>“</w:t>
      </w:r>
      <w:commentRangeStart w:id="12"/>
      <w:r w:rsidRPr="000C4ED7">
        <w:t>Điều 20. Báo cáo tài chính</w:t>
      </w:r>
      <w:bookmarkEnd w:id="11"/>
      <w:commentRangeEnd w:id="12"/>
      <w:r w:rsidR="006B0772">
        <w:rPr>
          <w:rStyle w:val="CommentReference"/>
        </w:rPr>
        <w:commentReference w:id="12"/>
      </w:r>
    </w:p>
    <w:p w14:paraId="2F1EFCE2" w14:textId="77777777" w:rsidR="003138E0" w:rsidRPr="000C4ED7" w:rsidRDefault="003138E0" w:rsidP="00B400C3">
      <w:r w:rsidRPr="000C4ED7">
        <w:t>1. Báo cáo tài chính được lập theo quy định của pháp luật về kế toán.</w:t>
      </w:r>
    </w:p>
    <w:p w14:paraId="52D82944" w14:textId="77777777" w:rsidR="003138E0" w:rsidRPr="000C4ED7" w:rsidRDefault="003138E0" w:rsidP="00B400C3">
      <w:r w:rsidRPr="000C4ED7">
        <w:t>2. Trường hợp tổ chức phát hành là công ty mẹ thì tổ chức phát hành phải nộp báo cáo tài chính hợp nhất theo quy định của pháp luật về kế toán.</w:t>
      </w:r>
    </w:p>
    <w:p w14:paraId="49B3F443" w14:textId="77777777" w:rsidR="003138E0" w:rsidRPr="000C4ED7" w:rsidRDefault="003138E0" w:rsidP="00B400C3">
      <w:r w:rsidRPr="000C4ED7">
        <w:t xml:space="preserve">3. 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w:t>
      </w:r>
      <w:r w:rsidRPr="000C4ED7">
        <w:rPr>
          <w:u w:val="single"/>
        </w:rPr>
        <w:t>ý kiến chấp nhận toàn phần</w:t>
      </w:r>
      <w:r w:rsidRPr="000C4ED7">
        <w:t>;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14:paraId="17AE9106" w14:textId="77777777" w:rsidR="003138E0" w:rsidRPr="000C4ED7" w:rsidRDefault="003138E0" w:rsidP="00B400C3">
      <w:r w:rsidRPr="000C4ED7">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14:paraId="1EFE4F20" w14:textId="0370A4CA" w:rsidR="003138E0" w:rsidRDefault="003138E0" w:rsidP="00B400C3">
      <w:r w:rsidRPr="000C4ED7">
        <w:t xml:space="preserve">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w:t>
      </w:r>
      <w:r w:rsidRPr="006A7B10">
        <w:rPr>
          <w:highlight w:val="yellow"/>
        </w:rPr>
        <w:t>lập báo cáo tài chính bổ sung đến tháng hoặc quý gần nhất</w:t>
      </w:r>
      <w:r w:rsidRPr="000C4ED7">
        <w:t>.”</w:t>
      </w:r>
    </w:p>
    <w:p w14:paraId="42F33B1E" w14:textId="77777777" w:rsidR="003138E0" w:rsidRPr="000C4ED7" w:rsidRDefault="003138E0" w:rsidP="00B400C3"/>
    <w:p w14:paraId="27ADEB43" w14:textId="0394B96C" w:rsidR="00BB6065" w:rsidRPr="00877F06" w:rsidRDefault="00BB6065" w:rsidP="00B400C3">
      <w:pPr>
        <w:pStyle w:val="Heading2"/>
      </w:pPr>
      <w:bookmarkStart w:id="13" w:name="dieu_107"/>
      <w:bookmarkStart w:id="14" w:name="_Toc204931369"/>
      <w:r w:rsidRPr="00BB6065">
        <w:t>Điều 107. Quy định chung</w:t>
      </w:r>
      <w:bookmarkEnd w:id="13"/>
      <w:r w:rsidR="00877F06">
        <w:t xml:space="preserve"> - Nghị định 155/2020/NĐ-CP</w:t>
      </w:r>
      <w:bookmarkEnd w:id="14"/>
    </w:p>
    <w:p w14:paraId="56272056" w14:textId="77777777" w:rsidR="00BB6065" w:rsidRPr="00BB6065" w:rsidRDefault="00BB6065" w:rsidP="00B400C3">
      <w:r w:rsidRPr="00BB6065">
        <w:t xml:space="preserve">1. Báo cáo tài chính của </w:t>
      </w:r>
      <w:r w:rsidRPr="004C3D5A">
        <w:rPr>
          <w:highlight w:val="yellow"/>
        </w:rPr>
        <w:t>tổ chức đăng ký niêm yết</w:t>
      </w:r>
      <w:r w:rsidRPr="00BB6065">
        <w:t xml:space="preserve"> phải tuân thủ các quy định sau:</w:t>
      </w:r>
    </w:p>
    <w:p w14:paraId="36106985" w14:textId="77777777" w:rsidR="00BB6065" w:rsidRPr="00BB6065" w:rsidRDefault="00BB6065" w:rsidP="00B400C3">
      <w:r w:rsidRPr="00BB6065">
        <w:t>a) Báo cáo tài chính được lập theo pháp luật kế toán. Trường hợp tổ chức đăng ký niêm yết là công ty mẹ, tổ chức đăng ký niêm yết phải nộp báo cáo tài chính hợp nhất và báo cáo tài chính công ty mẹ. Trường hợp tổ chức đăng ký niêm yết là đơn vị kế toán cấp trên có các đơn vị trực thuộc không có tư cách pháp nhân, tổ chức đăng ký niêm yết phải nộp báo cáo tài chính tổng hợp;</w:t>
      </w:r>
    </w:p>
    <w:p w14:paraId="2EACEAD6" w14:textId="77777777" w:rsidR="00BB6065" w:rsidRPr="00BB6065" w:rsidRDefault="00BB6065" w:rsidP="00B400C3">
      <w:r w:rsidRPr="00BB6065">
        <w:rPr>
          <w:highlight w:val="yellow"/>
        </w:rPr>
        <w:t>b) Báo cáo tài chính năm phải được kiểm toán bởi tổ chức kiểm toán được chấp thuận. Ý kiến kiểm toán đối với các báo cáo tài chính là ý kiến chấp nhận toàn phần; trường hợp ý kiến kiểm toán là ý kiến ngoại trừ thì khoản ngoại trừ không ảnh hưởng đến điều kiện niêm yết; tổ chức đăng ký niêm yết phải có tài liệu giải thích hợp lý và có xác nhận của tổ chức kiểm toán về các khoản ngoại trừ không ảnh hưởng đến các điều kiện niêm yết</w:t>
      </w:r>
      <w:r w:rsidRPr="00BB6065">
        <w:t>;</w:t>
      </w:r>
    </w:p>
    <w:p w14:paraId="3AB9CD36" w14:textId="77777777" w:rsidR="00BB6065" w:rsidRPr="00BB6065" w:rsidRDefault="00BB6065" w:rsidP="00B400C3">
      <w:r w:rsidRPr="00BB6065">
        <w:t>c) Trường hợp hợp nhất, sáp nhập: báo cáo tài chính kỳ kế toán cuối cùng từ ngày bắt đầu năm tài chính đến thời điểm hợp nhất của các công ty tham gia hợp nhất và báo cáo tài chính kỳ kế toán đầu tiên từ thời điểm hợp nhất đến thời điểm kết thúc năm tài chính của công ty hợp nhất phải đáp ứng quy định tại điểm b khoản này; báo cáo tài chính năm của các công ty tham gia hợp nhất, sáp nhập phải được kiểm toán bởi tổ chức kiểm toán được chấp thuận;</w:t>
      </w:r>
    </w:p>
    <w:p w14:paraId="050276AC" w14:textId="77777777" w:rsidR="00BB6065" w:rsidRPr="00BB6065" w:rsidRDefault="00BB6065" w:rsidP="00B400C3">
      <w:r w:rsidRPr="00BB6065">
        <w:t>d) Trường hợp thời điểm gửi hồ sơ đăng ký niêm yết đầy đủ và hợp lệ đến Sở giao dịch chứng khoán quá thời hạn công bố thông tin báo cáo tài chính quý theo quy định cho công ty niêm yết, tổ chức đăng ký niêm yết phải bổ sung báo cáo tài chính của quý đó. Trường hợp đăng ký niêm yết sau ngày kết thúc của kỳ lập báo cáo tài chính bán niên, tổ chức đăng ký niêm yết phải bổ sung báo cáo tài chính bán niên được soát xét bởi tổ chức kiểm toán được chấp thuận;</w:t>
      </w:r>
    </w:p>
    <w:p w14:paraId="4A8F6718" w14:textId="77777777" w:rsidR="00BB6065" w:rsidRPr="00BB6065" w:rsidRDefault="00BB6065" w:rsidP="00B400C3">
      <w:r w:rsidRPr="00BB6065">
        <w:t xml:space="preserve">đ) Trường hợp </w:t>
      </w:r>
      <w:r w:rsidRPr="004C3D5A">
        <w:rPr>
          <w:highlight w:val="yellow"/>
        </w:rPr>
        <w:t>sau kỳ kế toán gần nhất được kiểm toán, tổ chức đăng ký niêm yết thực hiện phát hành tăng vốn điều lệ</w:t>
      </w:r>
      <w:r w:rsidRPr="00BB6065">
        <w:t xml:space="preserve"> (trừ trường hợp phát hành cổ phiếu để trả cổ tức, phát hành cổ phiếu để tăng vốn cổ phần từ nguồn vốn chủ sở hữu, phát hành cổ phiếu thưởng cho người lao động, phát hành cổ phiếu để chuyển đổi trái phiếu), tổ chức đăng ký niêm yết phải </w:t>
      </w:r>
      <w:r w:rsidRPr="0044325F">
        <w:rPr>
          <w:highlight w:val="magenta"/>
        </w:rPr>
        <w:t>bổ sung báo cáo vốn chủ sở hữu đã được kiểm toán</w:t>
      </w:r>
      <w:r w:rsidRPr="00BB6065">
        <w:t xml:space="preserve"> bởi tổ chức kiểm toán được chấp thuận hoặc </w:t>
      </w:r>
      <w:r w:rsidRPr="004C3D5A">
        <w:rPr>
          <w:highlight w:val="yellow"/>
        </w:rPr>
        <w:t>báo cáo tài chính đã được kiểm toán bởi tổ chức kiểm toán được chấp thuận</w:t>
      </w:r>
      <w:r w:rsidRPr="00BB6065">
        <w:t>.</w:t>
      </w:r>
    </w:p>
    <w:p w14:paraId="7A72EFE9" w14:textId="77777777" w:rsidR="00BB6065" w:rsidRPr="00BB6065" w:rsidRDefault="00BB6065" w:rsidP="00B400C3">
      <w:r w:rsidRPr="00BB6065">
        <w:t>2. Báo cáo tổng hợp thông tin tài chính theo quy ước phải được đảm bảo bởi tổ chức kiểm toán được chấp thuận với ý kiến chấp nhận toàn phần.</w:t>
      </w:r>
    </w:p>
    <w:p w14:paraId="266AC8F0" w14:textId="77777777" w:rsidR="00BB6065" w:rsidRPr="00BB6065" w:rsidRDefault="00BB6065" w:rsidP="00B400C3">
      <w:r w:rsidRPr="00BB6065">
        <w:rPr>
          <w:highlight w:val="yellow"/>
        </w:rPr>
        <w:lastRenderedPageBreak/>
        <w:t>3. Tỷ lệ lợi nhuận sau thuế trên vốn chủ sở hữu (ROE) được tính bằng tỷ lệ phần trăm giữa lợi nhuận sau thuế so với vốn chủ sở hữu bình quân trong năm của doanh nghiệp, trong đó</w:t>
      </w:r>
      <w:r w:rsidRPr="00BB6065">
        <w:t>:</w:t>
      </w:r>
    </w:p>
    <w:p w14:paraId="69AB6C70" w14:textId="77777777" w:rsidR="00BB6065" w:rsidRPr="00BB6065" w:rsidRDefault="00BB6065" w:rsidP="00B400C3">
      <w:r w:rsidRPr="00BB6065">
        <w:t>a) Trường hợp tổ chức đăng ký niêm yết là công ty mẹ, ROE được xác định căn cứ vào báo cáo tài chính hợp nhất, trong đó chỉ tiêu lợi nhuận sau thuế là lợi nhuận sau thuế của cổ đông công ty mẹ và vốn chủ sở hữu được xác định sau khi đã loại trừ lợi ích của cổ đông không kiểm soát. Trường hợp tổ chức đăng ký niêm yết là đơn vị kế toán cấp trên có các đơn vị trực thuộc không có tư cách pháp nhân, chỉ tiêu lợi nhuận sau thuế của tổ chức đăng ký niêm yết được xác định tại báo cáo tài chính tổng hợp;</w:t>
      </w:r>
    </w:p>
    <w:p w14:paraId="706BE8F0" w14:textId="77777777" w:rsidR="00BB6065" w:rsidRPr="00BB6065" w:rsidRDefault="00BB6065" w:rsidP="00B400C3">
      <w:r w:rsidRPr="00BB6065">
        <w:t>b) Trường hợp trong năm có hoạt động chuyển đổi loại hình doanh nghiệp, hợp nhất, sáp nhập, tách công ty, chỉ tiêu lợi nhuận sau thuế là tổng lợi nhuận sau thuế của các giai đoạn trong năm liền trước năm đăng ký niêm yết được xác định tại báo cáo tài chính kiểm toán trong từng giai đoạn hoạt động, chỉ tiêu vốn chủ sở hữu được tính bình quân vốn chủ sở hữu đầu kỳ, vốn chủ sở hữu cuối kỳ của các giai đoạn hoạt động;</w:t>
      </w:r>
    </w:p>
    <w:p w14:paraId="76D440BC" w14:textId="77777777" w:rsidR="00BB6065" w:rsidRPr="00BB6065" w:rsidRDefault="00BB6065" w:rsidP="00B400C3">
      <w:r w:rsidRPr="00BB6065">
        <w:t>c) Trường hợp tổ chức đăng ký niêm yết là công ty đại chúng hình thành sau hợp nhất, sáp nhập, chia, tách và các trường hợp cơ cấu lại khác, tỷ lệ ROE dương được xác định dựa trên lợi nhuận sau thuế dương và vốn chủ sở hữu bình quân dương;</w:t>
      </w:r>
    </w:p>
    <w:p w14:paraId="4D1D7B5A" w14:textId="241B5D3A" w:rsidR="00BB6065" w:rsidRPr="00BB6065" w:rsidRDefault="00BB6065" w:rsidP="00B400C3">
      <w:pPr>
        <w:rPr>
          <w:rFonts w:eastAsia="Times New Roman"/>
          <w:b/>
        </w:rPr>
      </w:pPr>
      <w:r w:rsidRPr="00BB6065">
        <w:t>d) Vốn chủ sở hữu bình quân là bình quân vốn chủ sở hữu đầu kỳ và cuối kỳ, không bao gồm nguồn kinh phí và quỹ khác được xác định trên cơ sở báo cáo tài chính đã được kiểm toán theo quy định tại khoản 1 Điều này</w:t>
      </w:r>
      <w:r>
        <w:t>.</w:t>
      </w:r>
    </w:p>
    <w:p w14:paraId="7217A2AE" w14:textId="77777777" w:rsidR="00BB6065" w:rsidRDefault="00BB6065" w:rsidP="00B400C3">
      <w:pPr>
        <w:pStyle w:val="ListParagraph"/>
      </w:pPr>
    </w:p>
    <w:p w14:paraId="1210CC6E" w14:textId="3F02D6E5" w:rsidR="003138E0" w:rsidRPr="00877F06" w:rsidRDefault="003138E0" w:rsidP="00B400C3">
      <w:pPr>
        <w:pStyle w:val="Heading2"/>
        <w:rPr>
          <w:rFonts w:eastAsia="Times New Roman"/>
        </w:rPr>
      </w:pPr>
      <w:bookmarkStart w:id="15" w:name="_Toc204931370"/>
      <w:r w:rsidRPr="00877F06">
        <w:rPr>
          <w:rFonts w:eastAsia="Times New Roman"/>
        </w:rPr>
        <w:t>Khoản 1 Điều 109</w:t>
      </w:r>
      <w:r w:rsidR="00877F06">
        <w:rPr>
          <w:rFonts w:eastAsia="Times New Roman"/>
        </w:rPr>
        <w:t xml:space="preserve">: </w:t>
      </w:r>
      <w:r w:rsidR="00877F06" w:rsidRPr="00877F06">
        <w:rPr>
          <w:rFonts w:eastAsia="Times New Roman"/>
        </w:rPr>
        <w:t>Điều kiện niêm yết cổ phiếu</w:t>
      </w:r>
      <w:r w:rsidR="00877F06">
        <w:rPr>
          <w:rFonts w:eastAsia="Times New Roman"/>
        </w:rPr>
        <w:t xml:space="preserve"> -</w:t>
      </w:r>
      <w:r w:rsidRPr="00877F06">
        <w:rPr>
          <w:rFonts w:eastAsia="Times New Roman"/>
        </w:rPr>
        <w:t xml:space="preserve"> Nghị định 155/2020/NĐ-CP</w:t>
      </w:r>
      <w:bookmarkEnd w:id="15"/>
    </w:p>
    <w:p w14:paraId="297F43CC" w14:textId="77777777" w:rsidR="003138E0" w:rsidRPr="0013504D" w:rsidRDefault="003138E0" w:rsidP="00B400C3">
      <w:r w:rsidRPr="0013504D">
        <w:t>“Điều 109. Điều kiện niêm yết cổ phiếu</w:t>
      </w:r>
    </w:p>
    <w:p w14:paraId="1258A68E" w14:textId="77777777" w:rsidR="003138E0" w:rsidRPr="0013504D" w:rsidRDefault="003138E0" w:rsidP="00B400C3">
      <w:r w:rsidRPr="0013504D">
        <w:t>1. Điều kiện niêm yết cổ phiếu</w:t>
      </w:r>
    </w:p>
    <w:p w14:paraId="6DFA46F6" w14:textId="77777777" w:rsidR="003138E0" w:rsidRPr="0013504D" w:rsidRDefault="003138E0" w:rsidP="00B400C3">
      <w:r w:rsidRPr="0013504D">
        <w:t xml:space="preserve">a) Là công ty cổ phần có vốn điều lệ đã góp tại thời điểm đăng ký niêm yết </w:t>
      </w:r>
      <w:r w:rsidRPr="0013504D">
        <w:rPr>
          <w:u w:val="single"/>
        </w:rPr>
        <w:t>từ 30 tỷ đồng trở lên căn cứ trên báo cáo tài chính gần nhất được kiểm toán</w:t>
      </w:r>
      <w:r w:rsidRPr="0013504D">
        <w:t xml:space="preserve">, đồng thời giá trị vốn hóa đạt tối thiểu </w:t>
      </w:r>
      <w:r w:rsidRPr="0013504D">
        <w:rPr>
          <w:u w:val="single"/>
        </w:rPr>
        <w:t>30 tỷ đồng tính theo bình quân gia quyền</w:t>
      </w:r>
      <w:r w:rsidRPr="0013504D">
        <w:t xml:space="preserve"> giá thanh toán cổ phiếu trong </w:t>
      </w:r>
      <w:r w:rsidRPr="00735516">
        <w:rPr>
          <w:highlight w:val="yellow"/>
        </w:rPr>
        <w:t>đợt chào bán ra công chúng gần nhất</w:t>
      </w:r>
      <w:r w:rsidRPr="0013504D">
        <w:t xml:space="preserve"> theo quy định của Nghị định này hoặc giá tham chiếu cổ phiếu giao dịch trên hệ thống giao dịch Upcom trung bình 30 phiên gần nhất trước thời điểm nộp hồ sơ đăng ký niêm yết hoặc bình quân giá quyền giá thanh toán trong đợt bán cổ phần lần đầu của doanh nghiệp cổ phần hóa;</w:t>
      </w:r>
    </w:p>
    <w:p w14:paraId="3581401B" w14:textId="77777777" w:rsidR="003138E0" w:rsidRPr="0013504D" w:rsidRDefault="003138E0" w:rsidP="00B400C3">
      <w:r w:rsidRPr="0013504D">
        <w:t>b) Đã được Đại hội đồng cổ đông thông qua việc niêm yết; đã giao dịch trên hệ thống giao dịch Upcom tối thiểu 02 năm, trừ trường hợp tổ chức đăng ký niêm yết đã chào bán cổ phiếu ra công chúng, doanh nghiệp cổ phần hóa;</w:t>
      </w:r>
    </w:p>
    <w:p w14:paraId="3A8525A6" w14:textId="77777777" w:rsidR="003138E0" w:rsidRPr="0013504D" w:rsidRDefault="003138E0" w:rsidP="00B400C3">
      <w:r w:rsidRPr="0013504D">
        <w:t xml:space="preserve">c) Tỷ lệ lợi nhuận sau thuế trên vốn chủ sở hữu </w:t>
      </w:r>
      <w:r w:rsidRPr="0013504D">
        <w:rPr>
          <w:u w:val="single"/>
        </w:rPr>
        <w:t>(ROE)</w:t>
      </w:r>
      <w:r w:rsidRPr="0013504D">
        <w:t xml:space="preserve"> năm liền trước năm đăng ký niêm yết </w:t>
      </w:r>
      <w:r w:rsidRPr="0013504D">
        <w:rPr>
          <w:u w:val="single"/>
        </w:rPr>
        <w:t>tối thiểu là 5%</w:t>
      </w:r>
      <w:r w:rsidRPr="0013504D">
        <w:t xml:space="preserve"> và hoạt động kinh doanh của 02 năm liền trước năm đăng ký niêm yết phải có lãi; không có các khoản </w:t>
      </w:r>
      <w:r w:rsidRPr="004C3D5A">
        <w:rPr>
          <w:u w:val="single"/>
        </w:rPr>
        <w:t xml:space="preserve">nợ phải trả quá hạn trên 01 </w:t>
      </w:r>
      <w:r w:rsidRPr="0013504D">
        <w:t>năm tính đến thời điểm đăng ký niêm yết; không có lỗ lũy kế căn cứ trên báo cáo tài chính năm gần nhất được kiểm toán hoặc báo cáo tài chính bán niên được soát xét trong trường hợp đăng ký niêm yết sau ngày kết thúc của kỳ lập báo cáo tài chính bán niên;</w:t>
      </w:r>
    </w:p>
    <w:p w14:paraId="210222FB" w14:textId="77777777" w:rsidR="003138E0" w:rsidRPr="0013504D" w:rsidRDefault="003138E0" w:rsidP="00B400C3">
      <w:r w:rsidRPr="0013504D">
        <w:t xml:space="preserve">d) Trừ trường hợp doanh nghiệp cổ phần hóa, tổ chức đăng ký niêm yết phải có tối thiểu </w:t>
      </w:r>
      <w:r w:rsidRPr="0013504D">
        <w:rPr>
          <w:u w:val="single"/>
        </w:rPr>
        <w:t>15% số cổ phiếu có quyền biểu quyết do ít nhất 100 cổ đông không phải cổ đông lớn nắm giữ</w:t>
      </w:r>
      <w:r w:rsidRPr="0013504D">
        <w:t>; trường hợp vốn điều lệ của tổ chức đăng ký niêm yết từ 1.000 tỷ đồng trở lên, tỷ lệ tối thiểu là 10% số cổ phiếu có quyền biểu quyết;</w:t>
      </w:r>
    </w:p>
    <w:p w14:paraId="6A04AA35" w14:textId="77777777" w:rsidR="003138E0" w:rsidRPr="0013504D" w:rsidRDefault="003138E0" w:rsidP="00B400C3">
      <w:r w:rsidRPr="0013504D">
        <w:t>đ) Cổ đông là cá nhân, tổ chức có đại diện sở hữu là Chủ tịch Hội đồng quản trị, thành viên Hội đồng quản trị, Trưởng Ban kiểm soát và thành viên Ban Kiểm soát (Kiểm soát viên), Tổng giám đốc (Giám đốc), Phó Tổng giám đốc (Phó Giám đốc), Kế toán trưởng, Giám đốc tài chính và các chức danh quản lý tương đương do Đại hội đồng cổ đông bầu hoặc Hội đồng quản trị bổ nhiệm và cổ đông lớn là người có liên quan của các đối tượng trên phải cam kết tiếp tục nắm giữ 100% số cổ phiếu do mình sở hữu trong thời gian 06 tháng kể từ ngày giao dịch đầu tiên của cổ phiếu trên Sở giao dịch chứng khoán và 50% số cổ phiếu này trong thời gian 06 tháng tiếp theo, không tính số cổ phiếu thuộc sở hữu nhà nước do các cá nhân trên đại diện nắm giữ;</w:t>
      </w:r>
    </w:p>
    <w:p w14:paraId="5002A7D7" w14:textId="77777777" w:rsidR="003138E0" w:rsidRPr="0013504D" w:rsidRDefault="003138E0" w:rsidP="00B400C3">
      <w:r w:rsidRPr="0013504D">
        <w:t xml:space="preserve">e) Công ty, người đại diện theo pháp luật của công ty không bị xử lý vi phạm trong thời hạn 02 </w:t>
      </w:r>
      <w:r w:rsidRPr="0013504D">
        <w:lastRenderedPageBreak/>
        <w:t>năm tính đến thời điểm đăng ký niêm yết do thực hiện hành vi bị nghiêm cấm trong hoạt động về chứng khoán và thị trường chứng khoán quy định tại </w:t>
      </w:r>
      <w:bookmarkStart w:id="16" w:name="dc_72"/>
      <w:r w:rsidRPr="0013504D">
        <w:t>Điều 12 Luật Chứng khoán</w:t>
      </w:r>
      <w:bookmarkEnd w:id="16"/>
      <w:r w:rsidRPr="0013504D">
        <w:t>;</w:t>
      </w:r>
    </w:p>
    <w:p w14:paraId="7D6B6125" w14:textId="33F88A3B" w:rsidR="00C506B6" w:rsidRDefault="003138E0" w:rsidP="00B400C3">
      <w:r w:rsidRPr="0013504D">
        <w:t>g) Có công ty chứng khoán tư vấn hồ sơ đăng ký niêm yết, trừ trường hợp tổ chức đăng ký niêm yết là công ty chứng khoán.”</w:t>
      </w:r>
    </w:p>
    <w:p w14:paraId="3152A700" w14:textId="77777777" w:rsidR="009A5A61" w:rsidRDefault="009A5A61" w:rsidP="00B400C3"/>
    <w:p w14:paraId="5026ABC7" w14:textId="44FDED0F" w:rsidR="009A5A61" w:rsidRPr="00877F06" w:rsidRDefault="009A5A61" w:rsidP="00B400C3">
      <w:pPr>
        <w:pStyle w:val="Heading2"/>
      </w:pPr>
      <w:bookmarkStart w:id="17" w:name="dieu_110"/>
      <w:bookmarkStart w:id="18" w:name="_Toc204931371"/>
      <w:r w:rsidRPr="00D16ED9">
        <w:t>Điều 110</w:t>
      </w:r>
      <w:r w:rsidR="00877F06">
        <w:t>:</w:t>
      </w:r>
      <w:r w:rsidRPr="00D16ED9">
        <w:t xml:space="preserve"> Hồ sơ đăng ký niêm yết cổ phiếu, chứng chỉ quỹ</w:t>
      </w:r>
      <w:bookmarkEnd w:id="17"/>
      <w:r w:rsidR="00877F06">
        <w:t xml:space="preserve"> - Nghị định 155/2020/NĐ-CP</w:t>
      </w:r>
      <w:bookmarkEnd w:id="18"/>
    </w:p>
    <w:p w14:paraId="7698C37C" w14:textId="77777777" w:rsidR="009A5A61" w:rsidRPr="00D16ED9" w:rsidRDefault="009A5A61" w:rsidP="00B400C3">
      <w:r w:rsidRPr="00F3198E">
        <w:rPr>
          <w:highlight w:val="yellow"/>
        </w:rPr>
        <w:t>1. Hồ sơ đăng ký niêm yết cổ phiếu của công ty chào bán cổ phiếu ra công chúng, doanh nghiệp cổ phần hóa bao gồm:</w:t>
      </w:r>
    </w:p>
    <w:p w14:paraId="5D907637" w14:textId="77777777" w:rsidR="009A5A61" w:rsidRPr="00D16ED9" w:rsidRDefault="009A5A61" w:rsidP="00B400C3">
      <w:r w:rsidRPr="00D16ED9">
        <w:t>a) Giấy đăng ký niêm yết cổ phiếu theo Mẫu số 28 Phụ lục ban hành kèm theo Nghị định này;</w:t>
      </w:r>
    </w:p>
    <w:p w14:paraId="0A13F3BA" w14:textId="77777777" w:rsidR="009A5A61" w:rsidRPr="00D16ED9" w:rsidRDefault="009A5A61" w:rsidP="00B400C3">
      <w:r w:rsidRPr="00D16ED9">
        <w:t>b) Bản cáo bạch niêm yết theo Mẫu số 29 Phụ lục ban hành kèm theo Nghị định này; Giấy chứng nhận đăng ký chào bán của Ủy ban Chứng khoán Nhà nước, báo cáo kết quả chào bán chứng khoán ra công chúng của tổ chức đăng ký niêm yết hoặc quyết định phê duyệt của cơ quan nhà nước có thẩm quyền về Đề án cổ phần hóa (trong trường hợp hồ sơ đăng ký niêm yết cổ phiếu của doanh nghiệp cổ phần hóa); Quyết định của Đại hội đồng cổ đông thông qua việc niêm yết cổ phiếu;</w:t>
      </w:r>
    </w:p>
    <w:p w14:paraId="3A79CE95" w14:textId="77777777" w:rsidR="009A5A61" w:rsidRPr="00D16ED9" w:rsidRDefault="009A5A61" w:rsidP="00B400C3">
      <w:r w:rsidRPr="00D16ED9">
        <w:t>c) Sổ đăng ký cổ đông của tổ chức đăng ký niêm yết được lập trong thời hạn 01 tháng trước thời điểm nộp hồ sơ đăng ký niêm yết; kèm theo danh sách cổ đông lớn, cổ đông chiến lược, người nội bộ và người có liên quan của người nội bộ (số lượng, tỷ lệ nắm giữ, thời gian bị hạn chế chuyển nhượng (nếu có));</w:t>
      </w:r>
    </w:p>
    <w:p w14:paraId="6DF703D1" w14:textId="77777777" w:rsidR="009A5A61" w:rsidRPr="00D16ED9" w:rsidRDefault="009A5A61" w:rsidP="00B400C3">
      <w:r w:rsidRPr="00D16ED9">
        <w:t>d) Cam kết của cổ đông là cá nhân, tổ chức có đại diện sở hữu là Chủ tịch Hội đồng quản trị, thành viên Hội đồng quản trị, Trưởng Ban kiểm soát và thành viên Ban Kiểm soát (Kiểm soát viên), Tổng giám đốc (Giám đốc), Phó Tổng giám đốc (Phó Giám đốc), Kế toán trưởng, Giám đốc tài chính và các chức danh quản lý tương đương do Đại hội đồng cổ đông bầu hoặc Hội đồng quản trị bổ nhiệm và cam kết của cổ đông lớn là người có liên quan của các đối tượng trên về việc nắm giữ 100% số cổ phiếu do mình sở hữu trong thời gian 06 tháng kể từ ngày giao dịch đầu tiên của cổ phiếu trên Sở giao dịch chứng khoán và 50% số cổ phiếu này trong thời gian 06 tháng tiếp theo;</w:t>
      </w:r>
    </w:p>
    <w:p w14:paraId="385A5306" w14:textId="77777777" w:rsidR="009A5A61" w:rsidRPr="00D16ED9" w:rsidRDefault="009A5A61" w:rsidP="00B400C3">
      <w:r w:rsidRPr="00D16ED9">
        <w:t>đ) Hợp đồng tư vấn niêm yết, trừ trường hợp tổ chức đăng ký niêm yết là công ty chứng khoán;</w:t>
      </w:r>
    </w:p>
    <w:p w14:paraId="7C2FEECF" w14:textId="77777777" w:rsidR="009A5A61" w:rsidRPr="00D16ED9" w:rsidRDefault="009A5A61" w:rsidP="00B400C3">
      <w:r w:rsidRPr="00D16ED9">
        <w:t>e) Giấy chứng nhận của Tổng công ty lưu ký và bù trừ chứng khoán Việt Nam về việc cổ phiếu của tổ chức đăng ký niêm yết đã đăng ký chứng khoán tập trung;</w:t>
      </w:r>
    </w:p>
    <w:p w14:paraId="55E96F0A" w14:textId="77777777" w:rsidR="009A5A61" w:rsidRPr="00D16ED9" w:rsidRDefault="009A5A61" w:rsidP="00B400C3">
      <w:r w:rsidRPr="00D16ED9">
        <w:t>g) Giấy chứng nhận đăng ký doanh nghiệp, Giấy phép thành lập và hoạt động hoặc giấy tờ pháp lý có giá trị tương đương;</w:t>
      </w:r>
    </w:p>
    <w:p w14:paraId="7755A593" w14:textId="77777777" w:rsidR="009A5A61" w:rsidRPr="00D16ED9" w:rsidRDefault="009A5A61" w:rsidP="00B400C3">
      <w:r w:rsidRPr="00D16ED9">
        <w:t>h) Báo cáo tài chính trong 02 năm liền trước năm đăng ký niêm yết của tổ chức đăng ký niêm yết theo quy định tại khoản 1 Điều 107 Nghị định này.</w:t>
      </w:r>
    </w:p>
    <w:p w14:paraId="2BBDFB87" w14:textId="77777777" w:rsidR="009A5A61" w:rsidRPr="00D16ED9" w:rsidRDefault="009A5A61" w:rsidP="00B400C3">
      <w:r w:rsidRPr="00F3198E">
        <w:rPr>
          <w:highlight w:val="yellow"/>
        </w:rPr>
        <w:t>2. Hồ sơ đăng ký niêm yết cổ phiếu của công ty đã giao dịch trên hệ thống giao dịch Upcom tối thiểu 02 năm, bao gồm:</w:t>
      </w:r>
    </w:p>
    <w:p w14:paraId="32673F16" w14:textId="3477DE3C" w:rsidR="009A5A61" w:rsidRDefault="009A5A61" w:rsidP="00B400C3">
      <w:r w:rsidRPr="00D16ED9">
        <w:t xml:space="preserve">a) Tài liệu quy định tại các điểm a, c, d, đ, g, h khoản 1 Điều này; </w:t>
      </w:r>
    </w:p>
    <w:p w14:paraId="7595819B" w14:textId="49472327" w:rsidR="0096626C" w:rsidRPr="0096626C" w:rsidRDefault="0096626C" w:rsidP="00B400C3">
      <w:r w:rsidRPr="0096626C">
        <w:t>a) Giấy đăng ký niêm yết cổ phiếu theo Mẫu số 28 Phụ lục ban hành kèm theo Nghị định này</w:t>
      </w:r>
    </w:p>
    <w:p w14:paraId="491C5CB8" w14:textId="699FC746" w:rsidR="0096626C" w:rsidRPr="0096626C" w:rsidRDefault="0096626C" w:rsidP="00B400C3">
      <w:r w:rsidRPr="0096626C">
        <w:t>c) Sổ đăng ký cổ đông của tổ chức đăng ký niêm yết được lập trong thời hạn 01 tháng trước thời điểm nộp hồ sơ đăng ký niêm yết; kèm theo danh sách cổ đông lớn, cổ đông chiến lược, người nội bộ và người có liên quan của người nội bộ (số lượng, tỷ lệ nắm giữ, thời gian bị hạn chế chuyển nhượng (nếu có))</w:t>
      </w:r>
    </w:p>
    <w:p w14:paraId="48E80B12" w14:textId="77777777" w:rsidR="0096626C" w:rsidRPr="0096626C" w:rsidRDefault="0096626C" w:rsidP="00B400C3">
      <w:r w:rsidRPr="0096626C">
        <w:t>d) Cam kết của cổ đông là cá nhân, tổ chức có đại diện sở hữu là Chủ tịch Hội đồng quản trị, thành viên Hội đồng quản trị, Trưởng Ban kiểm soát và thành viên Ban Kiểm soát (Kiểm soát viên), Tổng giám đốc (Giám đốc), Phó Tổng giám đốc (Phó Giám đốc), Kế toán trưởng, Giám đốc tài chính và các chức danh quản lý tương đương do Đại hội đồng cổ đông bầu hoặc Hội đồng quản trị bổ nhiệm và cam kết của cổ đông lớn là người có liên quan của các đối tượng trên về việc nắm giữ 100% số cổ phiếu do mình sở hữu trong thời gian 06 tháng kể từ ngày giao dịch đầu tiên của cổ phiếu trên Sở giao dịch chứng khoán và 50% số cổ phiếu này trong thời gian 06 tháng tiếp theo;</w:t>
      </w:r>
    </w:p>
    <w:p w14:paraId="31ACAFFB" w14:textId="0F354D41" w:rsidR="0096626C" w:rsidRPr="0096626C" w:rsidRDefault="0096626C" w:rsidP="00B400C3">
      <w:r w:rsidRPr="0096626C">
        <w:t>đ) Hợp đồng tư vấn niêm yết, trừ trường hợp tổ chức đăng ký niêm yết là công ty chứng khoán</w:t>
      </w:r>
    </w:p>
    <w:p w14:paraId="03EC4ED3" w14:textId="77777777" w:rsidR="0096626C" w:rsidRPr="0096626C" w:rsidRDefault="0096626C" w:rsidP="00B400C3">
      <w:r w:rsidRPr="0096626C">
        <w:t xml:space="preserve">g) Giấy chứng nhận đăng ký doanh nghiệp, Giấy phép thành lập và hoạt động hoặc giấy tờ pháp lý </w:t>
      </w:r>
      <w:r w:rsidRPr="0096626C">
        <w:lastRenderedPageBreak/>
        <w:t>có giá trị tương đương;</w:t>
      </w:r>
    </w:p>
    <w:p w14:paraId="0AE164FF" w14:textId="1B98B35F" w:rsidR="0096626C" w:rsidRPr="0096626C" w:rsidRDefault="0096626C" w:rsidP="00B400C3">
      <w:r w:rsidRPr="0096626C">
        <w:t>h) Báo cáo tài chính trong 02 năm liền trước năm đăng ký niêm yết của tổ chức đăng ký niêm yết theo quy định tại khoản 1 Điều 107 Nghị định này.</w:t>
      </w:r>
    </w:p>
    <w:p w14:paraId="3DEC0F0D" w14:textId="77777777" w:rsidR="009A5A61" w:rsidRPr="00D16ED9" w:rsidRDefault="009A5A61" w:rsidP="00B400C3">
      <w:r w:rsidRPr="00D16ED9">
        <w:t>b) Quyết định của Đại hội đồng cổ đông thông qua việc niêm yết cổ phiếu;</w:t>
      </w:r>
    </w:p>
    <w:p w14:paraId="2C41602E" w14:textId="3F4A0BE0" w:rsidR="009A5A61" w:rsidRPr="009A5A61" w:rsidRDefault="009A5A61" w:rsidP="00B400C3">
      <w:pPr>
        <w:rPr>
          <w:rFonts w:eastAsia="Times New Roman"/>
          <w:iCs/>
        </w:rPr>
      </w:pPr>
      <w:r w:rsidRPr="00D16ED9">
        <w:t>c) Bản cáo bạch niêm yết theo Mẫu số 29 Phụ lục ban hành kèm theo Nghị định này</w:t>
      </w:r>
      <w:r>
        <w:t>.</w:t>
      </w:r>
    </w:p>
    <w:p w14:paraId="753061E0" w14:textId="77777777" w:rsidR="008D4915" w:rsidRDefault="008D4915" w:rsidP="00B400C3"/>
    <w:p w14:paraId="2C88FF8B" w14:textId="7415D5D5" w:rsidR="008D4915" w:rsidRPr="008D4915" w:rsidRDefault="008D4915" w:rsidP="00B400C3">
      <w:pPr>
        <w:pStyle w:val="Heading2"/>
        <w:rPr>
          <w:rFonts w:eastAsia="Times New Roman"/>
        </w:rPr>
      </w:pPr>
      <w:bookmarkStart w:id="19" w:name="_Toc204931372"/>
      <w:r w:rsidRPr="008D4915">
        <w:rPr>
          <w:rFonts w:eastAsia="Times New Roman"/>
        </w:rPr>
        <w:t>Điều 111. Thủ tục đăng ký niêm yết</w:t>
      </w:r>
      <w:bookmarkEnd w:id="19"/>
    </w:p>
    <w:p w14:paraId="514DF550" w14:textId="2EA110FF" w:rsidR="008D4915" w:rsidRPr="008D4915" w:rsidRDefault="008D4915" w:rsidP="00B400C3">
      <w:r w:rsidRPr="008D4915">
        <w:t>1. Trong thời hạn 30 ngày kể từ ngày nhận được hồ sơ đăng ký niêm yết đầy đủ và hợp lệ, Sở giao dịch chứng khoán có quyết định chấp thuận niêm yết; trường hợp từ chối phải trả lời bằng văn bản và nêu rõ lý do.</w:t>
      </w:r>
    </w:p>
    <w:p w14:paraId="0B97613A" w14:textId="77777777" w:rsidR="008478CD" w:rsidRDefault="008D4915" w:rsidP="00B400C3">
      <w:r w:rsidRPr="008D4915">
        <w:t xml:space="preserve">2. Trong thời hạn 90 ngày kể từ ngày được chấp thuận niêm yết, tổ chức đăng ký niêm yết phải đưa chứng khoán vào giao dịch </w:t>
      </w:r>
    </w:p>
    <w:p w14:paraId="5AE3C1C5" w14:textId="77777777" w:rsidR="008478CD" w:rsidRDefault="008478CD" w:rsidP="00B400C3"/>
    <w:p w14:paraId="00D61E5B" w14:textId="63FF02D8" w:rsidR="008478CD" w:rsidRPr="008478CD" w:rsidRDefault="008478CD" w:rsidP="00B400C3">
      <w:pPr>
        <w:pStyle w:val="Heading2"/>
        <w:rPr>
          <w:rFonts w:eastAsia="Times New Roman"/>
        </w:rPr>
      </w:pPr>
      <w:bookmarkStart w:id="20" w:name="_Toc204931373"/>
      <w:r w:rsidRPr="008478CD">
        <w:rPr>
          <w:rFonts w:eastAsia="Times New Roman"/>
        </w:rPr>
        <w:t>Điều 6. Thủ tục đăng ký niêm yết và chính thức giao dịch</w:t>
      </w:r>
      <w:r>
        <w:rPr>
          <w:rFonts w:eastAsia="Times New Roman"/>
        </w:rPr>
        <w:t xml:space="preserve"> - 17/QĐ-HĐTV</w:t>
      </w:r>
      <w:bookmarkEnd w:id="20"/>
    </w:p>
    <w:p w14:paraId="7A610973" w14:textId="7DB561C7" w:rsidR="008478CD" w:rsidRPr="008478CD" w:rsidRDefault="008478CD" w:rsidP="00B400C3">
      <w:r w:rsidRPr="008478CD">
        <w:t>1. Việc nộp, bổ sung hồ sơ, tài liệu báo cáo cho SGDCK thực hiện theo quy định tại Điều 6 Nghị định số 155/2020/NĐ-CP, đồng thời gửi bản dữ liệu điện tử hồ sơ đăng ký niêm yết cho SGDCK.</w:t>
      </w:r>
    </w:p>
    <w:p w14:paraId="6092F82D" w14:textId="33346FE5" w:rsidR="008478CD" w:rsidRPr="008478CD" w:rsidRDefault="008478CD" w:rsidP="00B400C3">
      <w:r w:rsidRPr="008478CD">
        <w:t>2. Thủ tục đăng ký niêm yết cổ phiếu, trái phiếu doanh nghiệp, chứng chỉ quỹ thực hiện theo quy định tại Điều 111 Nghị định số 155/2020/NĐ-CP, trong đó:</w:t>
      </w:r>
    </w:p>
    <w:p w14:paraId="36B7ADAE" w14:textId="66D27737" w:rsidR="008478CD" w:rsidRPr="008478CD" w:rsidRDefault="008478CD" w:rsidP="00B400C3">
      <w:r w:rsidRPr="008478CD">
        <w:t>a) Trường hợp hồ sơ chưa đầy đủ và hợp lệ, SGDCK có công văn gửi tổ chức đăng ký niêm yết nêu rõ nội dung yêu cầu sửa đổi, bổ sung trong thời hạn 07 ngày làm việc kể từ ngày nhận hồ sơ đăng ký niêm yết theo quy định tại khoản 5 Điều 6 Nghị định số 155/2020/NĐ-CP.</w:t>
      </w:r>
    </w:p>
    <w:p w14:paraId="604E6084" w14:textId="52C83CD4" w:rsidR="008478CD" w:rsidRPr="008478CD" w:rsidRDefault="008478CD" w:rsidP="00B400C3">
      <w:r w:rsidRPr="008478CD">
        <w:t>b) Tổ chức đăng ký niêm yết phải hoàn thiện hồ sơ đăng ký niêm yết trong thời hạn 60 ngày kể từ ngày SGDCK có văn bản yêu cầu sửa đổi, bổ sung hồ sơ theo quy định tại khoản 8 Điều 6 Nghị định số 155/2020/NĐ-CP. Quá thời hạn trên, nếu tổ chức đăng ký niêm yết không hoàn thiện hồ sơ, SGDCK dừng việc xem xét hồ sơ đăng ký niêm yết.</w:t>
      </w:r>
    </w:p>
    <w:p w14:paraId="6B9994C8" w14:textId="450B04E9" w:rsidR="008478CD" w:rsidRPr="008478CD" w:rsidRDefault="008478CD" w:rsidP="00B400C3">
      <w:r w:rsidRPr="008478CD">
        <w:t>c) Trong thời hạn 30 ngày kể từ ngày nhận được hồ sơ đăng ký niêm yết đầy đủ và hợp lệ, SGDCK có Quyết định chấp thuận niêm yết theo quy định tại khoản 1 Điều 111 Nghị định số 155/2020/NĐ-CP. Trường hợp từ chối niêm yết, SGDCK trả lời bằng văn bản và nêu rõ lý do.</w:t>
      </w:r>
    </w:p>
    <w:p w14:paraId="22E38792" w14:textId="3C9BEE20" w:rsidR="008478CD" w:rsidRPr="008478CD" w:rsidRDefault="008478CD" w:rsidP="00B400C3">
      <w:r w:rsidRPr="008478CD">
        <w:t>d) Trong thời hạn 05 ngày làm việc kể từ ngày được cấp Quyết định chấp thuận niêm yết, tổ chức niêm yết có trách nhiệm thanh toán giá dịch vụ đăng ký niêm yết và giá dịch vụ quản lý niêm yết của năm được chấp thuận niêm yết cho SGDCK theo quy định tại Thông tư số 101/2021/TT-BTC ngày 17/11/2021 của Bộ trưởng Bộ Tài chính quy định giá dịch vụ trong lĩnh vực chứng khoán áp dụng tại Sở Giao dịch Chứng khoán và Tổng công ty Lưu ký và Bù trừ Chứng khoán Việt Nam và thực hiện công bố thông tin về việc được chấp thuận đăng ký niêm yết trên trang thông tin điện tử của tổ chức đăng ký niêm yết.</w:t>
      </w:r>
    </w:p>
    <w:p w14:paraId="36451F96" w14:textId="4225BBA1" w:rsidR="008478CD" w:rsidRPr="008478CD" w:rsidRDefault="008478CD" w:rsidP="00B400C3">
      <w:r w:rsidRPr="008478CD">
        <w:t>đ) Trong thời hạn 90 ngày kể từ ngày được chấp thuận niêm yết, tổ chức niêm yết phải đưa chứng khoán vào giao dịch theo quy định tại khoản 2 Điều 111 Nghị định số 155/2020/NĐ-CP. Trường hợp tổ chức niêm yết không đưa chứng khoán vào giao dịch trong thời hạn 90 ngày kể từ ngày được chấp thuận niêm yết, chứng khoán sẽ bị hủy bỏ niêm yết bắt buộc theo quy định tại điểm đ khoản 1 Điều 120 Nghị định số 155/2020/NĐ-CP.</w:t>
      </w:r>
    </w:p>
    <w:p w14:paraId="7FDAE1F5" w14:textId="5CFE3290" w:rsidR="00F3198E" w:rsidRDefault="008478CD" w:rsidP="00B400C3">
      <w:r w:rsidRPr="008478CD">
        <w:t xml:space="preserve">e) Tổ chức niêm yết đăng ký ngày giao dịch đầu tiên, giá tham chiếu trong ngày giao dịch đầu tiên (trừ trường hợp niêm yết trái phiếu) theo Mẫu NY-01A kèm theo Quy chế này chậm nhất là 06 ngày làm việc trước ngày giao dịch đầu tiên dự kiến. Trường hợp SGDCK đã thông báo ngày giao dịch đầu tiên, tổ chức niêm yết không được thay đổi trong vòng 03 ngày làm việc trước ngày giao dịch đầu tiên đã thông báo. </w:t>
      </w:r>
    </w:p>
    <w:p w14:paraId="73F232C1" w14:textId="21ABF5B7" w:rsidR="00F3198E" w:rsidRPr="00F3198E" w:rsidRDefault="00F3198E" w:rsidP="00B400C3">
      <w:pPr>
        <w:pStyle w:val="Heading2"/>
        <w:rPr>
          <w:rFonts w:eastAsia="Times New Roman"/>
        </w:rPr>
      </w:pPr>
      <w:bookmarkStart w:id="21" w:name="_Toc204931374"/>
      <w:r w:rsidRPr="00F3198E">
        <w:rPr>
          <w:rFonts w:eastAsia="Times New Roman"/>
        </w:rPr>
        <w:t>Điều 5. Hồ sơ đăng ký niêm yết chứng khoán</w:t>
      </w:r>
      <w:r>
        <w:rPr>
          <w:rFonts w:eastAsia="Times New Roman"/>
        </w:rPr>
        <w:t xml:space="preserve"> - 17/QĐ-HĐTV</w:t>
      </w:r>
      <w:bookmarkEnd w:id="21"/>
    </w:p>
    <w:p w14:paraId="5869336E" w14:textId="4790887F" w:rsidR="00F3198E" w:rsidRPr="00F3198E" w:rsidRDefault="00F3198E" w:rsidP="00B400C3">
      <w:r w:rsidRPr="00F3198E">
        <w:t>1. Hồ sơ đăng ký niêm yết cổ phiếu:</w:t>
      </w:r>
    </w:p>
    <w:p w14:paraId="73E7BCAA" w14:textId="7C257EAD" w:rsidR="00F3198E" w:rsidRPr="00F3198E" w:rsidRDefault="00F3198E" w:rsidP="00B400C3">
      <w:r w:rsidRPr="00F3198E">
        <w:t>a) Hồ sơ đăng ký niêm yết cổ phiếu của công ty chào bán cổ phiếu ra công chúng, doanh nghiệp cổ phần hóa thực hiện theo quy định tại khoản 1 Điều 110 Nghị định số 155/2020/NĐ-CP và Phụ lục I ban hành kèm theo Quy chế này.</w:t>
      </w:r>
    </w:p>
    <w:p w14:paraId="60DBD2E5" w14:textId="1C3DBF4B" w:rsidR="00C506B6" w:rsidRDefault="00F3198E" w:rsidP="00B400C3">
      <w:r w:rsidRPr="00F3198E">
        <w:t xml:space="preserve">b) Hồ sơ đăng ký niêm yết cổ phiếu của công ty đã giao dịch trên hệ thống giao dịch UPCoM tối </w:t>
      </w:r>
      <w:r w:rsidRPr="00F3198E">
        <w:lastRenderedPageBreak/>
        <w:t>thiểu hai (02) năm thực hiện theo quy định tại khoản 2 Điều 110 Nghị định số 155/2020/NĐ-CP và Phụ lục I ban hành kèm theo Quy chế này.</w:t>
      </w:r>
      <w:r w:rsidR="00C506B6">
        <w:br w:type="page"/>
      </w:r>
    </w:p>
    <w:p w14:paraId="6C3696BF" w14:textId="67B00D6E" w:rsidR="00C506B6" w:rsidRPr="001F3331" w:rsidRDefault="001F3331" w:rsidP="00B400C3">
      <w:pPr>
        <w:pStyle w:val="Heading1"/>
      </w:pPr>
      <w:bookmarkStart w:id="22" w:name="_Toc204931375"/>
      <w:r>
        <w:lastRenderedPageBreak/>
        <w:t>PHÂN PHỐI CỔ PHIẾU CHÀO BÁN</w:t>
      </w:r>
      <w:bookmarkEnd w:id="22"/>
    </w:p>
    <w:p w14:paraId="05420B63" w14:textId="2433649E" w:rsidR="00C506B6" w:rsidRPr="00D16ED9" w:rsidRDefault="00C506B6" w:rsidP="00B400C3">
      <w:pPr>
        <w:pStyle w:val="Heading2"/>
      </w:pPr>
      <w:bookmarkStart w:id="23" w:name="_Toc204931376"/>
      <w:r w:rsidRPr="00D16ED9">
        <w:t>Điều 26</w:t>
      </w:r>
      <w:r w:rsidR="00877F06">
        <w:t xml:space="preserve">: </w:t>
      </w:r>
      <w:r w:rsidR="00877F06" w:rsidRPr="00877F06">
        <w:t>Phân phối chứng khoán</w:t>
      </w:r>
      <w:r w:rsidR="00877F06">
        <w:t xml:space="preserve"> -</w:t>
      </w:r>
      <w:r w:rsidRPr="00D16ED9">
        <w:t xml:space="preserve"> Luật chứng khoán 2019</w:t>
      </w:r>
      <w:bookmarkEnd w:id="23"/>
      <w:r w:rsidRPr="00D16ED9">
        <w:t xml:space="preserve"> </w:t>
      </w:r>
    </w:p>
    <w:p w14:paraId="51BB7AF4" w14:textId="77777777" w:rsidR="00C506B6" w:rsidRPr="00D16ED9" w:rsidRDefault="00C506B6" w:rsidP="00B400C3">
      <w:pPr>
        <w:pStyle w:val="NormalWeb"/>
      </w:pPr>
      <w:r w:rsidRPr="00D16ED9">
        <w:rPr>
          <w:lang w:val="vi-VN"/>
        </w:rPr>
        <w:t xml:space="preserve">1. Việc phân phối chứng khoán chỉ được thực hiện sau </w:t>
      </w:r>
      <w:r w:rsidRPr="00E954B7">
        <w:rPr>
          <w:highlight w:val="yellow"/>
          <w:lang w:val="vi-VN"/>
        </w:rPr>
        <w:t>kh</w:t>
      </w:r>
      <w:r w:rsidRPr="00E954B7">
        <w:rPr>
          <w:highlight w:val="yellow"/>
        </w:rPr>
        <w:t>i </w:t>
      </w:r>
      <w:r w:rsidRPr="00E954B7">
        <w:rPr>
          <w:highlight w:val="yellow"/>
          <w:lang w:val="vi-VN"/>
        </w:rPr>
        <w:t>tổ chức phát hành bảo đảm người mua chứng khoán tiếp cận Bản cáo bạch</w:t>
      </w:r>
      <w:r w:rsidRPr="00D16ED9">
        <w:rPr>
          <w:lang w:val="vi-VN"/>
        </w:rPr>
        <w:t xml:space="preserve"> trong hồ sơ đăng ký chào bán chứng khoán ra công ch</w:t>
      </w:r>
      <w:r w:rsidRPr="00D16ED9">
        <w:t>ú</w:t>
      </w:r>
      <w:r w:rsidRPr="00D16ED9">
        <w:rPr>
          <w:lang w:val="vi-VN"/>
        </w:rPr>
        <w:t>ng được công bố tại các địa điểm ghi trong Bản thông báo phát hành.</w:t>
      </w:r>
    </w:p>
    <w:p w14:paraId="2068C001" w14:textId="77777777" w:rsidR="00C506B6" w:rsidRPr="00D16ED9" w:rsidRDefault="00C506B6" w:rsidP="00B400C3">
      <w:pPr>
        <w:pStyle w:val="NormalWeb"/>
        <w:rPr>
          <w:lang w:val="vi-VN"/>
        </w:rPr>
      </w:pPr>
      <w:r w:rsidRPr="00D16ED9">
        <w:rPr>
          <w:lang w:val="vi-VN"/>
        </w:rPr>
        <w:t>2. Tổ chức phát hành, tổ chức bảo lãnh phát hành hoặc tổ chức đại lý phải phân phối chứng khoán công bằng</w:t>
      </w:r>
      <w:r w:rsidRPr="00D16ED9">
        <w:t>, </w:t>
      </w:r>
      <w:r w:rsidRPr="00D16ED9">
        <w:rPr>
          <w:lang w:val="vi-VN"/>
        </w:rPr>
        <w:t xml:space="preserve">công khai và </w:t>
      </w:r>
      <w:r w:rsidRPr="00D16ED9">
        <w:rPr>
          <w:highlight w:val="yellow"/>
          <w:lang w:val="vi-VN"/>
        </w:rPr>
        <w:t>bảo đảm thời hạn đăng ký mua chứng khoán cho nhà đầu tư tối thiểu là 20 ngày</w:t>
      </w:r>
      <w:r w:rsidRPr="00D16ED9">
        <w:rPr>
          <w:lang w:val="vi-VN"/>
        </w:rPr>
        <w:t>; trừ trường hợp chứng khoán chào bán là chứng quyền có bảo đảm, thời hạn này phải được ghi trong Bản thông báo phát hành.</w:t>
      </w:r>
    </w:p>
    <w:p w14:paraId="6D9AA646" w14:textId="77777777" w:rsidR="00C506B6" w:rsidRPr="00D16ED9" w:rsidRDefault="00C506B6" w:rsidP="00B400C3">
      <w:pPr>
        <w:pStyle w:val="NormalWeb"/>
        <w:rPr>
          <w:lang w:val="vi-VN"/>
        </w:rPr>
      </w:pPr>
      <w:r w:rsidRPr="00D16ED9">
        <w:rPr>
          <w:lang w:val="vi-VN"/>
        </w:rPr>
        <w:t>Trường hợp số lượng chứng khoán đăng ký mua vượt quá số lượng chứng khoán được phép phát hành thì tổ chức phát hành hoặc tổ chức bảo l</w:t>
      </w:r>
      <w:r w:rsidRPr="00D16ED9">
        <w:t>ã</w:t>
      </w:r>
      <w:r w:rsidRPr="00D16ED9">
        <w:rPr>
          <w:lang w:val="vi-VN"/>
        </w:rPr>
        <w:t>nh phát hành phải phân ph</w:t>
      </w:r>
      <w:r w:rsidRPr="00D16ED9">
        <w:t>ố</w:t>
      </w:r>
      <w:r w:rsidRPr="00D16ED9">
        <w:rPr>
          <w:lang w:val="vi-VN"/>
        </w:rPr>
        <w:t>i hết s</w:t>
      </w:r>
      <w:r w:rsidRPr="00D16ED9">
        <w:t>ố </w:t>
      </w:r>
      <w:r w:rsidRPr="00D16ED9">
        <w:rPr>
          <w:lang w:val="vi-VN"/>
        </w:rPr>
        <w:t>chứng khoán được phép phát hành cho nhà đầu tư tương ứng với tỷ lệ đăng ký mua của từng nhà đầu tư.</w:t>
      </w:r>
    </w:p>
    <w:p w14:paraId="60E9C94F" w14:textId="77777777" w:rsidR="00C506B6" w:rsidRPr="00D16ED9" w:rsidRDefault="00C506B6" w:rsidP="00B400C3">
      <w:pPr>
        <w:pStyle w:val="NormalWeb"/>
      </w:pPr>
      <w:r w:rsidRPr="00D16ED9">
        <w:rPr>
          <w:lang w:val="vi-VN"/>
        </w:rPr>
        <w:t xml:space="preserve">3. </w:t>
      </w:r>
      <w:r w:rsidRPr="00D16ED9">
        <w:rPr>
          <w:highlight w:val="yellow"/>
          <w:u w:val="single"/>
          <w:lang w:val="vi-VN"/>
        </w:rPr>
        <w:t>Tiền mua chứng khoán phải được chuyển vào tài khoản phong tỏa m</w:t>
      </w:r>
      <w:r w:rsidRPr="00D16ED9">
        <w:rPr>
          <w:highlight w:val="yellow"/>
          <w:u w:val="single"/>
        </w:rPr>
        <w:t>ở </w:t>
      </w:r>
      <w:r w:rsidRPr="00D16ED9">
        <w:rPr>
          <w:highlight w:val="yellow"/>
          <w:u w:val="single"/>
          <w:lang w:val="vi-VN"/>
        </w:rPr>
        <w:t>tại ngân hàng</w:t>
      </w:r>
      <w:r w:rsidRPr="00D16ED9">
        <w:rPr>
          <w:highlight w:val="yellow"/>
          <w:lang w:val="vi-VN"/>
        </w:rPr>
        <w:t>,</w:t>
      </w:r>
      <w:r w:rsidRPr="00D16ED9">
        <w:rPr>
          <w:lang w:val="vi-VN"/>
        </w:rPr>
        <w:t xml:space="preserve"> chi nhánh ngân hàng nước ngoài cho đến kh</w:t>
      </w:r>
      <w:r w:rsidRPr="00D16ED9">
        <w:t>i</w:t>
      </w:r>
      <w:r w:rsidRPr="00D16ED9">
        <w:rPr>
          <w:lang w:val="vi-VN"/>
        </w:rPr>
        <w:t> hoàn tất đợt chào bán và báo c</w:t>
      </w:r>
      <w:r w:rsidRPr="00D16ED9">
        <w:t>á</w:t>
      </w:r>
      <w:r w:rsidRPr="00D16ED9">
        <w:rPr>
          <w:lang w:val="vi-VN"/>
        </w:rPr>
        <w:t>o Ủy ban Chứng khoán Nhà nước.</w:t>
      </w:r>
    </w:p>
    <w:p w14:paraId="03DCBB89" w14:textId="77777777" w:rsidR="00C506B6" w:rsidRPr="00D16ED9" w:rsidRDefault="00C506B6" w:rsidP="00B400C3">
      <w:pPr>
        <w:pStyle w:val="NormalWeb"/>
      </w:pPr>
      <w:r w:rsidRPr="00D16ED9">
        <w:rPr>
          <w:lang w:val="vi-VN"/>
        </w:rPr>
        <w:t xml:space="preserve">4. Tổ chức phát hành phải hoàn thành việc </w:t>
      </w:r>
      <w:r w:rsidRPr="00D16ED9">
        <w:rPr>
          <w:highlight w:val="yellow"/>
          <w:u w:val="single"/>
          <w:lang w:val="vi-VN"/>
        </w:rPr>
        <w:t>phân phối chứng khoán trong thời hạn 90 ngày</w:t>
      </w:r>
      <w:r w:rsidRPr="00D16ED9">
        <w:rPr>
          <w:lang w:val="vi-VN"/>
        </w:rPr>
        <w:t xml:space="preserve"> kể từ ngày Giấy chứng nhận đăng ký chào bán chứng khoán ra công chúng có hiệu lực. Trường hợp tổ chức phát hành không thể hoàn th</w:t>
      </w:r>
      <w:r w:rsidRPr="00D16ED9">
        <w:t>à</w:t>
      </w:r>
      <w:r w:rsidRPr="00D16ED9">
        <w:rPr>
          <w:lang w:val="vi-VN"/>
        </w:rPr>
        <w:t>nh việc phân phối chứng khoán ra công chúng trong thời hạn này, Ủy ban Chứng khoán Nhà nước xem xét gia hạn việc phân phối chứng khoán nhưng tối đa không quá 30 ngày. Trường hợp đăng ký chào bán chứng khoán cho nh</w:t>
      </w:r>
      <w:r w:rsidRPr="00D16ED9">
        <w:t>i</w:t>
      </w:r>
      <w:r w:rsidRPr="00D16ED9">
        <w:rPr>
          <w:lang w:val="vi-VN"/>
        </w:rPr>
        <w:t>ều đợt thì khoảng cách giữa đợt chào bán sau với đợt chào bán trước không quá 12 tháng.</w:t>
      </w:r>
    </w:p>
    <w:p w14:paraId="46133675" w14:textId="77777777" w:rsidR="00C506B6" w:rsidRPr="00D16ED9" w:rsidRDefault="00C506B6" w:rsidP="00B400C3">
      <w:pPr>
        <w:pStyle w:val="NormalWeb"/>
      </w:pPr>
      <w:r w:rsidRPr="00D16ED9">
        <w:rPr>
          <w:lang w:val="vi-VN"/>
        </w:rPr>
        <w:t>5. Tổ chức phát hành hoặc tổ chức bảo lãnh phát hành phải báo cáo kết quả đợt chào bán cho Ủy ban Chứng khoán Nhà nước trong thời hạn 10 ngày kể từ ngày kết th</w:t>
      </w:r>
      <w:r w:rsidRPr="00D16ED9">
        <w:t>ú</w:t>
      </w:r>
      <w:r w:rsidRPr="00D16ED9">
        <w:rPr>
          <w:lang w:val="vi-VN"/>
        </w:rPr>
        <w:t>c đợt chào bán, k</w:t>
      </w:r>
      <w:r w:rsidRPr="00D16ED9">
        <w:t>è</w:t>
      </w:r>
      <w:r w:rsidRPr="00D16ED9">
        <w:rPr>
          <w:lang w:val="vi-VN"/>
        </w:rPr>
        <w:t>m theo văn </w:t>
      </w:r>
      <w:r w:rsidRPr="00D16ED9">
        <w:t>bản </w:t>
      </w:r>
      <w:r w:rsidRPr="00D16ED9">
        <w:rPr>
          <w:lang w:val="vi-VN"/>
        </w:rPr>
        <w:t>xác nhận của ngân hàng, chi nhánh ngân hàng nước ngoài nơi mở tài khoản phong tỏa về s</w:t>
      </w:r>
      <w:r w:rsidRPr="00D16ED9">
        <w:t>ố </w:t>
      </w:r>
      <w:r w:rsidRPr="00D16ED9">
        <w:rPr>
          <w:lang w:val="vi-VN"/>
        </w:rPr>
        <w:t>tiền thu được từ đợt chào bán.</w:t>
      </w:r>
    </w:p>
    <w:p w14:paraId="6A1D0F7A" w14:textId="77777777" w:rsidR="00C506B6" w:rsidRPr="00D16ED9" w:rsidRDefault="00C506B6" w:rsidP="00B400C3">
      <w:pPr>
        <w:pStyle w:val="NormalWeb"/>
        <w:rPr>
          <w:lang w:val="vi-VN"/>
        </w:rPr>
      </w:pPr>
      <w:r w:rsidRPr="00D16ED9">
        <w:rPr>
          <w:lang w:val="vi-VN"/>
        </w:rPr>
        <w:t>6. 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14:paraId="77E7A784" w14:textId="29EE0A90" w:rsidR="00C506B6" w:rsidRPr="00D16ED9" w:rsidRDefault="00C506B6" w:rsidP="00B400C3"/>
    <w:p w14:paraId="0D1257E3" w14:textId="5A528BA6" w:rsidR="00C506B6" w:rsidRPr="00D16ED9" w:rsidRDefault="00C506B6" w:rsidP="00B400C3">
      <w:pPr>
        <w:pStyle w:val="Heading2"/>
      </w:pPr>
      <w:bookmarkStart w:id="24" w:name="_Toc204931377"/>
      <w:r w:rsidRPr="00D16ED9">
        <w:t>Điều 42</w:t>
      </w:r>
      <w:r w:rsidR="00877F06">
        <w:t xml:space="preserve">: </w:t>
      </w:r>
      <w:r w:rsidR="00877F06" w:rsidRPr="00877F06">
        <w:t>Xử lý cổ phiếu nhà đầu tư không đăng ký mua, không nộp tiền mua, số cổ phiếu lẻ</w:t>
      </w:r>
      <w:r w:rsidR="00877F06">
        <w:t xml:space="preserve"> -</w:t>
      </w:r>
      <w:r w:rsidRPr="00D16ED9">
        <w:t xml:space="preserve"> Nghị định 155/2020/NĐ-CP:</w:t>
      </w:r>
      <w:bookmarkEnd w:id="24"/>
    </w:p>
    <w:p w14:paraId="13C2465B" w14:textId="77777777" w:rsidR="00C506B6" w:rsidRPr="00D16ED9" w:rsidRDefault="00C506B6" w:rsidP="00B400C3">
      <w:r w:rsidRPr="00D16ED9">
        <w:t xml:space="preserve">“Điều 42. Xử lý cổ phiếu nhà đầu tư không đăng ký mua, không nộp tiền mua, số cổ phiếu lẻ  </w:t>
      </w:r>
    </w:p>
    <w:p w14:paraId="1F11CEF4" w14:textId="77777777" w:rsidR="00C506B6" w:rsidRPr="00D16ED9" w:rsidRDefault="00C506B6" w:rsidP="00B400C3">
      <w:r w:rsidRPr="00D16ED9">
        <w:t xml:space="preserve">1. Tổ chức phát hành thực hiện phân phối số cổ phiếu nhà đầu tư không đăng ký, không nộp tiền mua, số cổ phiếu lẻ cho một hoặc một số nhà đầu tư xác định (trừ trường hợp chào bán cho cổ đông hiện hữu tương ứng với tỷ lệ sở hữu của họ trong công ty) phải bảo đảm điều kiện chào bán, điều kiện về quyền, nghĩa vụ của nhà đầu tư không thuận lợi hơn so với điều kiện chào bán cho cổ đông hiện hữu, trừ trường hợp Đại hội đồng cổ đông có chấp thuận khác.  </w:t>
      </w:r>
    </w:p>
    <w:p w14:paraId="093D1B78" w14:textId="77777777" w:rsidR="00C506B6" w:rsidRPr="00D16ED9" w:rsidRDefault="00C506B6" w:rsidP="00B400C3">
      <w:r w:rsidRPr="00D16ED9">
        <w:t xml:space="preserve">2. Đại hội đồng cổ đông hoặc Hội đồng quản trị phải xác định tiêu chí, danh sách nhà đầu tư được mua cổ phiếu quy định tại khoản 1 Điều này. Những người có quyền lợi liên quan đến việc phân phối cổ phiếu không được tham gia biểu quyết. Số cổ phiếu này bị hạn chế chuyển nhượng trong thời hạn tối thiểu 01 năm kể từ ngày kết thúc đợt chào bán.  </w:t>
      </w:r>
    </w:p>
    <w:p w14:paraId="0853803F" w14:textId="77777777" w:rsidR="00C506B6" w:rsidRPr="00D16ED9" w:rsidRDefault="00C506B6" w:rsidP="00B400C3">
      <w:r w:rsidRPr="00D16ED9">
        <w:t xml:space="preserve">3. Việc phân phối cổ phiếu quy định tại khoản 1 Điều này cho nhà đầu tư trong các trường hợp sau phải được Đại hội đồng cổ đông thông qua:  </w:t>
      </w:r>
    </w:p>
    <w:p w14:paraId="066BA677" w14:textId="77777777" w:rsidR="00C506B6" w:rsidRPr="00D16ED9" w:rsidRDefault="00C506B6" w:rsidP="00B400C3">
      <w:r w:rsidRPr="00D16ED9">
        <w:lastRenderedPageBreak/>
        <w:t xml:space="preserve">a) Chào bán cho tổ chức, cá nhân và người có liên quan dẫn đến tỷ lệ sở hữu của các đối tượng này vượt mức sở hữu được quy định tại điểm a, b khoản 1 Điều 35 Luật Chứng khoán;  </w:t>
      </w:r>
    </w:p>
    <w:p w14:paraId="6ADDD1D5" w14:textId="77777777" w:rsidR="00C506B6" w:rsidRPr="00D16ED9" w:rsidRDefault="00C506B6" w:rsidP="00B400C3">
      <w:r w:rsidRPr="00D16ED9">
        <w:t xml:space="preserve">b) Chào bán cho tổ chức, cá nhân và người có liên quan từ 10% vốn điều lệ trở lên của tổ chức phát hành trong một đợt chào bán hoặc trong các đợt chào bán, phát hành trong 12 tháng gần nhất.  </w:t>
      </w:r>
    </w:p>
    <w:p w14:paraId="5AC7D7D5" w14:textId="77777777" w:rsidR="00C506B6" w:rsidRPr="00D16ED9" w:rsidRDefault="00C506B6" w:rsidP="00B400C3">
      <w:r w:rsidRPr="00D16ED9">
        <w:t>4. Điều kiện về hạn chế chuyển nhượng theo quy định tại khoản 2 Điều này không áp dụng đối với số cổ phiếu được tổ chức bảo lãnh phát hành mua theo cam kết tại hợp đồng bảo lãnh phát hành và trường hợp xử lý cổ phiếu lẻ.”</w:t>
      </w:r>
    </w:p>
    <w:p w14:paraId="2FD32981" w14:textId="77777777" w:rsidR="00526BE1" w:rsidRDefault="00526BE1" w:rsidP="00B400C3">
      <w:pPr>
        <w:pStyle w:val="NormalWeb"/>
      </w:pPr>
    </w:p>
    <w:p w14:paraId="2F06B040" w14:textId="2BC455EB" w:rsidR="00526BE1" w:rsidRPr="00D16ED9" w:rsidRDefault="00526BE1" w:rsidP="00B400C3">
      <w:pPr>
        <w:pStyle w:val="Heading2"/>
      </w:pPr>
      <w:bookmarkStart w:id="25" w:name="_Toc204931378"/>
      <w:r w:rsidRPr="00D16ED9">
        <w:t>Khoản 3 Điều 32 Luật Chứng khoán 2019</w:t>
      </w:r>
      <w:bookmarkEnd w:id="25"/>
    </w:p>
    <w:p w14:paraId="2EA453E7" w14:textId="77777777" w:rsidR="00526BE1" w:rsidRPr="00D16ED9" w:rsidRDefault="00526BE1" w:rsidP="00B400C3">
      <w:pPr>
        <w:pStyle w:val="NormalWeb"/>
        <w:rPr>
          <w:u w:val="single"/>
        </w:rPr>
      </w:pPr>
      <w:r w:rsidRPr="00D16ED9">
        <w:rPr>
          <w:lang w:val="vi-VN"/>
        </w:rPr>
        <w:t xml:space="preserve">“3. Trong thời hạn 15 ngày kể từ ngày nhận được hồ sơ đăng ký công ty đại chúng đầy đủ và hợp lệ của công ty cổ phần theo quy định tại điểm a khoản 1 Điều này </w:t>
      </w:r>
      <w:r w:rsidRPr="00D16ED9">
        <w:rPr>
          <w:u w:val="single"/>
          <w:lang w:val="vi-VN"/>
        </w:rPr>
        <w:t xml:space="preserve">hoặc nhận được báo cáo kết quả hoàn thành đợt chào bán của công ty cổ phần theo quy định tại điểm b khoản 1 Điều này, </w:t>
      </w:r>
      <w:r w:rsidRPr="00D16ED9">
        <w:rPr>
          <w:highlight w:val="yellow"/>
          <w:u w:val="single"/>
          <w:lang w:val="vi-VN"/>
        </w:rPr>
        <w:t>Ủy ban Chứng khoán Nhà nước có trách nhiệm xác nhận hoàn tất việc đăng ký công ty đại chúng</w:t>
      </w:r>
      <w:r w:rsidRPr="00D16ED9">
        <w:rPr>
          <w:u w:val="single"/>
          <w:lang w:val="vi-VN"/>
        </w:rPr>
        <w:t>, đồng thời công b</w:t>
      </w:r>
      <w:r w:rsidRPr="00D16ED9">
        <w:rPr>
          <w:u w:val="single"/>
        </w:rPr>
        <w:t>ố </w:t>
      </w:r>
      <w:r w:rsidRPr="00D16ED9">
        <w:rPr>
          <w:u w:val="single"/>
          <w:lang w:val="vi-VN"/>
        </w:rPr>
        <w:t>tên, nội dung kinh doanh và các thông tin khác liên quan đến công </w:t>
      </w:r>
      <w:r w:rsidRPr="00D16ED9">
        <w:rPr>
          <w:u w:val="single"/>
        </w:rPr>
        <w:t>t</w:t>
      </w:r>
      <w:r w:rsidRPr="00D16ED9">
        <w:rPr>
          <w:u w:val="single"/>
          <w:lang w:val="vi-VN"/>
        </w:rPr>
        <w:t>y đại chúng trên phương tiện công bố thông tin của Ủy ban Chứng khoán Nh</w:t>
      </w:r>
      <w:r w:rsidRPr="00D16ED9">
        <w:rPr>
          <w:u w:val="single"/>
        </w:rPr>
        <w:t>à </w:t>
      </w:r>
      <w:r w:rsidRPr="00D16ED9">
        <w:rPr>
          <w:u w:val="single"/>
          <w:lang w:val="vi-VN"/>
        </w:rPr>
        <w:t>nước”</w:t>
      </w:r>
    </w:p>
    <w:p w14:paraId="713397C9" w14:textId="2620E074" w:rsidR="00526BE1" w:rsidRPr="00D16ED9" w:rsidRDefault="00526BE1" w:rsidP="00B400C3">
      <w:pPr>
        <w:pStyle w:val="Heading2"/>
      </w:pPr>
      <w:bookmarkStart w:id="26" w:name="_Toc204931379"/>
      <w:r w:rsidRPr="00D16ED9">
        <w:t>Điều 29 Luật Chứng khoán: Nghĩa vụ của Tổ chức Phát hành</w:t>
      </w:r>
      <w:bookmarkEnd w:id="26"/>
    </w:p>
    <w:p w14:paraId="6352F62D" w14:textId="77777777" w:rsidR="00526BE1" w:rsidRPr="00D16ED9" w:rsidRDefault="00526BE1" w:rsidP="00B400C3">
      <w:pPr>
        <w:pStyle w:val="NormalWeb"/>
      </w:pPr>
      <w:r w:rsidRPr="00D16ED9">
        <w:rPr>
          <w:lang w:val="vi-VN"/>
        </w:rPr>
        <w:t>“1. Tổ chức phát hành đã thực hiện chào bán thành công cổ phiếu ra công chúng, tr</w:t>
      </w:r>
      <w:r w:rsidRPr="00D16ED9">
        <w:t>ở</w:t>
      </w:r>
      <w:r w:rsidRPr="00D16ED9">
        <w:rPr>
          <w:lang w:val="vi-VN"/>
        </w:rPr>
        <w:t xml:space="preserve"> thành công ty đại chúng theo quy định tại điểm b khoản 1 Điều 32 của Luật này </w:t>
      </w:r>
      <w:r w:rsidRPr="00D16ED9">
        <w:rPr>
          <w:highlight w:val="yellow"/>
          <w:u w:val="single"/>
          <w:lang w:val="vi-VN"/>
        </w:rPr>
        <w:t>không phải nộp hồ sơ đăng ký công ty đại ch</w:t>
      </w:r>
      <w:r w:rsidRPr="00D16ED9">
        <w:rPr>
          <w:highlight w:val="yellow"/>
          <w:u w:val="single"/>
        </w:rPr>
        <w:t>ú</w:t>
      </w:r>
      <w:r w:rsidRPr="00D16ED9">
        <w:rPr>
          <w:highlight w:val="yellow"/>
          <w:u w:val="single"/>
          <w:lang w:val="vi-VN"/>
        </w:rPr>
        <w:t>ng quy định tại khoản 1 Điều 33 của Luật này</w:t>
      </w:r>
      <w:r w:rsidRPr="00D16ED9">
        <w:rPr>
          <w:u w:val="single"/>
          <w:lang w:val="vi-VN"/>
        </w:rPr>
        <w:t xml:space="preserve"> </w:t>
      </w:r>
      <w:r w:rsidRPr="00D16ED9">
        <w:rPr>
          <w:lang w:val="vi-VN"/>
        </w:rPr>
        <w:t>cho Ủy ban Chứng khoán Nhà nước.</w:t>
      </w:r>
    </w:p>
    <w:p w14:paraId="00BAF571" w14:textId="77777777" w:rsidR="00526BE1" w:rsidRPr="00D16ED9" w:rsidRDefault="00526BE1" w:rsidP="00B400C3">
      <w:pPr>
        <w:pStyle w:val="NormalWeb"/>
        <w:rPr>
          <w:lang w:val="vi-VN"/>
        </w:rPr>
      </w:pPr>
      <w:r w:rsidRPr="00D16ED9">
        <w:rPr>
          <w:lang w:val="vi-VN"/>
        </w:rPr>
        <w:t xml:space="preserve">2. Tổ chức phát hành đã thực hiện chào bán chứng khoán ra công chúng phải hoàn thiện hồ sơ đăng ký niêm yết </w:t>
      </w:r>
      <w:r w:rsidRPr="00D16ED9">
        <w:rPr>
          <w:highlight w:val="yellow"/>
          <w:u w:val="single"/>
          <w:lang w:val="vi-VN"/>
        </w:rPr>
        <w:t>hoặc đăng ký giao dịch chứng khoán trong th</w:t>
      </w:r>
      <w:r w:rsidRPr="00D16ED9">
        <w:rPr>
          <w:highlight w:val="yellow"/>
          <w:u w:val="single"/>
        </w:rPr>
        <w:t>ờ</w:t>
      </w:r>
      <w:r w:rsidRPr="00D16ED9">
        <w:rPr>
          <w:highlight w:val="yellow"/>
          <w:u w:val="single"/>
          <w:lang w:val="vi-VN"/>
        </w:rPr>
        <w:t>i hạn 30 ngày kể từ ngày kết thúc đợt chào bán</w:t>
      </w:r>
      <w:r w:rsidRPr="00D16ED9">
        <w:rPr>
          <w:lang w:val="vi-VN"/>
        </w:rPr>
        <w:t>”</w:t>
      </w:r>
    </w:p>
    <w:p w14:paraId="548E8C1E" w14:textId="77777777" w:rsidR="00E81C01" w:rsidRDefault="00E81C01" w:rsidP="00B400C3">
      <w:pPr>
        <w:pStyle w:val="NormalWeb"/>
      </w:pPr>
    </w:p>
    <w:p w14:paraId="0DC404CB" w14:textId="6E78FF27" w:rsidR="00590EEB" w:rsidRDefault="00526BE1" w:rsidP="00B400C3">
      <w:pPr>
        <w:pStyle w:val="NormalWeb"/>
        <w:rPr>
          <w:lang w:val="vi-VN"/>
        </w:rPr>
      </w:pPr>
      <w:r w:rsidRPr="00E81C01">
        <w:rPr>
          <w:lang w:val="vi-VN"/>
        </w:rPr>
        <w:t>Như vậy, sau khi hoàn thành đợt chào bán, UBCK có thể sẽ ra văn bản/thông báo xác nhận hoàn tất việc đăng ký Công ty đại chúng của Doanh nghiệp. Khi đăng ký Upcom / Niêm yết CP trên Sở GDCK, Công ty sẽ nộp kèm văn bản này.</w:t>
      </w:r>
    </w:p>
    <w:p w14:paraId="32E17634" w14:textId="77777777" w:rsidR="00590EEB" w:rsidRDefault="00590EEB" w:rsidP="00B400C3">
      <w:pPr>
        <w:rPr>
          <w:rFonts w:eastAsia="Times New Roman" w:cs="Times New Roman"/>
          <w:lang w:eastAsia="en-US"/>
        </w:rPr>
      </w:pPr>
      <w:r>
        <w:br w:type="page"/>
      </w:r>
    </w:p>
    <w:p w14:paraId="6E57E214" w14:textId="006D0E3A" w:rsidR="00C3060E" w:rsidRPr="0089296A" w:rsidRDefault="00C3060E" w:rsidP="00B400C3">
      <w:pPr>
        <w:pStyle w:val="Heading1"/>
      </w:pPr>
      <w:bookmarkStart w:id="27" w:name="_Toc204931380"/>
      <w:r>
        <w:lastRenderedPageBreak/>
        <w:t>ĐĂNG KÝ CÔNG TY ĐẠI CHÚNG</w:t>
      </w:r>
      <w:bookmarkEnd w:id="27"/>
    </w:p>
    <w:p w14:paraId="7C244338" w14:textId="403CE497" w:rsidR="00C3060E" w:rsidRPr="00C3060E" w:rsidRDefault="00C3060E" w:rsidP="00B400C3">
      <w:pPr>
        <w:pStyle w:val="Heading2"/>
      </w:pPr>
      <w:bookmarkStart w:id="28" w:name="_Toc204931381"/>
      <w:r w:rsidRPr="00765039">
        <w:t>Khoản 11 Điều 1 Luật 56/2024</w:t>
      </w:r>
      <w:r>
        <w:t>:</w:t>
      </w:r>
      <w:bookmarkEnd w:id="28"/>
    </w:p>
    <w:p w14:paraId="1633A884" w14:textId="77777777" w:rsidR="00C3060E" w:rsidRPr="00600A4A" w:rsidRDefault="00C3060E" w:rsidP="00B400C3">
      <w:r w:rsidRPr="00600A4A">
        <w:t>“11. Sửa đổi, bổ sung một số điểm, khoản của Điều 32 như sau:</w:t>
      </w:r>
    </w:p>
    <w:p w14:paraId="56D49C74" w14:textId="77777777" w:rsidR="00C3060E" w:rsidRPr="00600A4A" w:rsidRDefault="00C3060E" w:rsidP="00B400C3">
      <w:r w:rsidRPr="00600A4A">
        <w:t>a) Sửa đổi, bổ sung điểm a khoản 1 như sau:</w:t>
      </w:r>
    </w:p>
    <w:p w14:paraId="3582F970" w14:textId="77CC696E" w:rsidR="00C3060E" w:rsidRPr="00600A4A" w:rsidRDefault="00C3060E" w:rsidP="00B400C3">
      <w:r w:rsidRPr="00600A4A">
        <w:t>“a) Công ty có vốn điều lệ đã góp từ 30 tỷ đồng trở lên, có vốn chủ sở hữu từ 30 tỷ đồng trở lên và có tối thiểu 10% số cổ phiếu có quyền biểu quyết do ít nhất 100 nhà đầu tư không phải cổ đông lớn nắm giữ”</w:t>
      </w:r>
    </w:p>
    <w:p w14:paraId="77F59B2A" w14:textId="244EA45A" w:rsidR="002B1AA2" w:rsidRDefault="002B1AA2" w:rsidP="00B400C3"/>
    <w:p w14:paraId="45F352F7" w14:textId="613D1E2D" w:rsidR="002B1AA2" w:rsidRDefault="002B1AA2" w:rsidP="00B400C3">
      <w:pPr>
        <w:pStyle w:val="Heading2"/>
      </w:pPr>
      <w:bookmarkStart w:id="29" w:name="_Toc204931382"/>
      <w:r w:rsidRPr="002B1AA2">
        <w:t>Điều 32</w:t>
      </w:r>
      <w:r>
        <w:t xml:space="preserve"> Luật chứng khoán 2019:</w:t>
      </w:r>
      <w:bookmarkEnd w:id="29"/>
    </w:p>
    <w:p w14:paraId="14343B49" w14:textId="2CC0B43C" w:rsidR="002B1AA2" w:rsidRPr="002B1AA2" w:rsidRDefault="002B1AA2" w:rsidP="00B400C3">
      <w:r>
        <w:t>“</w:t>
      </w:r>
      <w:r w:rsidRPr="002B1AA2">
        <w:t>Điều 32. Công ty đại chúng</w:t>
      </w:r>
    </w:p>
    <w:p w14:paraId="65E8B9AE" w14:textId="620D4176" w:rsidR="002B1AA2" w:rsidRPr="002B1AA2" w:rsidRDefault="002B1AA2" w:rsidP="00B400C3">
      <w:r w:rsidRPr="002B1AA2">
        <w:t>1. Công ty đại chúng là công ty cổ phần thuộc một trong hai trường hợp sau đây:</w:t>
      </w:r>
    </w:p>
    <w:p w14:paraId="58DB75D9" w14:textId="76BB691E" w:rsidR="002B1AA2" w:rsidRPr="002B1AA2" w:rsidRDefault="002B1AA2" w:rsidP="00B400C3">
      <w:r w:rsidRPr="0089296A">
        <w:t>a) Công ty có vốn điều lệ đã góp từ 30 tỷ đồng trở lên và có tối thiểu là 10% số cổ phiếu có quyền biểu quyết do ít nhất 100 nhà đầu tư không phải là cổ đông lớn nắm giữ;</w:t>
      </w:r>
    </w:p>
    <w:p w14:paraId="4CBB4A58" w14:textId="1861B076" w:rsidR="002B1AA2" w:rsidRPr="002B1AA2" w:rsidRDefault="002B1AA2" w:rsidP="00B400C3">
      <w:r w:rsidRPr="002B1AA2">
        <w:t>b) Công ty đã thực hiện chào bán thành công cổ phiếu lần đầu ra công chúng thông qua đăng ký với Ủy ban Chứng khoán Nhà nước theo quy định tại khoản 1 Điều 16 của Luật này.</w:t>
      </w:r>
    </w:p>
    <w:p w14:paraId="0BC8B453" w14:textId="44FF7CC0" w:rsidR="002B1AA2" w:rsidRPr="002B1AA2" w:rsidRDefault="002B1AA2" w:rsidP="00B400C3">
      <w:r w:rsidRPr="002B1AA2">
        <w:t xml:space="preserve">2. Công ty cổ phần quy định tại điểm a khoản 1 Điều này phải nộp hồ sơ đăng ký công ty đại chúng quy định tại khoản 1 Điều 33 của Luật này cho Ủy ban Chứng khoán Nhà nước trong thời hạn </w:t>
      </w:r>
      <w:r w:rsidRPr="00A3570D">
        <w:rPr>
          <w:b/>
          <w:bCs/>
        </w:rPr>
        <w:t>90 ngày</w:t>
      </w:r>
      <w:r w:rsidRPr="002B1AA2">
        <w:t xml:space="preserve"> kể từ ngày công ty hoàn thành việc góp vốn và có cơ cấu cổ đông đáp ứng quy định tại điểm a khoản 1 Điều này.</w:t>
      </w:r>
    </w:p>
    <w:p w14:paraId="7803E18A" w14:textId="3C23D06B" w:rsidR="002B1AA2" w:rsidRDefault="002B1AA2" w:rsidP="00B400C3">
      <w:r w:rsidRPr="002B1AA2">
        <w:t xml:space="preserve">3. Trong thời hạn 15 ngày kể từ ngày nhận được hồ sơ đăng ký công ty đại chúng đầy đủ và hợp lệ của công ty cổ phần theo quy định tại điểm a khoản 1 Điều này hoặc nhận được báo cáo kết quả hoàn thành đợt chào bán của công ty cổ phần theo quy định tại </w:t>
      </w:r>
      <w:r w:rsidRPr="00A3570D">
        <w:rPr>
          <w:highlight w:val="yellow"/>
        </w:rPr>
        <w:t>điểm b khoản 1</w:t>
      </w:r>
      <w:r w:rsidRPr="002B1AA2">
        <w:t xml:space="preserve"> Điều này, Ủy ban Chứng khoán Nhà nước có trách nhiệm xác nhận hoàn tất việc đăng ký công ty đại chúng, đồng thời công bố tên, nội dung kinh doanh và các thông tin khác liên quan đến công ty đại chúng trên phương tiện công bố thông tin của Ủy ban Chứng khoán Nhà nước.</w:t>
      </w:r>
      <w:r>
        <w:t>”</w:t>
      </w:r>
    </w:p>
    <w:p w14:paraId="28C85650" w14:textId="77777777" w:rsidR="00C3060E" w:rsidRPr="00C3060E" w:rsidRDefault="00C3060E" w:rsidP="00B400C3"/>
    <w:p w14:paraId="38F08FBF" w14:textId="77777777" w:rsidR="00C3060E" w:rsidRPr="00C3060E" w:rsidRDefault="00C3060E" w:rsidP="00B400C3">
      <w:pPr>
        <w:pStyle w:val="Heading2"/>
      </w:pPr>
      <w:bookmarkStart w:id="30" w:name="_Toc204931383"/>
      <w:r w:rsidRPr="00C3060E">
        <w:t>Điều 33 Luật chứng khoán 2019:</w:t>
      </w:r>
      <w:bookmarkEnd w:id="30"/>
    </w:p>
    <w:p w14:paraId="54B89F39" w14:textId="2F5748F6" w:rsidR="00C3060E" w:rsidRPr="00C3060E" w:rsidRDefault="00C3060E" w:rsidP="00B400C3">
      <w:pPr>
        <w:pStyle w:val="BodyText"/>
      </w:pPr>
      <w:r w:rsidRPr="00C3060E">
        <w:t>“Điều 33. Hồ sơ đăng ký công ty đại chúng</w:t>
      </w:r>
    </w:p>
    <w:p w14:paraId="13926677" w14:textId="4296D877" w:rsidR="00C3060E" w:rsidRPr="00C3060E" w:rsidRDefault="00C3060E" w:rsidP="00B400C3">
      <w:pPr>
        <w:pStyle w:val="BodyText"/>
      </w:pPr>
      <w:r w:rsidRPr="00C3060E">
        <w:t>1. Hồ sơ đăng ký công ty đại chúng bao gồm:</w:t>
      </w:r>
    </w:p>
    <w:p w14:paraId="0995BC1A" w14:textId="2FFB1D11" w:rsidR="00C3060E" w:rsidRPr="00C3060E" w:rsidRDefault="00C3060E" w:rsidP="00B400C3">
      <w:pPr>
        <w:pStyle w:val="BodyText"/>
      </w:pPr>
      <w:r w:rsidRPr="00C3060E">
        <w:t>a) Giấy đăng ký công ty đại chúng;</w:t>
      </w:r>
    </w:p>
    <w:p w14:paraId="505DF8B4" w14:textId="77777777" w:rsidR="00C3060E" w:rsidRPr="00C3060E" w:rsidRDefault="00C3060E" w:rsidP="00B400C3">
      <w:pPr>
        <w:pStyle w:val="BodyText"/>
      </w:pPr>
      <w:r w:rsidRPr="00C3060E">
        <w:t>b) Điều lệ công ty;</w:t>
      </w:r>
    </w:p>
    <w:p w14:paraId="6240B94E" w14:textId="77777777" w:rsidR="00C3060E" w:rsidRPr="00C3060E" w:rsidRDefault="00C3060E" w:rsidP="00B400C3">
      <w:pPr>
        <w:pStyle w:val="BodyText"/>
      </w:pPr>
      <w:r w:rsidRPr="00C3060E">
        <w:t>c) Giấy chứng nhận đăng ký doanh nghiệp;</w:t>
      </w:r>
    </w:p>
    <w:p w14:paraId="0D7540CA" w14:textId="77777777" w:rsidR="00C3060E" w:rsidRPr="00C3060E" w:rsidRDefault="00C3060E" w:rsidP="00B400C3">
      <w:pPr>
        <w:pStyle w:val="BodyText"/>
      </w:pPr>
      <w:r w:rsidRPr="00C3060E">
        <w:t>d) Bản công bố thông tin về công ty đại chúng bao gồm thông tin tóm tắt về mô hình tổ chức bộ máy, hoạt động kinh doanh, bộ máy quản lý, cơ cấu cổ đông, tài sản, tình hình tài chính và các thông tin khác;</w:t>
      </w:r>
    </w:p>
    <w:p w14:paraId="3B004C12" w14:textId="77777777" w:rsidR="00C3060E" w:rsidRPr="00440A66" w:rsidRDefault="00C3060E" w:rsidP="00B400C3">
      <w:pPr>
        <w:pStyle w:val="BodyText"/>
      </w:pPr>
      <w:r w:rsidRPr="00440A66">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p>
    <w:p w14:paraId="7C17D778" w14:textId="77777777" w:rsidR="00C3060E" w:rsidRPr="00C3060E" w:rsidRDefault="00C3060E" w:rsidP="00B400C3">
      <w:pPr>
        <w:pStyle w:val="BodyText"/>
      </w:pPr>
      <w:r w:rsidRPr="00C3060E">
        <w:t>e) Danh sách cổ đông.</w:t>
      </w:r>
    </w:p>
    <w:p w14:paraId="152808FA" w14:textId="77777777" w:rsidR="00C3060E" w:rsidRDefault="00C3060E" w:rsidP="00B400C3">
      <w:pPr>
        <w:pStyle w:val="BodyText"/>
      </w:pPr>
      <w:r w:rsidRPr="00C3060E">
        <w:t>2. Bộ trưởng Bộ Tài chính ban hành mẫu Bản công bố thông tin về công ty đại chúng và quy định hồ sơ đăng ký công ty đại chúng hình thành sau chia, tách, hợp nhất, sáp nhập doanh nghiệp.”</w:t>
      </w:r>
    </w:p>
    <w:p w14:paraId="26298737" w14:textId="77777777" w:rsidR="00440A66" w:rsidRDefault="00440A66" w:rsidP="00B400C3">
      <w:pPr>
        <w:pStyle w:val="Heading2"/>
      </w:pPr>
    </w:p>
    <w:p w14:paraId="5819A58D" w14:textId="6F40DB4A" w:rsidR="00C3060E" w:rsidRPr="00C3060E" w:rsidRDefault="00C3060E" w:rsidP="00B400C3">
      <w:pPr>
        <w:pStyle w:val="Heading2"/>
      </w:pPr>
      <w:bookmarkStart w:id="31" w:name="_Toc204931384"/>
      <w:r w:rsidRPr="00C3060E">
        <w:t>Khoản 12 Điều 1 Luật 56:</w:t>
      </w:r>
      <w:bookmarkEnd w:id="31"/>
    </w:p>
    <w:p w14:paraId="3DCC0B32" w14:textId="4D09548A" w:rsidR="00C3060E" w:rsidRPr="00A43C6B" w:rsidRDefault="00C3060E" w:rsidP="00B400C3">
      <w:pPr>
        <w:pStyle w:val="BodyText"/>
      </w:pPr>
      <w:r w:rsidRPr="00A43C6B">
        <w:t>“12. Sửa đổi, bổ sung một số điểm, khoản của Điều 33 như sau:</w:t>
      </w:r>
    </w:p>
    <w:p w14:paraId="516D9A38" w14:textId="77777777" w:rsidR="00C3060E" w:rsidRPr="00A43C6B" w:rsidRDefault="00C3060E" w:rsidP="00B400C3">
      <w:pPr>
        <w:pStyle w:val="BodyText"/>
      </w:pPr>
      <w:r w:rsidRPr="00A43C6B">
        <w:t>a) Sửa đổi, bổ sung điểm đ khoản 1 như sau:</w:t>
      </w:r>
    </w:p>
    <w:p w14:paraId="5BD5C92E" w14:textId="77777777" w:rsidR="00C3060E" w:rsidRPr="00A43C6B" w:rsidRDefault="00C3060E" w:rsidP="00B400C3">
      <w:pPr>
        <w:pStyle w:val="BodyText"/>
      </w:pPr>
      <w:r w:rsidRPr="00A43C6B">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 hoặc soát xét;”;</w:t>
      </w:r>
    </w:p>
    <w:p w14:paraId="4956EC26" w14:textId="77777777" w:rsidR="00C3060E" w:rsidRPr="00A43C6B" w:rsidRDefault="00C3060E" w:rsidP="00B400C3">
      <w:pPr>
        <w:pStyle w:val="BodyText"/>
      </w:pPr>
      <w:r w:rsidRPr="00A43C6B">
        <w:t>b) Bổ sung điểm g vào sau điểm e khoản 1 như sau:</w:t>
      </w:r>
    </w:p>
    <w:p w14:paraId="2E769B05" w14:textId="77777777" w:rsidR="00A43C6B" w:rsidRDefault="00C3060E" w:rsidP="00B400C3">
      <w:pPr>
        <w:pStyle w:val="BodyText"/>
      </w:pPr>
      <w:r w:rsidRPr="00A43C6B">
        <w:t xml:space="preserve">“g) </w:t>
      </w:r>
      <w:r w:rsidRPr="00A43C6B">
        <w:rPr>
          <w:highlight w:val="yellow"/>
        </w:rPr>
        <w:t>Báo cáo về vốn điều lệ</w:t>
      </w:r>
      <w:r w:rsidRPr="00A43C6B">
        <w:t xml:space="preserve"> đã góp tính đến thời điểm đăng ký công ty đại chúng được kiểm toán bởi tổ chức kiểm toán độc lập theo quy định của Bộ trưởng Bộ Tài chính.”.”</w:t>
      </w:r>
    </w:p>
    <w:p w14:paraId="73BA2440" w14:textId="6ABF8DAE" w:rsidR="0005791F" w:rsidRDefault="0005791F" w:rsidP="00B400C3"/>
    <w:p w14:paraId="0530B597" w14:textId="77777777" w:rsidR="006B544F" w:rsidRPr="006B544F" w:rsidRDefault="006B544F" w:rsidP="00B400C3">
      <w:pPr>
        <w:pStyle w:val="Heading2"/>
      </w:pPr>
      <w:bookmarkStart w:id="32" w:name="_Toc204931385"/>
      <w:r w:rsidRPr="006B544F">
        <w:t>Điều 139. Tỷ lệ sở hữu nước ngoài trên thị trường chứng khoán Việt Nam</w:t>
      </w:r>
      <w:bookmarkEnd w:id="32"/>
    </w:p>
    <w:p w14:paraId="4B90952B" w14:textId="77777777" w:rsidR="006B544F" w:rsidRPr="006B544F" w:rsidRDefault="006B544F" w:rsidP="00B400C3">
      <w:r w:rsidRPr="006B544F">
        <w:t>1. Tỷ lệ sở hữu nước ngoài tối đa tại công ty đại chúng được xác định như sau:</w:t>
      </w:r>
    </w:p>
    <w:p w14:paraId="0C35F7A1" w14:textId="77777777" w:rsidR="006B544F" w:rsidRPr="006B544F" w:rsidRDefault="006B544F" w:rsidP="00B400C3">
      <w:r w:rsidRPr="006B544F">
        <w:t>a) Công ty đại chúng hoạt động trong ngành, nghề đầu tư kinh doanh mà điều ước quốc tế có Việt Nam là thành viên quy định về sở hữu nước ngoài thì thực hiện theo điều ước quốc tế;</w:t>
      </w:r>
    </w:p>
    <w:p w14:paraId="2514719D" w14:textId="6AFDDB55" w:rsidR="006B544F" w:rsidRPr="006B544F" w:rsidRDefault="006B544F" w:rsidP="00B400C3">
      <w:r w:rsidRPr="006B544F">
        <w:t>b) Công ty đại chúng hoạt động trong ngành, nghề đầu tư kinh doanh mà pháp luật liên quan có quy địn</w:t>
      </w:r>
      <w:r>
        <w:t>h</w:t>
      </w:r>
      <w:r w:rsidRPr="006B544F">
        <w:t xml:space="preserve"> về sở hữu nước ngoài thì thực hiện theo quy định tại pháp luật đó;</w:t>
      </w:r>
    </w:p>
    <w:p w14:paraId="5C33F4B1" w14:textId="77777777" w:rsidR="006B544F" w:rsidRPr="006B544F" w:rsidRDefault="006B544F" w:rsidP="00B400C3">
      <w:r w:rsidRPr="006B544F">
        <w:t>c) Công ty đại chúng hoạt động trong ngành, nghề đầu tư kinh doanh thuộc danh mục ngành, nghề hạn chế tiếp cận thị trường đối với nhà đầu tư nước ngoài thì thực hiện theo quy định về sở hữu nước ngoài tại danh mục. Trường hợp ngành, nghề tiếp cận thị trường có điều kiện tại danh mục không quy định cụ thể điều kiện tỷ lệ sở hữu vốn điều lệ của nhà đầu tư nước ngoài trong tổ chức kinh tế thì tỷ lệ sở hữu nước ngoài tối đa tại công ty là 50% vốn điều lệ;</w:t>
      </w:r>
    </w:p>
    <w:p w14:paraId="1CC8282A" w14:textId="77777777" w:rsidR="006B544F" w:rsidRPr="006B544F" w:rsidRDefault="006B544F" w:rsidP="00B400C3">
      <w:r w:rsidRPr="006B544F">
        <w:t>d) Công ty đại chúng không thuộc các trường hợp quy định tại điểm a, b, c khoản 1 Điều này, tỷ lệ sở hữu nước ngoài là không hạn chế;</w:t>
      </w:r>
    </w:p>
    <w:p w14:paraId="7E46B45B" w14:textId="77777777" w:rsidR="006B544F" w:rsidRPr="006B544F" w:rsidRDefault="006B544F" w:rsidP="00B400C3">
      <w:r w:rsidRPr="006B544F">
        <w:t>đ) Trường hợp công ty đại chúng hoạt động đa ngành, nghề, có quy định khác nhau về tỷ lệ sở hữu nước ngoài, tỷ lệ sở hữu nước ngoài không vượt quá mức thấp nhất trong các ngành, nghề có quy định về tỷ lệ sở hữu nước ngoài;</w:t>
      </w:r>
    </w:p>
    <w:p w14:paraId="0B32748A" w14:textId="77777777" w:rsidR="006B544F" w:rsidRPr="006B544F" w:rsidRDefault="006B544F" w:rsidP="00B400C3">
      <w:r w:rsidRPr="006B544F">
        <w:t>e) Trường hợp công ty đại chúng quyết định tỷ lệ sở hữu nước ngoài tối đa thấp hơn tỷ lệ quy định tại các điểm a, b, c, d, đ khoản 1 Điều này thì tỷ lệ cụ thể phải được Đại hội đồng cổ đông thông qua và quy định tại Điều lệ công ty.</w:t>
      </w:r>
    </w:p>
    <w:p w14:paraId="51AB3FC0" w14:textId="02E56C96" w:rsidR="006B544F" w:rsidRPr="006B544F" w:rsidRDefault="006B544F" w:rsidP="00B400C3">
      <w:r w:rsidRPr="006B544F">
        <w:t>2. Doanh nghiệp cổ phần hóa thực hiện niêm yết, đăng ký giao dịch trên thị trường chứng khoán thì tỷ lệ sở hữu nước ngoài thực hiện theo quy định pháp luật về cổ phần hóa. Trường hợp pháp luật về cổ phần hóa không có quy định thì thực hiện theo quy định tại khoản 1 Điều này.</w:t>
      </w:r>
    </w:p>
    <w:p w14:paraId="664B1DB5" w14:textId="77777777" w:rsidR="006B544F" w:rsidRDefault="006B544F" w:rsidP="00B400C3"/>
    <w:p w14:paraId="144BC00C" w14:textId="707BFB62" w:rsidR="0005791F" w:rsidRPr="0005791F" w:rsidRDefault="0005791F" w:rsidP="00B400C3">
      <w:pPr>
        <w:pStyle w:val="Heading2"/>
      </w:pPr>
      <w:bookmarkStart w:id="33" w:name="_Toc204931386"/>
      <w:r w:rsidRPr="0005791F">
        <w:t>Điều 141. Trách nhiệm thông báo về tỷ lệ sở hữu nước ngoài tối đa của công ty đại chúng</w:t>
      </w:r>
      <w:bookmarkEnd w:id="33"/>
    </w:p>
    <w:p w14:paraId="31C9EED2" w14:textId="2B286D35" w:rsidR="0005791F" w:rsidRPr="0005791F" w:rsidRDefault="0005791F" w:rsidP="00B400C3">
      <w:r w:rsidRPr="0005791F">
        <w:t xml:space="preserve">1. Công ty đại chúng có trách nhiệm xác định ngành, nghề đầu tư kinh doanh và thực hiện thủ tục thông báo tỷ lệ sở hữu nước ngoài tối đa </w:t>
      </w:r>
      <w:r w:rsidRPr="006B544F">
        <w:rPr>
          <w:highlight w:val="yellow"/>
        </w:rPr>
        <w:t>trong thời hạn 07 ngày làm việc</w:t>
      </w:r>
      <w:r w:rsidRPr="0005791F">
        <w:t xml:space="preserve"> kể từ ngày Ủy ban Chứng khoán Nhà nước xác nhận hoàn tất việc đăng ký công ty đại chúng.</w:t>
      </w:r>
    </w:p>
    <w:p w14:paraId="4C6E4D99" w14:textId="2E5FC57F" w:rsidR="0005791F" w:rsidRPr="0005791F" w:rsidRDefault="0005791F" w:rsidP="00B400C3">
      <w:r w:rsidRPr="0005791F">
        <w:t>2. Công ty đại chúng có trách nhiệm xác định ngành, nghề đầu tư kinh doanh và tỷ lệ sở hữu nước ngoài tối đa tại công ty theo quy định tại khoản 1 Điều 139 Nghị định này.</w:t>
      </w:r>
    </w:p>
    <w:p w14:paraId="2E8C3934" w14:textId="0FB1ADA8" w:rsidR="0005791F" w:rsidRPr="0005791F" w:rsidRDefault="0005791F" w:rsidP="00B400C3">
      <w:r w:rsidRPr="0005791F">
        <w:t>3. Trường hợp công ty đại chúng chưa thực hiện thông báo tỷ lệ sở hữu nước ngoài tối đa theo quy định tại Điều 142 Nghị định này, công ty phải thực hiện thủ tục thông báo tỷ lệ sở hữu nước ngoài tối đa trước khi nộp hồ sơ đăng ký niêm yết, chuyển niêm yết, đăng ký giao dịch, chào bán, phát hành chứng khoán, cổ đông công ty đại chúng chào bán cổ phiếu ra công chúng.</w:t>
      </w:r>
    </w:p>
    <w:p w14:paraId="1B3C8BF6" w14:textId="797B712C" w:rsidR="0005791F" w:rsidRPr="0005791F" w:rsidRDefault="0005791F" w:rsidP="00B400C3">
      <w:r w:rsidRPr="0005791F">
        <w:t xml:space="preserve">4. Công ty đại chúng phải thực hiện thủ tục thông báo thay đổi tỷ lệ sở hữu nước ngoài tối đa </w:t>
      </w:r>
      <w:r w:rsidRPr="00226544">
        <w:rPr>
          <w:highlight w:val="yellow"/>
        </w:rPr>
        <w:t>trong thời hạn 30 ngày</w:t>
      </w:r>
      <w:r w:rsidRPr="0005791F">
        <w:t xml:space="preserve"> kể từ ngày xảy ra một trong các sự kiện sau:</w:t>
      </w:r>
    </w:p>
    <w:p w14:paraId="244EA545" w14:textId="3B71028B" w:rsidR="0005791F" w:rsidRPr="0005791F" w:rsidRDefault="0005791F" w:rsidP="00B400C3">
      <w:r w:rsidRPr="0005791F">
        <w:t xml:space="preserve">a) Thay đổi ngành, nghề đầu tư kinh doanh dẫn đến thay đổi tỷ lệ sở hữu nước ngoài tối đa tại </w:t>
      </w:r>
      <w:r w:rsidRPr="0005791F">
        <w:lastRenderedPageBreak/>
        <w:t>công ty;</w:t>
      </w:r>
    </w:p>
    <w:p w14:paraId="0B8F8988" w14:textId="4762FC2C" w:rsidR="0005791F" w:rsidRPr="0005791F" w:rsidRDefault="0005791F" w:rsidP="00B400C3">
      <w:r w:rsidRPr="0005791F">
        <w:t>b) Quy định pháp luật về sở hữu nước ngoài đối với các ngành, nghề đầu tư kinh doanh công ty đang hoạt động có sự thay đổi;</w:t>
      </w:r>
    </w:p>
    <w:p w14:paraId="1C9BE62C" w14:textId="77777777" w:rsidR="0005791F" w:rsidRPr="0005791F" w:rsidRDefault="0005791F" w:rsidP="00B400C3">
      <w:r w:rsidRPr="0005791F">
        <w:t>c) Điều lệ công ty có quy định thay đổi tỷ lệ sở hữu nước ngoài tối đa.</w:t>
      </w:r>
    </w:p>
    <w:p w14:paraId="23D9EF91" w14:textId="77777777" w:rsidR="0005791F" w:rsidRPr="0005791F" w:rsidRDefault="0005791F" w:rsidP="00B400C3"/>
    <w:p w14:paraId="719A6E44" w14:textId="25F51CEA" w:rsidR="0005791F" w:rsidRPr="0005791F" w:rsidRDefault="0005791F" w:rsidP="00B400C3">
      <w:pPr>
        <w:pStyle w:val="Heading2"/>
      </w:pPr>
      <w:bookmarkStart w:id="34" w:name="_Toc204931387"/>
      <w:r w:rsidRPr="0005791F">
        <w:t>Điều 142. Hồ sơ, trình tự, thủ tục thông báo tỷ lệ sở hữu nước ngoài tối đa tại công ty đại chúng</w:t>
      </w:r>
      <w:bookmarkEnd w:id="34"/>
    </w:p>
    <w:p w14:paraId="28C57FF7" w14:textId="216B219C" w:rsidR="0005791F" w:rsidRPr="0005791F" w:rsidRDefault="0005791F" w:rsidP="00B400C3">
      <w:r w:rsidRPr="0005791F">
        <w:t>1. Hồ sơ thông báo tỷ lệ sở hữu nước ngoài tối đa tại công ty đại chúng quy định tại các khoản 1, 2, 3 Điều 141 Nghị định này bao gồm:</w:t>
      </w:r>
    </w:p>
    <w:p w14:paraId="7246FC39" w14:textId="25073AE5" w:rsidR="0005791F" w:rsidRPr="0005791F" w:rsidRDefault="0005791F" w:rsidP="00B400C3">
      <w:r w:rsidRPr="0005791F">
        <w:t>a) Giấy thông báo về tỷ lệ sở hữu nước ngoài tối đa tại công ty theo Mẫu số 38 Phụ lục ban hành kèm theo Nghị định này;</w:t>
      </w:r>
    </w:p>
    <w:p w14:paraId="473BBD5D" w14:textId="3C9B187D" w:rsidR="0005791F" w:rsidRPr="0005791F" w:rsidRDefault="0005791F" w:rsidP="00B400C3">
      <w:r w:rsidRPr="0005791F">
        <w:t>b) Giấy chứng nhận đăng ký doanh nghiệp, Giấy phép thành lập và hoạt động hoặc giấy tờ pháp lý có giá trị tương đương, Giấy xác nhận thay đổi nội dung đăng ký doanh nghiệp, trong đó có nội dung về ngành nghề đăng ký kinh doanh;</w:t>
      </w:r>
    </w:p>
    <w:p w14:paraId="79B8CF33" w14:textId="1CD543EA" w:rsidR="0005791F" w:rsidRPr="0005791F" w:rsidRDefault="0005791F" w:rsidP="00B400C3">
      <w:r w:rsidRPr="0005791F">
        <w:t>c) Trường hợp doanh nghiệp cổ phần hóa thì bổ sung văn bản của cấp có thẩm quyền phê duyệt đề án cổ phần hóa, trong đó có nội dung về tỷ lệ sở hữu nước ngoài của công ty (nếu có);</w:t>
      </w:r>
    </w:p>
    <w:p w14:paraId="731C7310" w14:textId="427EFDA4" w:rsidR="0005791F" w:rsidRPr="0005791F" w:rsidRDefault="0005791F" w:rsidP="00B400C3">
      <w:r w:rsidRPr="0005791F">
        <w:t>d) Điều lệ công ty và Nghị quyết Đại hội đồng cổ đông thông qua tỷ lệ sở hữu nước ngoài tối đa tại công ty đại chúng (đối với trường hợp quy định tại điểm e khoản 1 Điều 139 Nghị định này).</w:t>
      </w:r>
    </w:p>
    <w:p w14:paraId="67BEE782" w14:textId="42B55B5E" w:rsidR="0005791F" w:rsidRPr="0005791F" w:rsidRDefault="0005791F" w:rsidP="00B400C3">
      <w:r w:rsidRPr="0005791F">
        <w:t>2. Hồ sơ thông báo về thay đổi tỷ lệ sở hữu nước ngoài tối đa tại công ty đại chúng quy định tại khoản 4 Điều 141 Nghị định này bao gồm:</w:t>
      </w:r>
    </w:p>
    <w:p w14:paraId="01113B65" w14:textId="6B36D55B" w:rsidR="0005791F" w:rsidRPr="0005791F" w:rsidRDefault="0005791F" w:rsidP="00B400C3">
      <w:r w:rsidRPr="0005791F">
        <w:t>a) Giấy thông báo về thay đổi tỷ lệ sở hữu nước ngoài tối đa tại công ty theo Mẫu số 39 Phụ lục ban hành kèm theo Nghị định này;</w:t>
      </w:r>
    </w:p>
    <w:p w14:paraId="29BCB7CA" w14:textId="15A80E3C" w:rsidR="0005791F" w:rsidRPr="0005791F" w:rsidRDefault="0005791F" w:rsidP="00B400C3">
      <w:r w:rsidRPr="0005791F">
        <w:t>b) Tài liệu quy định tại các điểm b, c, d khoản 1 Điều này;</w:t>
      </w:r>
    </w:p>
    <w:p w14:paraId="7CF5F41C" w14:textId="73260C05" w:rsidR="0005791F" w:rsidRPr="0005791F" w:rsidRDefault="0005791F" w:rsidP="00B400C3">
      <w:r w:rsidRPr="0005791F">
        <w:t>3. Trong thời hạn 07 ngày làm việc kể từ ngày nhận được hồ sơ đầy đủ và hợp lệ, Ủy ban Chứng khoán Nhà nước có văn bản thông báo về việc nhận đầy đủ hồ sơ thông báo tỷ lệ sở hữu nước ngoài tối đa hoặc thông báo thay đổi tỷ lệ sở hữu nước ngoài tối đa tại công ty đại chúng, đồng thời gửi Tổng công ty lưu ký và bù trừ chứng khoán Việt Nam.</w:t>
      </w:r>
    </w:p>
    <w:p w14:paraId="231AC520" w14:textId="3ABBBDE9" w:rsidR="0005791F" w:rsidRDefault="0005791F" w:rsidP="00B400C3">
      <w:pPr>
        <w:rPr>
          <w:color w:val="C00000"/>
        </w:rPr>
      </w:pPr>
      <w:r w:rsidRPr="0005791F">
        <w:t>4. Trong thời hạn 02 ngày làm việc kể từ ngày nhận được văn bản thông báo của Ủy ban Chứng khoán Nhà nước theo quy định tại khoản 3 Điều này, Tổng công ty lưu ký và bù trừ chứng khoán Việt Nam thực hiện cập nhật, điều chỉnh trên hệ thống về tỷ lệ sở hữu nước ngoài tối đa tại công ty đại chúng.</w:t>
      </w:r>
      <w:r>
        <w:rPr>
          <w:color w:val="C00000"/>
        </w:rPr>
        <w:br w:type="page"/>
      </w:r>
    </w:p>
    <w:p w14:paraId="77A7FD63" w14:textId="31CFF234" w:rsidR="006C3EA9" w:rsidRPr="006C3EA9" w:rsidRDefault="006C3EA9" w:rsidP="00B400C3">
      <w:pPr>
        <w:pStyle w:val="Heading2"/>
      </w:pPr>
      <w:bookmarkStart w:id="35" w:name="_Toc204931388"/>
      <w:r w:rsidRPr="006C3EA9">
        <w:lastRenderedPageBreak/>
        <w:t>Điều 34. Quyền và nghĩa vụ của công ty đại chúng</w:t>
      </w:r>
      <w:bookmarkEnd w:id="35"/>
    </w:p>
    <w:p w14:paraId="531295D0" w14:textId="68BCE5FC" w:rsidR="006C3EA9" w:rsidRPr="006C3EA9" w:rsidRDefault="006C3EA9" w:rsidP="00B400C3">
      <w:r w:rsidRPr="006C3EA9">
        <w:t>1. Sau khi Ủy ban Chứng khoán Nhà nước xác nhận hoàn tất việc đăng ký công ty đại chúng, công ty đại chúng có các quyền và nghĩa vụ sau đây:</w:t>
      </w:r>
    </w:p>
    <w:p w14:paraId="21DA2A4A" w14:textId="20A80462" w:rsidR="006C3EA9" w:rsidRPr="006C3EA9" w:rsidRDefault="006C3EA9" w:rsidP="00B400C3">
      <w:r w:rsidRPr="006C3EA9">
        <w:t>a) Công bố thông tin theo quy định của Luật này;</w:t>
      </w:r>
    </w:p>
    <w:p w14:paraId="79CDCBA3" w14:textId="038DD99D" w:rsidR="006C3EA9" w:rsidRPr="006C3EA9" w:rsidRDefault="006C3EA9" w:rsidP="00B400C3">
      <w:r w:rsidRPr="006C3EA9">
        <w:t>b) Tuân thủ quy định về quản trị công ty theo quy định của Luật này;</w:t>
      </w:r>
    </w:p>
    <w:p w14:paraId="0BBB9D9B" w14:textId="1C4E5133" w:rsidR="006C3EA9" w:rsidRPr="006C3EA9" w:rsidRDefault="006C3EA9" w:rsidP="00B400C3">
      <w:r w:rsidRPr="006C3EA9">
        <w:t xml:space="preserve">c) </w:t>
      </w:r>
      <w:r w:rsidRPr="006C3EA9">
        <w:rPr>
          <w:highlight w:val="yellow"/>
        </w:rPr>
        <w:t>Thực hiện đăng ký cổ phiếu tập trung tại Tổng công ty lưu ký và bù trừ chứng khoán Việt Nam theo quy định tại Điều 61 của Luật này</w:t>
      </w:r>
      <w:r w:rsidRPr="006C3EA9">
        <w:t>;</w:t>
      </w:r>
    </w:p>
    <w:p w14:paraId="287230A2" w14:textId="5E952F8E" w:rsidR="006C3EA9" w:rsidRPr="006C3EA9" w:rsidRDefault="006C3EA9" w:rsidP="00B400C3">
      <w:r w:rsidRPr="006C3EA9">
        <w:t xml:space="preserve">d) Công ty đại chúng quy định tại điểm a khoản 1 Điều 32 của Luật này phải </w:t>
      </w:r>
      <w:r w:rsidRPr="00134BB1">
        <w:rPr>
          <w:highlight w:val="yellow"/>
        </w:rPr>
        <w:t>đăng ký giao dịch cổ phiếu trên hệ thống giao dịch cho chứng khoán chưa niêm yết trong thời hạn 30 ngày kể từ ngày Ủy ban Chứng khoán Nhà nước xác nhận hoàn tất việc đăng ký công ty đại chúng</w:t>
      </w:r>
      <w:r w:rsidRPr="006C3EA9">
        <w:t>. Sau 02 năm kể từ ngày giao dịch đầu tiên trên hệ thống giao dịch cho chứng khoán chưa niêm yết, công ty đại chúng có quyền nộp hồ sơ đăng ký niêm yết khi đáp ứng các điều kiện niêm yết chứng khoán;</w:t>
      </w:r>
    </w:p>
    <w:p w14:paraId="572E627C" w14:textId="6FC11D7D" w:rsidR="006C3EA9" w:rsidRPr="006C3EA9" w:rsidRDefault="006C3EA9" w:rsidP="00B400C3">
      <w:r w:rsidRPr="006C3EA9">
        <w:t>đ) Công ty đại chúng quy định tại điểm b khoản 1 Điều 32 của Luật này phải đưa cổ phiếu vào niêm yết hoặc đăng ký giao dịch trên hệ thống giao dịch chứng khoán trong thời hạn 30 ngày kể từ ngày kết thúc đợt chào bán ra công chúng.</w:t>
      </w:r>
    </w:p>
    <w:p w14:paraId="4F71695D" w14:textId="246290FF" w:rsidR="006C3EA9" w:rsidRDefault="006C3EA9" w:rsidP="00B400C3">
      <w:r w:rsidRPr="006C3EA9">
        <w:t>2. Ngoài các quyền và nghĩa vụ quy định tại khoản 1 Điều này, công ty đại chúng có các quyền và nghĩa vụ theo quy định của Luật Doanh nghiệp và quy định khác của pháp luật có liên quan.</w:t>
      </w:r>
    </w:p>
    <w:p w14:paraId="7461402E" w14:textId="51E811BB" w:rsidR="00BD258C" w:rsidRDefault="00BD258C" w:rsidP="00B400C3"/>
    <w:p w14:paraId="4EFD17DD" w14:textId="7CF40064" w:rsidR="00BD258C" w:rsidRDefault="00CD70FC" w:rsidP="00B400C3">
      <w:pPr>
        <w:pStyle w:val="Heading2"/>
      </w:pPr>
      <w:bookmarkStart w:id="36" w:name="_Toc204931389"/>
      <w:r>
        <w:t>Khoản 2 điều 7 thông tư 96/2020</w:t>
      </w:r>
      <w:bookmarkEnd w:id="36"/>
    </w:p>
    <w:p w14:paraId="6FCD0FA7" w14:textId="0ADFB35E" w:rsidR="00BD258C" w:rsidRPr="00BD258C" w:rsidRDefault="00BD258C" w:rsidP="00B400C3">
      <w:r w:rsidRPr="00BD258C">
        <w:t>2. Tổ chức là đối tượng công bố thông tin phải lập trang thông tin điện tử theo quy định sau:</w:t>
      </w:r>
    </w:p>
    <w:p w14:paraId="7A972A83" w14:textId="7F80CA59" w:rsidR="00BD258C" w:rsidRPr="00BD258C" w:rsidRDefault="00BD258C" w:rsidP="00B400C3">
      <w:r w:rsidRPr="00BD258C">
        <w:t xml:space="preserve">a) Công ty đại chúng phải </w:t>
      </w:r>
      <w:r w:rsidRPr="00BD258C">
        <w:rPr>
          <w:highlight w:val="yellow"/>
        </w:rPr>
        <w:t>lập trang thông tin điện tử</w:t>
      </w:r>
      <w:r w:rsidRPr="00BD258C">
        <w:t xml:space="preserve"> khi thực hiện thủ tục đăng ký công ty đại chúng với Ủy ban Chứng khoán Nhà nước. Tổ chức phát hành thực hiện chào bán cổ phiếu lần đầu ra công chúng, tổ chức phát hành trái phiếu ra công chúng phải </w:t>
      </w:r>
      <w:r w:rsidRPr="00BD258C">
        <w:rPr>
          <w:highlight w:val="yellow"/>
        </w:rPr>
        <w:t>lập trang thông tin điện tử</w:t>
      </w:r>
      <w:r w:rsidRPr="00BD258C">
        <w:t xml:space="preserve"> trước khi thực hiện chào bán. Công ty chứng khoán, công ty quản lý quỹ đầu tư chứng khoán, chi nhánh công ty chứng khoán và công ty quản lý quỹ nước ngoài tại Việt Nam phải lập trang thông tin điện tử khi chính thức hoạt động. Tổ chức niêm yết trái phiếu doanh nghiệp, tổ chức niêm yết cổ phiếu, tổ chức đăng ký giao dịch phải lập trang thông tin điện tử khi thực hiện thủ tục đăng ký niêm yết, đăng ký giao dịch trên Sở giao dịch chứng khoán;</w:t>
      </w:r>
    </w:p>
    <w:p w14:paraId="1B97BB81" w14:textId="1446E9B7" w:rsidR="00BD258C" w:rsidRPr="006C3EA9" w:rsidRDefault="00BD258C" w:rsidP="00B400C3">
      <w:r w:rsidRPr="00BD258C">
        <w:t xml:space="preserve">b) Các tổ chức khi lập trang thông tin điện tử phải báo cáo với Ủy ban Chứng khoán Nhà nước, Sở giao dịch chứng khoán và công khai địa chỉ trang thông tin điện tử và mọi thay đổi liên quan đến địa chỉ này trong thời hạn </w:t>
      </w:r>
      <w:r w:rsidRPr="00BD258C">
        <w:rPr>
          <w:highlight w:val="yellow"/>
        </w:rPr>
        <w:t>03 ngày làm việc</w:t>
      </w:r>
      <w:r w:rsidRPr="00BD258C">
        <w:t>, kể từ ngày hoàn tất việc lập trang thông tin điện tử hoặc khi thay đổi địa chỉ trang thông tin điện tử này;</w:t>
      </w:r>
    </w:p>
    <w:p w14:paraId="790A5C4F" w14:textId="77777777" w:rsidR="00A43C6B" w:rsidRDefault="00A43C6B" w:rsidP="00B400C3">
      <w:pPr>
        <w:rPr>
          <w:lang w:bidi="vi-VN"/>
        </w:rPr>
      </w:pPr>
    </w:p>
    <w:p w14:paraId="2FB36758" w14:textId="77777777" w:rsidR="006C3EA9" w:rsidRDefault="006C3EA9" w:rsidP="00B400C3">
      <w:pPr>
        <w:pStyle w:val="Heading1"/>
      </w:pPr>
    </w:p>
    <w:p w14:paraId="0D37C4E8" w14:textId="77777777" w:rsidR="006C3EA9" w:rsidRDefault="006C3EA9" w:rsidP="00B400C3">
      <w:pPr>
        <w:pStyle w:val="Heading1"/>
      </w:pPr>
    </w:p>
    <w:p w14:paraId="4EFC69BE" w14:textId="77777777" w:rsidR="006C3EA9" w:rsidRDefault="006C3EA9" w:rsidP="00B400C3">
      <w:pPr>
        <w:rPr>
          <w:rFonts w:eastAsia="Times New Roman" w:cs="Times New Roman"/>
          <w:kern w:val="32"/>
          <w:sz w:val="32"/>
          <w:szCs w:val="32"/>
        </w:rPr>
      </w:pPr>
      <w:r>
        <w:br w:type="page"/>
      </w:r>
    </w:p>
    <w:p w14:paraId="0521EBAE" w14:textId="20D1A425" w:rsidR="006C3EA9" w:rsidRDefault="006C3EA9" w:rsidP="00B400C3">
      <w:pPr>
        <w:pStyle w:val="Heading1"/>
      </w:pPr>
      <w:bookmarkStart w:id="37" w:name="_Toc204931390"/>
      <w:r>
        <w:lastRenderedPageBreak/>
        <w:t>ĐĂNG KÝ CỔ PHIẾU TẬP TRUNG</w:t>
      </w:r>
      <w:bookmarkEnd w:id="37"/>
    </w:p>
    <w:p w14:paraId="2592EB45" w14:textId="28A4669A" w:rsidR="001F4F2E" w:rsidRDefault="001F4F2E" w:rsidP="00B400C3">
      <w:pPr>
        <w:pStyle w:val="Heading2"/>
      </w:pPr>
      <w:bookmarkStart w:id="38" w:name="_Toc204931391"/>
      <w:r>
        <w:t>Luật điều chỉnh</w:t>
      </w:r>
      <w:bookmarkEnd w:id="38"/>
    </w:p>
    <w:p w14:paraId="4600F63D" w14:textId="0DC3FB4D" w:rsidR="001F4F2E" w:rsidRPr="001F4F2E" w:rsidRDefault="001F4F2E" w:rsidP="00B400C3">
      <w:pPr>
        <w:pStyle w:val="ListParagraph"/>
        <w:numPr>
          <w:ilvl w:val="0"/>
          <w:numId w:val="4"/>
        </w:numPr>
      </w:pPr>
      <w:r w:rsidRPr="001F4F2E">
        <w:t>Nghị định 155/2020/NĐ-CP</w:t>
      </w:r>
    </w:p>
    <w:p w14:paraId="328C7AFC" w14:textId="2917FB8A" w:rsidR="001F4F2E" w:rsidRPr="001F4F2E" w:rsidRDefault="001F4F2E" w:rsidP="00B400C3">
      <w:pPr>
        <w:pStyle w:val="ListParagraph"/>
        <w:numPr>
          <w:ilvl w:val="0"/>
          <w:numId w:val="4"/>
        </w:numPr>
      </w:pPr>
      <w:r w:rsidRPr="001F4F2E">
        <w:rPr>
          <w:shd w:val="clear" w:color="auto" w:fill="FFFFFF"/>
        </w:rPr>
        <w:t>50/QĐ-HĐTV</w:t>
      </w:r>
    </w:p>
    <w:p w14:paraId="2234F1AC" w14:textId="12DB820D" w:rsidR="006C3EA9" w:rsidRPr="006C3EA9" w:rsidRDefault="006C3EA9" w:rsidP="00B400C3">
      <w:pPr>
        <w:pStyle w:val="Heading2"/>
      </w:pPr>
      <w:bookmarkStart w:id="39" w:name="_Toc204931392"/>
      <w:r w:rsidRPr="006C3EA9">
        <w:t>Điều 61. Đăng ký chứng khoán</w:t>
      </w:r>
      <w:bookmarkEnd w:id="39"/>
    </w:p>
    <w:p w14:paraId="711E0053" w14:textId="6C870519" w:rsidR="006C3EA9" w:rsidRPr="006C3EA9" w:rsidRDefault="006C3EA9" w:rsidP="00B400C3">
      <w:r w:rsidRPr="006C3EA9">
        <w:t>1. Chứng khoán của công ty đại chúng và chứng khoán của các tổ chức khác niêm yết, đăng ký giao dịch trên hệ thống giao dịch chứng khoán phải được đăng ký tập trung tại Tổng công ty lưu ký và bù trừ chứng khoán Việt Nam.</w:t>
      </w:r>
    </w:p>
    <w:p w14:paraId="21C476DC" w14:textId="77777777" w:rsidR="001F4F2E" w:rsidRDefault="001F4F2E" w:rsidP="00B400C3">
      <w:pPr>
        <w:pStyle w:val="BodyText"/>
      </w:pPr>
    </w:p>
    <w:p w14:paraId="2F3696D1" w14:textId="77777777" w:rsidR="001F4F2E" w:rsidRPr="001F4F2E" w:rsidRDefault="001F4F2E" w:rsidP="00B400C3">
      <w:pPr>
        <w:pStyle w:val="Heading2"/>
      </w:pPr>
      <w:bookmarkStart w:id="40" w:name="_Toc204931393"/>
      <w:r w:rsidRPr="001F4F2E">
        <w:t>Điều 149. Đăng ký chứng khoán tại Tổng công ty lưu ký và bù trừ chứng khoán Việt Nam</w:t>
      </w:r>
      <w:bookmarkEnd w:id="40"/>
    </w:p>
    <w:p w14:paraId="4F6E4A2E" w14:textId="77777777" w:rsidR="001F4F2E" w:rsidRPr="001F4F2E" w:rsidRDefault="001F4F2E" w:rsidP="00B400C3">
      <w:pPr>
        <w:pStyle w:val="BodyText"/>
      </w:pPr>
      <w:r w:rsidRPr="001F4F2E">
        <w:t>1. Các loại chứng khoán phải thực hiện đăng ký tại Tổng công ty lưu ký và bù trừ chứng khoán Việt Nam bao gồm:</w:t>
      </w:r>
    </w:p>
    <w:p w14:paraId="5EE47C98" w14:textId="77777777" w:rsidR="001F4F2E" w:rsidRPr="001F4F2E" w:rsidRDefault="001F4F2E" w:rsidP="00B400C3">
      <w:pPr>
        <w:pStyle w:val="BodyText"/>
      </w:pPr>
      <w:r w:rsidRPr="001F4F2E">
        <w:t>a) Cổ phiếu niêm yết, đăng ký giao dịch trên hệ thống giao dịch chứng khoán;</w:t>
      </w:r>
    </w:p>
    <w:p w14:paraId="5F910436" w14:textId="49C189D6" w:rsidR="001F4F2E" w:rsidRPr="001F4F2E" w:rsidRDefault="001F4F2E" w:rsidP="00B400C3">
      <w:pPr>
        <w:pStyle w:val="BodyText"/>
      </w:pPr>
      <w:r w:rsidRPr="001F4F2E">
        <w:t>b) Chứng chỉ quỹ, chứng quyền có bảo đảm, công cụ nợ của Chính phủ, trái phiếu được Chính phủ bảo lãnh, trái phiếu chính quyền địa phương và các loại trái phiếu doanh nghiệp khác niêm yết trên hệ thống giao dịch chứng khoán;</w:t>
      </w:r>
    </w:p>
    <w:p w14:paraId="5075448B" w14:textId="470626C0" w:rsidR="001F4F2E" w:rsidRDefault="001F4F2E" w:rsidP="00B400C3">
      <w:pPr>
        <w:pStyle w:val="BodyText"/>
      </w:pPr>
      <w:r w:rsidRPr="001F4F2E">
        <w:t xml:space="preserve">c) </w:t>
      </w:r>
      <w:r w:rsidRPr="001F4F2E">
        <w:rPr>
          <w:highlight w:val="yellow"/>
        </w:rPr>
        <w:t>Chứng khoán của công ty đại chúng</w:t>
      </w:r>
      <w:r w:rsidRPr="001F4F2E">
        <w:t xml:space="preserve"> và các loại chứng khoán phải đăng ký tại Tổng công ty lưu ký và bù trừ chứng khoán Việt Nam theo quy định của pháp luật.</w:t>
      </w:r>
    </w:p>
    <w:p w14:paraId="52095F80" w14:textId="651A2B63" w:rsidR="001F4F2E" w:rsidRDefault="001F4F2E" w:rsidP="00B400C3">
      <w:pPr>
        <w:pStyle w:val="BodyText"/>
      </w:pPr>
    </w:p>
    <w:p w14:paraId="4467FC03" w14:textId="0B04EA57" w:rsidR="001F4F2E" w:rsidRPr="001F4F2E" w:rsidRDefault="001F4F2E" w:rsidP="00B400C3">
      <w:pPr>
        <w:pStyle w:val="Heading2"/>
      </w:pPr>
      <w:bookmarkStart w:id="41" w:name="_Toc204931394"/>
      <w:r w:rsidRPr="001F4F2E">
        <w:t>Điều 5. Hồ sơ đăng ký chứng khoán lần đầu</w:t>
      </w:r>
      <w:r>
        <w:t xml:space="preserve"> - 50/QĐ-HĐTV</w:t>
      </w:r>
      <w:bookmarkEnd w:id="41"/>
    </w:p>
    <w:p w14:paraId="6748B0C5" w14:textId="55C55E80" w:rsidR="001F4F2E" w:rsidRPr="001F4F2E" w:rsidRDefault="001F4F2E" w:rsidP="00B400C3">
      <w:r w:rsidRPr="001F4F2E">
        <w:t>1. Hồ sơ đăng ký cổ phiếu</w:t>
      </w:r>
    </w:p>
    <w:p w14:paraId="56BC8D85" w14:textId="76B340AF" w:rsidR="001F4F2E" w:rsidRPr="001F4F2E" w:rsidRDefault="001F4F2E" w:rsidP="00B400C3">
      <w:r w:rsidRPr="001F4F2E">
        <w:t>a) Giấy đề nghị đăng ký cổ phiếu theo Mẫu số 01A/ĐKCK Quy chế này (bản gốc);</w:t>
      </w:r>
    </w:p>
    <w:p w14:paraId="56395CE8" w14:textId="15FBC4A2" w:rsidR="001F4F2E" w:rsidRPr="001F4F2E" w:rsidRDefault="001F4F2E" w:rsidP="00B400C3">
      <w:r w:rsidRPr="001F4F2E">
        <w:t xml:space="preserve">b) Danh sách người sở hữu cổ phiếu theo Mẫu 02A/ĐKCK Quy chế này theo định dạng của VSDC được lập trong khoảng thời gian </w:t>
      </w:r>
      <w:r w:rsidRPr="00134BB1">
        <w:rPr>
          <w:highlight w:val="yellow"/>
        </w:rPr>
        <w:t>tối đa 30 ngày trước ngày nộp hồ sơ đăng ký chứng khoán tại VSDC</w:t>
      </w:r>
      <w:r w:rsidRPr="001F4F2E">
        <w:t xml:space="preserve"> (bản gốc và file dữ liệu);</w:t>
      </w:r>
    </w:p>
    <w:p w14:paraId="3F61FAEE" w14:textId="60E03FC8" w:rsidR="001F4F2E" w:rsidRPr="001F4F2E" w:rsidRDefault="001F4F2E" w:rsidP="00B400C3">
      <w:r w:rsidRPr="001F4F2E">
        <w:t>c) Thông báo của TCĐKCK cho người sở hữu chứng khoán về ngày chốt danh sách để làm thủ tục đăng ký chứng khoán tại VSDC;</w:t>
      </w:r>
    </w:p>
    <w:p w14:paraId="4F3714FD" w14:textId="46164EF7" w:rsidR="001F4F2E" w:rsidRPr="001F4F2E" w:rsidRDefault="001F4F2E" w:rsidP="00B400C3">
      <w:r w:rsidRPr="001F4F2E">
        <w:t>d) Bản sao hợp lệ Quyết định thành lập hoặc Giấy chứng nhận đăng ký doanh nghiệp hoặc các tài liệu tương đương khác;</w:t>
      </w:r>
    </w:p>
    <w:p w14:paraId="07D9B58B" w14:textId="77777777" w:rsidR="001F4F2E" w:rsidRPr="001F4F2E" w:rsidRDefault="001F4F2E" w:rsidP="00B400C3">
      <w:r w:rsidRPr="001F4F2E">
        <w:t>đ) Mẫu Sổ hoặc Giấy chứng nhận sở hữu chứng khoán có chữ ký của người có thẩm quyền và đóng dấu của TCĐKCK;</w:t>
      </w:r>
    </w:p>
    <w:p w14:paraId="7FD7CEEB" w14:textId="7F6CB146" w:rsidR="001F4F2E" w:rsidRPr="001F4F2E" w:rsidRDefault="001F4F2E" w:rsidP="00B400C3">
      <w:r w:rsidRPr="001F4F2E">
        <w:t>e) Danh sách người sở hữu chứng khoán hạn chế chuyển nhượng, trong đó ghi rõ thông tin về số lượng chứng khoán bị hạn chế chuyển nhượng, lý do và thời gian bị hạn chế chuyển nhượng theo từng người sở hữu (nếu có);</w:t>
      </w:r>
    </w:p>
    <w:p w14:paraId="09015608" w14:textId="2E3914F0" w:rsidR="001F4F2E" w:rsidRPr="001F4F2E" w:rsidRDefault="001F4F2E" w:rsidP="00B400C3">
      <w:r w:rsidRPr="001F4F2E">
        <w:t>g) Hợp đồng cung cấp dịch vụ (02 bản gốc) giữa VSDC và TCĐKCK đã có chữ ký của người đại diện pháp luật (hoặc người được ủy quyền) và đóng dấu của TCĐKCK theo mẫu do Tổng Giám đốc VSDC quy định;</w:t>
      </w:r>
    </w:p>
    <w:p w14:paraId="3A185B48" w14:textId="145223EE" w:rsidR="001F4F2E" w:rsidRPr="001F4F2E" w:rsidRDefault="001F4F2E" w:rsidP="00B400C3">
      <w:r w:rsidRPr="001F4F2E">
        <w:t>h) Bản sao văn bản của Ủy ban Chứng khoán Nhà nước (sau đây gọi tắt là UBCKNN) xác nhận TCĐKCK đã hoàn tất đăng ký công ty đại chúng; Bản công bố thông tin về công ty đại chúng (trường hợp TCĐKCK là công ty đại chúng);</w:t>
      </w:r>
    </w:p>
    <w:p w14:paraId="2EACDE6D" w14:textId="77777777" w:rsidR="000A4121" w:rsidRDefault="001F4F2E" w:rsidP="00B400C3">
      <w:r w:rsidRPr="00A644E6">
        <w:t xml:space="preserve">i) Quyết định của cơ quan có thẩm quyền phê duyệt phương án cổ phần hóa kèm văn bản của TCĐKCK xác nhận là doanh nghiệp cổ phần hóa chưa phải là công ty đại chúng và đã hoàn tất việc bán cổ phần lần đầu sau thời điểm Nghị định số 60/2015/NĐ-CP ngày 26/06/2015 của Chính phủ sửa đổi, bổ sung một số điều của Nghị định số 58/2012/NĐ-CP ngày 20/07/2012 của Chính phủ quy định chi tiết và hướng dẫn thi hành một số điều của Luật Chứng khoán và Luật sửa đổi, bổ sung một số điều của Luật Chứng khoán có hiệu lực thi hành (trường hợp TCĐKCK là doanh </w:t>
      </w:r>
      <w:r w:rsidRPr="00A644E6">
        <w:lastRenderedPageBreak/>
        <w:t>nghiệp cổ phần hóa chưa phải công ty đại chúng).</w:t>
      </w:r>
    </w:p>
    <w:p w14:paraId="25982F32" w14:textId="77777777" w:rsidR="000A4121" w:rsidRPr="000A4121" w:rsidRDefault="000A4121" w:rsidP="00B400C3">
      <w:pPr>
        <w:pStyle w:val="Heading2"/>
      </w:pPr>
      <w:bookmarkStart w:id="42" w:name="_Toc204931395"/>
      <w:r w:rsidRPr="000A4121">
        <w:t>Điều 6. Xử lý hồ sơ đăng ký chứng khoán lần đầu</w:t>
      </w:r>
      <w:bookmarkEnd w:id="42"/>
    </w:p>
    <w:p w14:paraId="637ABC05" w14:textId="1E9C6FEB" w:rsidR="000A4121" w:rsidRPr="000A4121" w:rsidRDefault="000A4121" w:rsidP="00B400C3">
      <w:r w:rsidRPr="000A4121">
        <w:t>1. Nguyên tắc xử lý hồ sơ</w:t>
      </w:r>
    </w:p>
    <w:p w14:paraId="740C80A0" w14:textId="573EC871" w:rsidR="000A4121" w:rsidRPr="000A4121" w:rsidRDefault="000A4121" w:rsidP="00B400C3">
      <w:r w:rsidRPr="000A4121">
        <w:t>a) VSDC xử lý hồ sơ đăng ký chứng khoán lần đầu trên cơ sở thống nhất về thông tin đăng ký giữa các tài liệu trong hồ sơ, trong đó:</w:t>
      </w:r>
    </w:p>
    <w:p w14:paraId="4C53C181" w14:textId="09D8A501" w:rsidR="000A4121" w:rsidRPr="000A4121" w:rsidRDefault="000A4121" w:rsidP="00B400C3">
      <w:r w:rsidRPr="000A4121">
        <w:t>- Thông tin về số lượng cổ phiếu, giá trị cổ phiếu đăng ký tính theo mệnh giá khớp với thông tin về số lượng cổ phần, vốn điều lệ nêu tại Giấy chứng nhận đăng ký doanh nghiệp và thông tin về vốn điều lệ đã góp nêu tại Bản công bố thông tin về công ty đại chúng.</w:t>
      </w:r>
    </w:p>
    <w:p w14:paraId="7FFD1DC6" w14:textId="65124B1E" w:rsidR="000A4121" w:rsidRPr="000A4121" w:rsidRDefault="000A4121" w:rsidP="00B400C3">
      <w:r w:rsidRPr="000A4121">
        <w:t>- Thông tin về kỳ hạn trái phiếu, mệnh giá trái phiếu, lãi suất trái phiếu, phương thức thanh toán lãi, gốc trái phiếu khớp với các thông tin nêu tại Bản cáo bạch chào bán trái phiếu ra công chúng do UBCKNN gửi VSDC. Thông tin về số lượng trái phiếu, giá trị trái phiếu đăng ký tính theo mệnh giá khớp với các thông tin nêu tại Báo cáo kết quả đợt chào bán trái phiếu ra công chúng của TCĐKCK, văn bản thông báo của UBCKNN về việc nhận được báo cáo kết quả đợt chào bán trái phiếu ra công chúng.</w:t>
      </w:r>
    </w:p>
    <w:p w14:paraId="4D001961" w14:textId="6741DEEE" w:rsidR="000A4121" w:rsidRPr="000A4121" w:rsidRDefault="000A4121" w:rsidP="00B400C3">
      <w:r w:rsidRPr="000A4121">
        <w:t>- Thông tin về số lượng chứng chỉ quỹ, giá trị chứng chỉ quỹ tính theo mệnh giá khớp với thông tin nêu tại Giấy chứng nhận đăng ký lập quỹ.</w:t>
      </w:r>
    </w:p>
    <w:p w14:paraId="32BC0EC2" w14:textId="44F788A4" w:rsidR="000A4121" w:rsidRPr="000A4121" w:rsidRDefault="000A4121" w:rsidP="00B400C3">
      <w:r w:rsidRPr="000A4121">
        <w:t xml:space="preserve">b) </w:t>
      </w:r>
      <w:r w:rsidRPr="00462809">
        <w:rPr>
          <w:highlight w:val="yellow"/>
        </w:rPr>
        <w:t>TCĐKCK hoàn thiện hồ sơ đăng ký chứng khoán lần đầu theo đề nghị bằng văn bản của VSDC (nếu có) tối đa trong vòng 15 ngày kể từ ngày VSDC có văn bản phản hồi</w:t>
      </w:r>
      <w:r w:rsidRPr="000A4121">
        <w:t>. Quá thời hạn trên mà TCĐKCK không hoàn thiện hồ sơ, VSDC dừng việc xem xét hồ sơ. TCĐKCK phải làm lại hồ sơ đăng ký chứng khoán mới hoặc có văn bản xác nhận với VSDC về các tài liệu đã gửi không có thay đổi và đề nghị VSDC tiếp tục sử dụng để xử lý hồ sơ đăng ký chứng khoán.</w:t>
      </w:r>
    </w:p>
    <w:p w14:paraId="4F531ADE" w14:textId="3A575F80" w:rsidR="000A4121" w:rsidRPr="000A4121" w:rsidRDefault="000A4121" w:rsidP="00B400C3">
      <w:r w:rsidRPr="000A4121">
        <w:t>c) Kể từ ngày chốt danh sách người sở hữu chứng khoán để nộp cho VSDC trong hồ sơ đăng ký chứng khoán, TCĐKCK chỉ thực hiện xác nhận chuyển quyền sở hữu chứng khoán sau khi đã thông báo bằng văn bản cho VSDC và nhận được văn bản xác nhận của VSDC để đảm bảo tính thống nhất trong hồ sơ đăng ký chứng khoán.</w:t>
      </w:r>
    </w:p>
    <w:p w14:paraId="5A6CEC9A" w14:textId="7EE7AE60" w:rsidR="000A4121" w:rsidRPr="000A4121" w:rsidRDefault="000A4121" w:rsidP="00B400C3">
      <w:r w:rsidRPr="000A4121">
        <w:t>2. Thời gian xử lý:</w:t>
      </w:r>
    </w:p>
    <w:p w14:paraId="49751DB6" w14:textId="5B12E4FD" w:rsidR="000A4121" w:rsidRPr="000A4121" w:rsidRDefault="000A4121" w:rsidP="00B400C3">
      <w:r w:rsidRPr="000A4121">
        <w:t>a) Đối với việc đăng ký cổ phiếu, chứng chỉ quỹ đóng, trái phiếu doanh nghiệp VSDC xử lý hồ sơ trong thời hạn 05 ngày làm việc kể từ ngày liền sau ngày VSDC nhận được hồ sơ.</w:t>
      </w:r>
    </w:p>
    <w:p w14:paraId="31B627F5" w14:textId="6CFA581B" w:rsidR="000A4121" w:rsidRPr="000A4121" w:rsidRDefault="000A4121" w:rsidP="00B400C3">
      <w:r w:rsidRPr="000A4121">
        <w:t>b) Đối với việc đăng ký công cụ nợ, VSDC xử lý hồ sơ trong thời hạn 01 ngày làm việc kể từ ngày liền sau ngày VSDC nhận được hồ sơ.</w:t>
      </w:r>
    </w:p>
    <w:p w14:paraId="6F7B8BE3" w14:textId="62F85C50" w:rsidR="000A4121" w:rsidRPr="000A4121" w:rsidRDefault="000A4121" w:rsidP="00B400C3">
      <w:r w:rsidRPr="000A4121">
        <w:t>3. Trường hợp hồ sơ đầy đủ hợp lệ, VSDC gửi văn bản chứng nhận đăng ký chứng khoán cho TCĐKCK theo Mẫu 04A, 04B, 04C, 04D/ĐKCK Quy chế này; đồng thời gửi cho các Sở giao dịch chứng khoán, các TVLK. Mã chứng khoán được VSDC cấp theo quy định tại Quy chế về hoạt động cấp mã chứng khoán trong nước và mã số định danh chứng khoán quốc tế tại VSDC.</w:t>
      </w:r>
    </w:p>
    <w:p w14:paraId="37FF4EF4" w14:textId="639840BC" w:rsidR="001F4F2E" w:rsidRDefault="000A4121" w:rsidP="00B400C3">
      <w:pPr>
        <w:rPr>
          <w:rFonts w:eastAsia="Times New Roman"/>
          <w:color w:val="auto"/>
          <w:sz w:val="26"/>
          <w:szCs w:val="26"/>
          <w:lang w:bidi="vi-VN"/>
        </w:rPr>
      </w:pPr>
      <w:r w:rsidRPr="000A4121">
        <w:t xml:space="preserve">4. Trường hợp hồ sơ chưa đầy đủ, hợp lệ, VSDC gửi văn bản thông báo cho TCĐKCK nêu rõ lý do. </w:t>
      </w:r>
      <w:r w:rsidR="001F4F2E">
        <w:br w:type="page"/>
      </w:r>
    </w:p>
    <w:p w14:paraId="78B65665" w14:textId="77777777" w:rsidR="001F4F2E" w:rsidRDefault="001F4F2E" w:rsidP="00B400C3">
      <w:pPr>
        <w:pStyle w:val="BodyText"/>
      </w:pPr>
    </w:p>
    <w:p w14:paraId="5ECCFCC4" w14:textId="447189C5" w:rsidR="00A43C6B" w:rsidRPr="00F451CC" w:rsidRDefault="00132BED" w:rsidP="00B400C3">
      <w:pPr>
        <w:pStyle w:val="Heading1"/>
      </w:pPr>
      <w:bookmarkStart w:id="43" w:name="_Toc204931396"/>
      <w:r w:rsidRPr="00F451CC">
        <w:t>ĐĂNG KÝ GIAO DỊCH CHỨNG KHOÁN</w:t>
      </w:r>
      <w:bookmarkEnd w:id="43"/>
    </w:p>
    <w:p w14:paraId="1877F82E" w14:textId="0B91398C" w:rsidR="00DC7BCA" w:rsidRPr="00DC7BCA" w:rsidRDefault="00DC7BCA" w:rsidP="00B400C3">
      <w:r w:rsidRPr="00DC7BCA">
        <w:t>Luật điều chỉnh:</w:t>
      </w:r>
    </w:p>
    <w:p w14:paraId="644BAF58" w14:textId="146083C5" w:rsidR="00DC7BCA" w:rsidRPr="00DC7BCA" w:rsidRDefault="00DC7BCA" w:rsidP="00B400C3">
      <w:pPr>
        <w:pStyle w:val="ListParagraph"/>
        <w:numPr>
          <w:ilvl w:val="0"/>
          <w:numId w:val="3"/>
        </w:numPr>
      </w:pPr>
      <w:r w:rsidRPr="00DC7BCA">
        <w:t>Nghị định 155/2020/NĐ-CP</w:t>
      </w:r>
    </w:p>
    <w:p w14:paraId="55ABE4CC" w14:textId="2235D664" w:rsidR="00DC7BCA" w:rsidRPr="00DC7BCA" w:rsidRDefault="00DC7BCA" w:rsidP="00B400C3">
      <w:pPr>
        <w:pStyle w:val="ListParagraph"/>
        <w:numPr>
          <w:ilvl w:val="0"/>
          <w:numId w:val="3"/>
        </w:numPr>
      </w:pPr>
      <w:r w:rsidRPr="00DC7BCA">
        <w:t>34/QĐ-HĐTV</w:t>
      </w:r>
    </w:p>
    <w:p w14:paraId="188950DC" w14:textId="5360FB26" w:rsidR="00551F72" w:rsidRPr="00DC7BCA" w:rsidRDefault="00551F72" w:rsidP="00B400C3">
      <w:pPr>
        <w:pStyle w:val="Heading2"/>
      </w:pPr>
      <w:bookmarkStart w:id="44" w:name="_Toc204931397"/>
      <w:r w:rsidRPr="00DC7BCA">
        <w:t>Điều 133. Đối tượng và thời hạn thực hiện đăng ký giao dịch</w:t>
      </w:r>
      <w:bookmarkEnd w:id="44"/>
    </w:p>
    <w:p w14:paraId="15067477" w14:textId="61213E54" w:rsidR="00551F72" w:rsidRPr="00DC7BCA" w:rsidRDefault="00551F72" w:rsidP="00B400C3">
      <w:r w:rsidRPr="00DC7BCA">
        <w:t>1. Đối tượng đăng ký giao dịch</w:t>
      </w:r>
    </w:p>
    <w:p w14:paraId="4E9793C3" w14:textId="4878E620" w:rsidR="00551F72" w:rsidRPr="00DC7BCA" w:rsidRDefault="00551F72" w:rsidP="00B400C3">
      <w:r w:rsidRPr="00DC7BCA">
        <w:t>a) Công ty đại chúng không niêm yết trên Sở giao dịch chứng khoán;</w:t>
      </w:r>
    </w:p>
    <w:p w14:paraId="0317A934" w14:textId="19C8D3FA" w:rsidR="00551F72" w:rsidRPr="00DC7BCA" w:rsidRDefault="00551F72" w:rsidP="00B400C3">
      <w:r w:rsidRPr="00DC7BCA">
        <w:t>b) Công ty bị hủy bỏ niêm yết bắt buộc hoặc hủy bỏ niêm yết tự nguyện nhưng vẫn đáp ứng điều kiện là công ty đại chúng;</w:t>
      </w:r>
    </w:p>
    <w:p w14:paraId="7959F628" w14:textId="73F504DF" w:rsidR="00551F72" w:rsidRPr="00DC7BCA" w:rsidRDefault="00551F72" w:rsidP="00B400C3">
      <w:r w:rsidRPr="00DC7BCA">
        <w:t>c) Doanh nghiệp cổ phần hóa thuộc đối tượng phải đăng ký giao dịch theo quy định pháp luật về chuyển doanh nghiệp nhà nước, công ty trách nhiệm hữu hạn một thành viên do doanh nghiệp nhà nước nắm giữ 100% vốn điều lệ, đơn vị sự nghiệp công lập thành công ty cổ phần.</w:t>
      </w:r>
    </w:p>
    <w:p w14:paraId="7B829264" w14:textId="7C5F6D67" w:rsidR="00551F72" w:rsidRPr="00DC7BCA" w:rsidRDefault="00551F72" w:rsidP="00B400C3">
      <w:r w:rsidRPr="00DC7BCA">
        <w:t>2. Thời hạn thực hiện đăng ký giao dịch</w:t>
      </w:r>
    </w:p>
    <w:p w14:paraId="6733960C" w14:textId="7591C0B5" w:rsidR="00551F72" w:rsidRDefault="00551F72" w:rsidP="00B400C3">
      <w:r w:rsidRPr="00DC7BCA">
        <w:t>a) Công ty đại chúng phải hoàn tất việc đăng ký cổ phiếu tại Tổng công ty lưu ký và bù trừ chứng khoán Việt Nam và đăng ký giao dịch trên hệ thống giao dịch Upcom theo quy định tại điểm d, đ khoản 1 Điều 34 Luật Chứng khoán;</w:t>
      </w:r>
    </w:p>
    <w:p w14:paraId="50DFED3E" w14:textId="63AEE345" w:rsidR="008E7B88" w:rsidRPr="008E7B88" w:rsidRDefault="008E7B88" w:rsidP="00B400C3">
      <w:r w:rsidRPr="008E7B88">
        <w:t xml:space="preserve">d) Công ty đại chúng quy định tại điểm a khoản 1 Điều 32 của Luật này phải </w:t>
      </w:r>
      <w:r w:rsidRPr="009C4D3F">
        <w:rPr>
          <w:highlight w:val="yellow"/>
        </w:rPr>
        <w:t>đăng ký giao dịch cổ phiếu trên hệ thống giao dịch cho chứng khoán chưa niêm yết trong thời hạn 30 ngày kể từ ngày Ủy ban Chứng khoán Nhà nước xác nhận hoàn tất việc đăng ký công ty đại chúng</w:t>
      </w:r>
      <w:r w:rsidRPr="008E7B88">
        <w:t>. Sau 02 năm kể từ ngày giao dịch đầu tiên trên hệ thống giao dịch cho chứng khoán chưa niêm yết, công ty đại chúng có quyền nộp hồ sơ đăng ký niêm yết khi đáp ứng các điều kiện niêm yết chứng khoán;</w:t>
      </w:r>
    </w:p>
    <w:p w14:paraId="739ADB28" w14:textId="399D5411" w:rsidR="008E7B88" w:rsidRPr="008E7B88" w:rsidRDefault="008E7B88" w:rsidP="00B400C3">
      <w:r w:rsidRPr="008E7B88">
        <w:t xml:space="preserve">đ) Công ty đại chúng quy định tại điểm b khoản 1 Điều 32 của Luật này phải đưa cổ phiếu vào niêm yết hoặc đăng ký giao dịch trên hệ thống giao dịch chứng khoán trong thời hạn </w:t>
      </w:r>
      <w:r w:rsidRPr="009C4D3F">
        <w:rPr>
          <w:highlight w:val="yellow"/>
        </w:rPr>
        <w:t>30 ngày</w:t>
      </w:r>
      <w:r w:rsidRPr="008E7B88">
        <w:t xml:space="preserve"> kể từ ngày kết thúc đợt chào bán ra công chúng.</w:t>
      </w:r>
    </w:p>
    <w:p w14:paraId="2700FF65" w14:textId="413586F3" w:rsidR="00551F72" w:rsidRPr="00DC7BCA" w:rsidRDefault="00551F72" w:rsidP="00B400C3">
      <w:r w:rsidRPr="00DC7BCA">
        <w:t>b) Trong thời hạn 07 ngày làm việc kể từ ngày hủy bỏ niêm yết có hiệu lực, Sở giao dịch chứng khoán có trách nhiệm phối hợp với Tổng công ty lưu ký và bù trừ chứng khoán Việt Nam thực hiện đăng ký giao dịch đối với cổ phiếu của công ty bị hủy bỏ niêm yết;</w:t>
      </w:r>
    </w:p>
    <w:p w14:paraId="67741D1F" w14:textId="2869DE3E" w:rsidR="00551F72" w:rsidRPr="00DC7BCA" w:rsidRDefault="00551F72" w:rsidP="00B400C3">
      <w:r w:rsidRPr="00DC7BCA">
        <w:t>c) Thời hạn đăng ký giao dịch của doanh nghiệp cổ phần hóa thực hiện theo quy định pháp luật về chuyển doanh nghiệp nhà nước, công ty trách nhiệm hữu hạn một thành viên do doanh nghiệp nhà nước nắm giữ 100% vốn điều lệ, đơn vị sự nghiệp công lập thành công ty cổ phần. Doanh nghiệp cổ phần hóa đăng ký giao dịch trên hệ thống giao dịch Upcom phải thực hiện nghĩa vụ công bố thông tin theo quy định pháp luật và quy chế của Sở giao dịch chứng khoán.</w:t>
      </w:r>
    </w:p>
    <w:p w14:paraId="007FC858" w14:textId="77777777" w:rsidR="00551F72" w:rsidRPr="00551F72" w:rsidRDefault="00551F72" w:rsidP="00B400C3"/>
    <w:p w14:paraId="0B3A63CF" w14:textId="77777777" w:rsidR="00A43C6B" w:rsidRPr="00A43C6B" w:rsidRDefault="00A43C6B" w:rsidP="00B400C3">
      <w:pPr>
        <w:pStyle w:val="Heading2"/>
      </w:pPr>
      <w:bookmarkStart w:id="45" w:name="_Toc204931398"/>
      <w:r w:rsidRPr="00A43C6B">
        <w:t>Điều 134. Hồ sơ đăng ký giao dịch</w:t>
      </w:r>
      <w:bookmarkEnd w:id="45"/>
    </w:p>
    <w:p w14:paraId="5A13C507" w14:textId="7AB67942" w:rsidR="00A43C6B" w:rsidRDefault="00A43C6B" w:rsidP="00B400C3">
      <w:pPr>
        <w:pStyle w:val="BodyText"/>
      </w:pPr>
      <w:r w:rsidRPr="00A43C6B">
        <w:t>1. Hồ sơ đăng ký giao dịch của công ty đại chúng quy định tại điểm a khoản 1 Điều 32 Luật Chứng khoán bao gồm:</w:t>
      </w:r>
    </w:p>
    <w:p w14:paraId="14E56EA1" w14:textId="77777777" w:rsidR="00A43C6B" w:rsidRPr="00600A4A" w:rsidRDefault="00A43C6B" w:rsidP="00B400C3">
      <w:r w:rsidRPr="00600A4A">
        <w:t>“11. Sửa đổi, bổ sung một số điểm, khoản của Điều 32 như sau:</w:t>
      </w:r>
    </w:p>
    <w:p w14:paraId="40D1CAA3" w14:textId="77777777" w:rsidR="00A43C6B" w:rsidRPr="00600A4A" w:rsidRDefault="00A43C6B" w:rsidP="00B400C3">
      <w:r w:rsidRPr="00600A4A">
        <w:t>a) Sửa đổi, bổ sung điểm a khoản 1 như sau:</w:t>
      </w:r>
    </w:p>
    <w:p w14:paraId="4556C207" w14:textId="62936C34" w:rsidR="00A43C6B" w:rsidRPr="00201D68" w:rsidRDefault="00A43C6B" w:rsidP="00B400C3">
      <w:r w:rsidRPr="00600A4A">
        <w:t>“a) Công ty có vốn điều lệ đã góp từ 30 tỷ đồng trở lên, có vốn chủ sở hữu từ 30 tỷ đồng trở lên và có tối thiểu 10% số cổ phiếu có quyền biểu quyết do ít nhất 100 nhà đầu tư không phải cổ đông lớn nắm giữ”</w:t>
      </w:r>
    </w:p>
    <w:p w14:paraId="437A8CA9" w14:textId="77777777" w:rsidR="00A43C6B" w:rsidRPr="00A43C6B" w:rsidRDefault="00A43C6B" w:rsidP="00B400C3">
      <w:pPr>
        <w:pStyle w:val="BodyText"/>
      </w:pPr>
      <w:r w:rsidRPr="00A43C6B">
        <w:t>a) Giấy đề nghị đăng ký giao dịch cổ phiếu theo Mẫu số 36</w:t>
      </w:r>
    </w:p>
    <w:p w14:paraId="7B451A19" w14:textId="77777777" w:rsidR="00A43C6B" w:rsidRPr="00A43C6B" w:rsidRDefault="00A43C6B" w:rsidP="00B400C3">
      <w:pPr>
        <w:pStyle w:val="BodyText"/>
      </w:pPr>
      <w:r w:rsidRPr="00A43C6B">
        <w:t xml:space="preserve"> Phụ lục ban hành kèm theo Nghị định này;</w:t>
      </w:r>
    </w:p>
    <w:p w14:paraId="447D767F" w14:textId="27BB96B7" w:rsidR="00A43C6B" w:rsidRDefault="00A43C6B" w:rsidP="00B400C3">
      <w:pPr>
        <w:pStyle w:val="BodyText"/>
      </w:pPr>
      <w:r w:rsidRPr="00A43C6B">
        <w:t>b) Tài liệu quy định tại các điểm b, c, d, đ khoản 1 Điều 33 Luật Chứng khoán;</w:t>
      </w:r>
    </w:p>
    <w:p w14:paraId="236B41F7" w14:textId="223A3DC6" w:rsidR="00A43C6B" w:rsidRPr="00A43C6B" w:rsidRDefault="00A43C6B" w:rsidP="00B400C3">
      <w:pPr>
        <w:pStyle w:val="BodyText"/>
      </w:pPr>
      <w:r w:rsidRPr="00A43C6B">
        <w:t>b) Điều lệ công ty;</w:t>
      </w:r>
    </w:p>
    <w:p w14:paraId="5EDC94BF" w14:textId="2F608D5A" w:rsidR="00A43C6B" w:rsidRPr="00A43C6B" w:rsidRDefault="00A43C6B" w:rsidP="00B400C3">
      <w:pPr>
        <w:pStyle w:val="BodyText"/>
      </w:pPr>
      <w:r w:rsidRPr="00A43C6B">
        <w:lastRenderedPageBreak/>
        <w:t>c) Giấy chứng nhận đăng ký doanh nghiệp;</w:t>
      </w:r>
    </w:p>
    <w:p w14:paraId="6356D74F" w14:textId="261B86EB" w:rsidR="00A43C6B" w:rsidRPr="00A43C6B" w:rsidRDefault="00A43C6B" w:rsidP="00B400C3">
      <w:pPr>
        <w:pStyle w:val="BodyText"/>
      </w:pPr>
      <w:r w:rsidRPr="00A43C6B">
        <w:t>d) Bản công bố thông tin về công ty đại chúng bao gồm thông tin tóm tắt về mô hình tổ chức bộ máy, hoạt động kinh doanh, bộ máy quản lý, cơ cấu cổ đông, tài sản, tình hình tài chính và các thông tin khác;</w:t>
      </w:r>
    </w:p>
    <w:p w14:paraId="6291B422" w14:textId="158ECC24" w:rsidR="00A43C6B" w:rsidRPr="00A43C6B" w:rsidRDefault="00A43C6B" w:rsidP="00B400C3">
      <w:pPr>
        <w:pStyle w:val="BodyText"/>
      </w:pPr>
      <w:r w:rsidRPr="00A43C6B">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p>
    <w:p w14:paraId="1C37C7EC" w14:textId="77777777" w:rsidR="00A43C6B" w:rsidRPr="00A43C6B" w:rsidRDefault="00A43C6B" w:rsidP="00B400C3">
      <w:pPr>
        <w:pStyle w:val="BodyText"/>
      </w:pPr>
      <w:r w:rsidRPr="00A43C6B">
        <w:t>c) Giấy xác nhận của Ủy ban Chứng khoán Nhà nước về việc hoàn tất đăng ký công ty đại chúng;</w:t>
      </w:r>
    </w:p>
    <w:p w14:paraId="22FD5DC9" w14:textId="77777777" w:rsidR="00A43C6B" w:rsidRPr="00A43C6B" w:rsidRDefault="00A43C6B" w:rsidP="00B400C3">
      <w:pPr>
        <w:pStyle w:val="BodyText"/>
      </w:pPr>
      <w:r w:rsidRPr="00A43C6B">
        <w:t xml:space="preserve">d) </w:t>
      </w:r>
      <w:r w:rsidRPr="000A4121">
        <w:rPr>
          <w:highlight w:val="yellow"/>
        </w:rPr>
        <w:t>Giấy chứng nhận đăng ký chứng khoán của Tổng công ty lưu ký và bù trừ chứng khoán Việt Nam và văn bản thông báo cho Tổng công ty lưu ký và bù trừ chứng khoán Việt Nam về việc đăng ký ngày chốt danh sách cổ đông để đăng ký giao dịch.</w:t>
      </w:r>
    </w:p>
    <w:p w14:paraId="6D03B292" w14:textId="77777777" w:rsidR="00A43C6B" w:rsidRPr="00A43C6B" w:rsidRDefault="00A43C6B" w:rsidP="00B400C3">
      <w:pPr>
        <w:pStyle w:val="BodyText"/>
      </w:pPr>
      <w:r w:rsidRPr="00A43C6B">
        <w:t>2. Hồ sơ đăng ký giao dịch của công ty đại chúng quy định tại điểm b khoản 1 Điều 32 Luật Chứng khoán bao gồm:</w:t>
      </w:r>
    </w:p>
    <w:p w14:paraId="41E680FA" w14:textId="57336767" w:rsidR="00A43C6B" w:rsidRDefault="00A43C6B" w:rsidP="00B400C3">
      <w:pPr>
        <w:pStyle w:val="BodyText"/>
      </w:pPr>
      <w:r w:rsidRPr="00A43C6B">
        <w:t>a) Tài liệu quy định tại các điểm a, c, d khoản 1 Điều này;</w:t>
      </w:r>
    </w:p>
    <w:p w14:paraId="6A12B65A" w14:textId="5E26534C" w:rsidR="0029461C" w:rsidRPr="0029461C" w:rsidRDefault="0029461C" w:rsidP="00B400C3">
      <w:pPr>
        <w:pStyle w:val="BodyText"/>
      </w:pPr>
      <w:r w:rsidRPr="0029461C">
        <w:t>a) Giấy đề nghị đăng ký giao dịch cổ phiếu theo Mẫu số 36</w:t>
      </w:r>
    </w:p>
    <w:p w14:paraId="322A0C80" w14:textId="2CDC315A" w:rsidR="0029461C" w:rsidRPr="0029461C" w:rsidRDefault="0029461C" w:rsidP="00B400C3">
      <w:pPr>
        <w:pStyle w:val="BodyText"/>
      </w:pPr>
      <w:r w:rsidRPr="0029461C">
        <w:t xml:space="preserve">c) Giấy xác nhận của Ủy </w:t>
      </w:r>
      <w:r w:rsidR="00203A7E">
        <w:t>s</w:t>
      </w:r>
      <w:r w:rsidRPr="0029461C">
        <w:t>ban Chứng khoán Nhà nước về việc hoàn tất đăng ký công ty đại chúng;</w:t>
      </w:r>
    </w:p>
    <w:p w14:paraId="7F567095" w14:textId="166ACAB2" w:rsidR="0029461C" w:rsidRPr="0029461C" w:rsidRDefault="0029461C" w:rsidP="00B400C3">
      <w:pPr>
        <w:pStyle w:val="BodyText"/>
      </w:pPr>
      <w:r w:rsidRPr="0029461C">
        <w:t>d) Giấy chứng nhận đăng ký chứng khoán của Tổng công ty lưu ký và bù trừ chứng khoán Việt Nam và văn bản thông báo cho Tổng công ty lưu ký và bù trừ chứng khoán Việt Nam về việc đăng ký ngày chốt danh sách cổ đông để đăng ký giao dịch.</w:t>
      </w:r>
    </w:p>
    <w:p w14:paraId="42EECD10" w14:textId="77777777" w:rsidR="00A43C6B" w:rsidRPr="00A43C6B" w:rsidRDefault="00A43C6B" w:rsidP="00B400C3">
      <w:pPr>
        <w:pStyle w:val="BodyText"/>
      </w:pPr>
      <w:r w:rsidRPr="00A43C6B">
        <w:t>b) Bản cáo bạch kèm theo Giấy chứng nhận đăng ký chào bán và báo cáo kết quả chào bán chứng khoán ra công chúng;</w:t>
      </w:r>
    </w:p>
    <w:p w14:paraId="6223E962" w14:textId="5A0CF913" w:rsidR="00E05943" w:rsidRDefault="00A43C6B" w:rsidP="00B400C3">
      <w:pPr>
        <w:pStyle w:val="BodyText"/>
      </w:pPr>
      <w:r w:rsidRPr="00A43C6B">
        <w:t>c) Tài liệu quy định tại các điểm b, c khoản 1 Điều 33 Luật Chứng khoán.</w:t>
      </w:r>
    </w:p>
    <w:p w14:paraId="53B4F10A" w14:textId="77777777" w:rsidR="00F32805" w:rsidRPr="00A43C6B" w:rsidRDefault="00F32805" w:rsidP="00B400C3">
      <w:pPr>
        <w:pStyle w:val="BodyText"/>
      </w:pPr>
      <w:r w:rsidRPr="00A43C6B">
        <w:t>b) Điều lệ công ty;</w:t>
      </w:r>
    </w:p>
    <w:p w14:paraId="3EBC2A70" w14:textId="0E41B08A" w:rsidR="00F32805" w:rsidRPr="00F32805" w:rsidRDefault="00F32805" w:rsidP="00B400C3">
      <w:pPr>
        <w:pStyle w:val="BodyText"/>
      </w:pPr>
      <w:r w:rsidRPr="00A43C6B">
        <w:t>c) Giấy chứng nhận đăng ký doanh nghiệp;</w:t>
      </w:r>
    </w:p>
    <w:p w14:paraId="331EC09C" w14:textId="77777777" w:rsidR="00203A7E" w:rsidRDefault="00203A7E" w:rsidP="00B400C3">
      <w:pPr>
        <w:pStyle w:val="BodyText"/>
      </w:pPr>
    </w:p>
    <w:p w14:paraId="06104EE7" w14:textId="77777777" w:rsidR="00E05943" w:rsidRPr="00E05943" w:rsidRDefault="00E05943" w:rsidP="00B400C3">
      <w:pPr>
        <w:pStyle w:val="Heading2"/>
      </w:pPr>
      <w:bookmarkStart w:id="46" w:name="_Toc204931399"/>
      <w:r w:rsidRPr="00E05943">
        <w:t>Điều 135. Thủ tục đăng ký giao dịch trên hệ thống giao dịch Upcom</w:t>
      </w:r>
      <w:bookmarkEnd w:id="46"/>
    </w:p>
    <w:p w14:paraId="5456A7CC" w14:textId="5F30B504" w:rsidR="00E05943" w:rsidRDefault="00E05943" w:rsidP="00B400C3">
      <w:pPr>
        <w:pStyle w:val="BodyText"/>
      </w:pPr>
      <w:r w:rsidRPr="00E05943">
        <w:t>1. Trong thời hạn 05 ngày làm việc kể từ ngày nhận được hồ sơ đầy đủ và hợp lệ hoặc kể từ ngày nhận được Giấy chứng nhận đăng ký chứng khoán (đối với trường hợp quy định tại điểm a khoản 3 Điều 134 Nghị định này), Sở giao dịch chứng khoán có quyết định chấp thuận đăng ký giao dịch đồng thời thực hiện công bố thông tin ra thị trường.</w:t>
      </w:r>
    </w:p>
    <w:p w14:paraId="6A9D3D82" w14:textId="4628D835" w:rsidR="00A4540D" w:rsidRPr="00A4540D" w:rsidRDefault="00A4540D" w:rsidP="00B400C3">
      <w:pPr>
        <w:pStyle w:val="BodyText"/>
      </w:pPr>
      <w:r w:rsidRPr="00A4540D">
        <w:t>a) Đối với trường hợp doanh nghiệp cổ phần hóa đã hoàn tất việc chuyển sang công ty cổ phần, hồ sơ đăng ký giao dịch bao gồm các tài liệu theo quy định tại khoản 1 Điều này. Trường hợp doanh nghiệp cổ phần hóa không đáp ứng quy định tại điểm a khoản 1 Điều 32 Luật Chứng khoán thì hồ sơ không bao gồm giấy xác nhận của Ủy ban Chứng khoán Nhà nước về việc hoàn tất đăng ký công ty đại chúng;</w:t>
      </w:r>
    </w:p>
    <w:p w14:paraId="1B703140" w14:textId="77777777" w:rsidR="00E05943" w:rsidRPr="00E05943" w:rsidRDefault="00E05943" w:rsidP="00B400C3">
      <w:pPr>
        <w:pStyle w:val="BodyText"/>
      </w:pPr>
      <w:r w:rsidRPr="00E05943">
        <w:t xml:space="preserve">2. Trong thời hạn 10 ngày kể từ ngày Sở giao dịch chứng khoán ban hành quyết định </w:t>
      </w:r>
      <w:r w:rsidRPr="00E05943">
        <w:lastRenderedPageBreak/>
        <w:t>chấp thuận đăng ký giao dịch, tổ chức phát hành có trách nhiệm đưa cổ phiếu vào giao dịch trên hệ thống giao dịch Upcom.</w:t>
      </w:r>
    </w:p>
    <w:p w14:paraId="0B73F36F" w14:textId="77777777" w:rsidR="00F451CC" w:rsidRDefault="00E05943" w:rsidP="00B400C3">
      <w:pPr>
        <w:pStyle w:val="BodyText"/>
      </w:pPr>
      <w:r w:rsidRPr="00E05943">
        <w:t>3. Doanh nghiệp cổ phần hóa gắn với đăng ký, lưu ký và đăng ký giao dịch thì trình tự, thủ tục đăng ký giao dịch trên hệ thống giao dịch Upcom thực hiện theo quy định pháp luật về chuyển doanh nghiệp nhà nước, công ty trách nhiệm hữu hạn một thành viên do doanh nghiệp nhà nước nắm giữ 100% vốn điều lệ, đơn vị sự nghiệp công lập thành công ty cổ phần.</w:t>
      </w:r>
    </w:p>
    <w:p w14:paraId="33A17CB1" w14:textId="2D54DB7B" w:rsidR="00C3060E" w:rsidRDefault="00C3060E" w:rsidP="00B400C3">
      <w:pPr>
        <w:pStyle w:val="BodyText"/>
      </w:pPr>
    </w:p>
    <w:p w14:paraId="08ECD3EA" w14:textId="3EFC22AE" w:rsidR="00DC7BCA" w:rsidRPr="00DC7BCA" w:rsidRDefault="00DC7BCA" w:rsidP="00B400C3">
      <w:pPr>
        <w:pStyle w:val="Heading2"/>
      </w:pPr>
      <w:bookmarkStart w:id="47" w:name="_Toc204931400"/>
      <w:r w:rsidRPr="00DC7BCA">
        <w:t>Điều 5. Hồ sơ đăng ký giao dịch</w:t>
      </w:r>
      <w:r>
        <w:t xml:space="preserve"> - 34/QD-HDTV</w:t>
      </w:r>
      <w:bookmarkEnd w:id="47"/>
    </w:p>
    <w:p w14:paraId="5AABE377" w14:textId="20F2E73B" w:rsidR="00DC7BCA" w:rsidRPr="00DC7BCA" w:rsidRDefault="00DC7BCA" w:rsidP="00B400C3">
      <w:pPr>
        <w:pStyle w:val="BodyText"/>
      </w:pPr>
      <w:r w:rsidRPr="00DC7BCA">
        <w:t>Hồ sơ đăng ký giao dịch được quy định tại khoản 3, khoản 4 Điều 6 và Điều 134 Nghị định số 155/2020/NĐ-CP, chi tiết tại Phụ lục I ban hành kèm theo Quy chế này và các hướng dẫn sau:</w:t>
      </w:r>
    </w:p>
    <w:p w14:paraId="7B59AC0D" w14:textId="69CB4613" w:rsidR="00DC7BCA" w:rsidRDefault="00DC7BCA" w:rsidP="00B400C3">
      <w:pPr>
        <w:pStyle w:val="BodyText"/>
      </w:pPr>
      <w:r w:rsidRPr="00DC7BCA">
        <w:t>1. Đối với công ty đại chúng quy định tại điểm a khoản 1 Điều 32 Luật Chứng khoán: hồ sơ đăng ký giao dịch bao gồm các tài liệu quy định tại khoản 1 Điều 134 Nghị định số 155/2020/NĐ-CP.</w:t>
      </w:r>
    </w:p>
    <w:p w14:paraId="364C3114" w14:textId="04F0262A" w:rsidR="00DC7BCA" w:rsidRPr="00DC7BCA" w:rsidRDefault="00DC7BCA" w:rsidP="00B400C3">
      <w:pPr>
        <w:pStyle w:val="BodyText"/>
      </w:pPr>
      <w:r w:rsidRPr="00DC7BCA">
        <w:t>a) Công ty có vốn điều lệ đã góp từ 30 tỷ đồng trở lên và có tối thiểu là 10% số cổ phiếu có quyền biểu quyết do ít nhất 100 nhà đầu tư không phải là cổ đông lớn nắm giữ;</w:t>
      </w:r>
    </w:p>
    <w:p w14:paraId="67A5869E" w14:textId="43161BAA" w:rsidR="00DC7BCA" w:rsidRDefault="00DC7BCA" w:rsidP="00B400C3">
      <w:pPr>
        <w:pStyle w:val="BodyText"/>
      </w:pPr>
      <w:r w:rsidRPr="00DC7BCA">
        <w:t>2. Đối với công ty đại chúng quy định tại điểm b khoản 1 Điều 32 Luật Chứng khoán: hồ sơ đăng ký giao dịch bao gồm các tài liệu quy định tại khoản 2 Điều 134 Nghị định số 155/2020/NĐ-CP.</w:t>
      </w:r>
    </w:p>
    <w:p w14:paraId="42301E1A" w14:textId="331350C5" w:rsidR="00DC7BCA" w:rsidRDefault="00DC7BCA" w:rsidP="00B400C3">
      <w:pPr>
        <w:pStyle w:val="BodyText"/>
      </w:pPr>
      <w:r w:rsidRPr="00DC7BCA">
        <w:t>b) Công ty đã thực hiện chào bán thành công cổ phiếu lần đầu ra công chúng thông qua đăng ký với Ủy ban Chứng khoán Nhà nước</w:t>
      </w:r>
    </w:p>
    <w:p w14:paraId="15EAE162" w14:textId="6ED52146" w:rsidR="00753D2A" w:rsidRDefault="00753D2A" w:rsidP="00B400C3">
      <w:pPr>
        <w:pStyle w:val="BodyText"/>
      </w:pPr>
    </w:p>
    <w:p w14:paraId="3E7ECF5B" w14:textId="05BC4356" w:rsidR="00753D2A" w:rsidRPr="00753D2A" w:rsidRDefault="00753D2A" w:rsidP="00B400C3">
      <w:pPr>
        <w:pStyle w:val="Heading2"/>
      </w:pPr>
      <w:bookmarkStart w:id="48" w:name="_Toc204931401"/>
      <w:r w:rsidRPr="00753D2A">
        <w:t>Điều 6. Trình tự, thủ tục đăng ký giao dịch</w:t>
      </w:r>
      <w:bookmarkEnd w:id="48"/>
    </w:p>
    <w:p w14:paraId="03D63984" w14:textId="13CEF5E6" w:rsidR="00753D2A" w:rsidRPr="00753D2A" w:rsidRDefault="00753D2A" w:rsidP="00B400C3">
      <w:pPr>
        <w:pStyle w:val="BodyText"/>
      </w:pPr>
      <w:r w:rsidRPr="00753D2A">
        <w:t xml:space="preserve">1. Đối với </w:t>
      </w:r>
      <w:r w:rsidRPr="00002E2C">
        <w:rPr>
          <w:highlight w:val="yellow"/>
        </w:rPr>
        <w:t>công ty đại chúng không niêm yết</w:t>
      </w:r>
      <w:r w:rsidRPr="00753D2A">
        <w:t xml:space="preserve"> và doanh nghiệp cổ phần hóa theo quy định tại điểm b, c khoản 3 Điều 5 Quy chế này:</w:t>
      </w:r>
    </w:p>
    <w:p w14:paraId="78E9EF59" w14:textId="7781FC6F" w:rsidR="00753D2A" w:rsidRDefault="00753D2A" w:rsidP="00B400C3">
      <w:pPr>
        <w:pStyle w:val="BodyText"/>
      </w:pPr>
      <w:r w:rsidRPr="00753D2A">
        <w:t>a) Công ty nộp hồ sơ cho SGDCKHN theo quy định tại khoản 2 Điều 6 Nghị định số 155/2020/NĐ-CP;</w:t>
      </w:r>
    </w:p>
    <w:p w14:paraId="50BE1307" w14:textId="03FB5AEA" w:rsidR="00002E2C" w:rsidRPr="00753D2A" w:rsidRDefault="00002E2C" w:rsidP="00B400C3">
      <w:pPr>
        <w:pStyle w:val="BodyText"/>
      </w:pPr>
      <w:r w:rsidRPr="00002E2C">
        <w:t>2. Hồ sơ, tài liệu quy định tại Nghị định này được nộp và trả trực tiếp, gửi qua đường bưu điện hoặc qua hệ thống dịch vụ công trực tuyến theo hướng dẫn của Bộ Tài chính.</w:t>
      </w:r>
    </w:p>
    <w:p w14:paraId="50E431F8" w14:textId="16E5C098" w:rsidR="00753D2A" w:rsidRPr="00753D2A" w:rsidRDefault="00753D2A" w:rsidP="00B400C3">
      <w:pPr>
        <w:pStyle w:val="BodyText"/>
      </w:pPr>
      <w:r w:rsidRPr="00753D2A">
        <w:t>Trường hợp là công ty đại chúng thì thực hiện thủ tục thông báo, thay đổi tỷ lệ sở hữu nước ngoài tối đa theo quy định tại khoản 3 Điều 141 và Điều 142 Nghị định số 155/2020/NĐ-CP;</w:t>
      </w:r>
    </w:p>
    <w:p w14:paraId="7458C4A8" w14:textId="6558B35C" w:rsidR="00753D2A" w:rsidRPr="00753D2A" w:rsidRDefault="00753D2A" w:rsidP="00B400C3">
      <w:pPr>
        <w:pStyle w:val="BodyText"/>
      </w:pPr>
      <w:r w:rsidRPr="00753D2A">
        <w:t>b) Sửa đổi, bổ sung hồ sơ đăng ký giao dịch:</w:t>
      </w:r>
    </w:p>
    <w:p w14:paraId="3E1F8DF7" w14:textId="49F20939" w:rsidR="00753D2A" w:rsidRPr="00753D2A" w:rsidRDefault="00753D2A" w:rsidP="00B400C3">
      <w:pPr>
        <w:pStyle w:val="BodyText"/>
      </w:pPr>
      <w:r w:rsidRPr="00753D2A">
        <w:t>- Trong thời hạn 05 ngày làm việc kể từ ngày nhận hồ sơ đăng ký giao dịch, SGDCKHN gửi văn bản yêu cầu công ty sửa đổi, bổ sung hồ sơ (nếu hồ sơ chưa đầy đủ, hợp lệ và cần làm rõ). Trường hợp cần thiết, SGDCKHN được lấy ý kiến các cơ quan quản lý Nhà nước có thẩm quyền để làm rõ các nội dung theo yêu cầu của pháp luật chứng khoán và bảo đảm lợi ích của nhà đầu tư.</w:t>
      </w:r>
    </w:p>
    <w:p w14:paraId="26D5DD42" w14:textId="1DB1D2D5" w:rsidR="00753D2A" w:rsidRPr="00753D2A" w:rsidRDefault="00753D2A" w:rsidP="00B400C3">
      <w:pPr>
        <w:pStyle w:val="BodyText"/>
      </w:pPr>
      <w:r w:rsidRPr="00753D2A">
        <w:lastRenderedPageBreak/>
        <w:t>- Trong thời gian SGDCKHN xem xét hồ sơ, Công ty có nghĩa vụ sửa đổi, bổ sung hồ sơ khi phát hiện thông tin không chính xác, còn thiếu; hoặc thay đổi nội dung quan trọng phải có trong hồ sơ theo quy định pháp luật, hoặc thấy cần thiết phải giải trình về vấn đề có thể gây hiểu nhầm;</w:t>
      </w:r>
    </w:p>
    <w:p w14:paraId="142958C9" w14:textId="7CA9EB39" w:rsidR="00753D2A" w:rsidRPr="00753D2A" w:rsidRDefault="00753D2A" w:rsidP="00B400C3">
      <w:pPr>
        <w:pStyle w:val="BodyText"/>
      </w:pPr>
      <w:r w:rsidRPr="00753D2A">
        <w:t>c) Thời hạn hoàn thiện hồ sơ thực hiện theo quy định tại khoản 8 Điều 6 Nghị định số 155/2020/NĐ-CP. Trường hợp Công ty không hoàn thiện hồ sơ trong thời gian theo quy định, SGDCKHN dừng việc xem xét hồ sơ và thông báo bằng văn bản cho công ty;</w:t>
      </w:r>
    </w:p>
    <w:p w14:paraId="5A61981D" w14:textId="7FE3F0AF" w:rsidR="00753D2A" w:rsidRDefault="00753D2A" w:rsidP="00B400C3">
      <w:pPr>
        <w:pStyle w:val="BodyText"/>
      </w:pPr>
      <w:r w:rsidRPr="00753D2A">
        <w:t>d) Trong thời hạn 05 ngày làm việc kể từ ngày nhận được hồ sơ đầy đủ và hợp lệ hoặc kể từ ngày nhận được Giấy chứng nhận đăng ký chứng khoán (đối với trường hợp quy định tại điểm a khoản 3 Điều 134 Nghị định số 155/2020/NĐ-CP), SGDCKHN ban hành Quyết định chấp thuận đăng ký giao dịch đồng thời công bố thông tin ra thị trường. Trường hợp từ chối, SGDCKHN trả lời bằng văn bản và nêu rõ lý do;</w:t>
      </w:r>
    </w:p>
    <w:p w14:paraId="669566C7" w14:textId="12EB1193" w:rsidR="00F451CC" w:rsidRPr="00500E42" w:rsidRDefault="00500E42" w:rsidP="00B400C3">
      <w:pPr>
        <w:pStyle w:val="BodyText"/>
      </w:pPr>
      <w:r w:rsidRPr="00500E42">
        <w:t>a) Đối với trường hợp doanh nghiệp cổ phần hóa đã hoàn tất việc chuyển sang công ty cổ phần, hồ sơ đăng ký giao dịch bao gồm các tài liệu theo quy định tại khoản 1 Điều này. Trường hợp doanh nghiệp cổ phần hóa không đáp ứng quy định tại điểm a khoản 1 Điều 32 Luật Chứng khoán thì hồ sơ không bao gồm giấy xác nhận của Ủy ban Chứng khoán Nhà nước về việc hoàn tất đăng ký công ty đại chúng;</w:t>
      </w:r>
    </w:p>
    <w:p w14:paraId="016A6EDF" w14:textId="6D157769" w:rsidR="00753D2A" w:rsidRPr="00753D2A" w:rsidRDefault="00753D2A" w:rsidP="00B400C3">
      <w:pPr>
        <w:pStyle w:val="BodyText"/>
      </w:pPr>
      <w:r w:rsidRPr="00753D2A">
        <w:t>đ) Công ty có trách nhiệm thông báo ngày giao dịch đầu tiên và giá tham chiếu tại ngày giao dịch đầu tiên cho SGDCKHN. Ngày giao dịch đầu tiên phải sau ngày SGDCKHN nhận được thông báo của Công ty tối thiểu 05 ngày làm việc nhưng không vượt quá thời hạn quy định tại khoản 2 Điều 135 Nghị định số 155/2020/NĐ-CP.</w:t>
      </w:r>
    </w:p>
    <w:p w14:paraId="7F84C314" w14:textId="77777777" w:rsidR="00DC7BCA" w:rsidRDefault="00DC7BCA" w:rsidP="00B400C3">
      <w:pPr>
        <w:rPr>
          <w:rFonts w:eastAsia="Times New Roman" w:cs="Times New Roman"/>
          <w:color w:val="auto"/>
          <w:sz w:val="26"/>
          <w:szCs w:val="26"/>
          <w:lang w:bidi="vi-VN"/>
        </w:rPr>
      </w:pPr>
      <w:r>
        <w:br w:type="page"/>
      </w:r>
    </w:p>
    <w:p w14:paraId="374EAF1A" w14:textId="77777777" w:rsidR="00DC7BCA" w:rsidRPr="00C3060E" w:rsidRDefault="00DC7BCA" w:rsidP="00B400C3">
      <w:pPr>
        <w:pStyle w:val="BodyText"/>
      </w:pPr>
    </w:p>
    <w:p w14:paraId="7C415B29" w14:textId="329246B3" w:rsidR="00ED4C3C" w:rsidRDefault="00ED4C3C" w:rsidP="00B400C3">
      <w:pPr>
        <w:pStyle w:val="Heading1"/>
      </w:pPr>
      <w:bookmarkStart w:id="49" w:name="_Toc204931402"/>
      <w:r>
        <w:t>CHÀO BÁN CỔ PHIẾU LẦN ĐẦU</w:t>
      </w:r>
      <w:r w:rsidR="0059342A">
        <w:t xml:space="preserve"> CTCP</w:t>
      </w:r>
      <w:r>
        <w:t xml:space="preserve"> RA CÔNG CHÚNG</w:t>
      </w:r>
      <w:bookmarkEnd w:id="49"/>
    </w:p>
    <w:p w14:paraId="7E6959BA" w14:textId="27E8200B" w:rsidR="008A0302" w:rsidRDefault="008A0302" w:rsidP="00B400C3">
      <w:r>
        <w:t>Luật chứng khoán 2019</w:t>
      </w:r>
    </w:p>
    <w:p w14:paraId="77A08C39" w14:textId="747B7FCA" w:rsidR="008A0302" w:rsidRDefault="008A0302" w:rsidP="00B400C3">
      <w:r>
        <w:t>Nghị định 155</w:t>
      </w:r>
    </w:p>
    <w:p w14:paraId="30AF1A58" w14:textId="1DE89358" w:rsidR="008A0302" w:rsidRDefault="008A0302" w:rsidP="00B400C3">
      <w:r w:rsidRPr="008A0302">
        <w:t>118/2020/TT-BTC</w:t>
      </w:r>
    </w:p>
    <w:p w14:paraId="73339BB0" w14:textId="77777777" w:rsidR="008A0302" w:rsidRPr="008A0302" w:rsidRDefault="008A0302" w:rsidP="00B400C3"/>
    <w:p w14:paraId="749412AB" w14:textId="605F163B" w:rsidR="00183BEB" w:rsidRDefault="00183BEB" w:rsidP="00B400C3">
      <w:pPr>
        <w:pStyle w:val="Heading2"/>
      </w:pPr>
      <w:bookmarkStart w:id="50" w:name="_Toc204931403"/>
      <w:r w:rsidRPr="00183BEB">
        <w:t>Khoản 1 Điều 15 Luật Chứng Khoán 2019</w:t>
      </w:r>
      <w:r>
        <w:t>:</w:t>
      </w:r>
      <w:bookmarkEnd w:id="50"/>
    </w:p>
    <w:p w14:paraId="1CE73398" w14:textId="35FFFDC5" w:rsidR="00183BEB" w:rsidRPr="00183BEB" w:rsidRDefault="00183BEB" w:rsidP="00B400C3">
      <w:pPr>
        <w:pStyle w:val="BodyText"/>
      </w:pPr>
      <w:r>
        <w:t>“</w:t>
      </w:r>
      <w:r w:rsidRPr="00183BEB">
        <w:t>Điều 15. Điều kiện chào bán chứng khoán ra công chúng</w:t>
      </w:r>
    </w:p>
    <w:p w14:paraId="2FB7E26E" w14:textId="431BF9B0" w:rsidR="00183BEB" w:rsidRPr="00183BEB" w:rsidRDefault="00183BEB" w:rsidP="00B400C3">
      <w:pPr>
        <w:pStyle w:val="BodyText"/>
      </w:pPr>
      <w:r w:rsidRPr="00183BEB">
        <w:t>1. Điều kiện chào bán cổ phiếu lần đầu ra công chúng của công ty cổ phần bao gồm:</w:t>
      </w:r>
    </w:p>
    <w:p w14:paraId="2666E040" w14:textId="2346A38A" w:rsidR="00183BEB" w:rsidRPr="00183BEB" w:rsidRDefault="00183BEB" w:rsidP="00B400C3">
      <w:pPr>
        <w:pStyle w:val="BodyText"/>
      </w:pPr>
      <w:r w:rsidRPr="00183BEB">
        <w:t>a) Mức vốn điều lệ đã góp tại thời điểm đăng ký chào bán từ 30 tỷ đồng trở lên tính theo giá trị ghi trên sổ kế toán;</w:t>
      </w:r>
    </w:p>
    <w:p w14:paraId="7EA50DBC" w14:textId="67FCAD5D" w:rsidR="00183BEB" w:rsidRPr="00183BEB" w:rsidRDefault="00183BEB" w:rsidP="00B400C3">
      <w:pPr>
        <w:pStyle w:val="BodyText"/>
      </w:pPr>
      <w:r w:rsidRPr="00183BEB">
        <w:t>b) Hoạt động kinh doanh của 02 năm liên tục liền trước năm đăng ký chào bán phải có lãi, đồng thời không có lỗ lũy kế tính đến năm đăng ký chào bán;</w:t>
      </w:r>
    </w:p>
    <w:p w14:paraId="11DBBC1D" w14:textId="6393A685" w:rsidR="00183BEB" w:rsidRPr="00183BEB" w:rsidRDefault="00183BEB" w:rsidP="00B400C3">
      <w:pPr>
        <w:pStyle w:val="BodyText"/>
      </w:pPr>
      <w:r w:rsidRPr="00183BEB">
        <w:t>c) Có phương án phát hành và phương án sử dụng vốn thu được từ đợt chào bán cổ phiếu được Đại hội đồng cổ đông thông qua;</w:t>
      </w:r>
    </w:p>
    <w:p w14:paraId="7C75CFF4" w14:textId="32681F13" w:rsidR="00183BEB" w:rsidRPr="00183BEB" w:rsidRDefault="00183BEB" w:rsidP="00B400C3">
      <w:pPr>
        <w:pStyle w:val="BodyText"/>
      </w:pPr>
      <w:r w:rsidRPr="00183BEB">
        <w:t xml:space="preserve">d) Tối thiểu là 15% số cổ phiếu có quyền biểu quyết của tổ chức phát hành </w:t>
      </w:r>
      <w:r w:rsidRPr="004D7EB6">
        <w:rPr>
          <w:b/>
          <w:bCs/>
        </w:rPr>
        <w:t>phải được bán</w:t>
      </w:r>
      <w:r w:rsidRPr="00183BEB">
        <w:t xml:space="preserve"> cho ít nhất 100 nhà đầu tư không phải là cổ đông lớn; trường hợp vốn điều lệ của tổ chức phát hành từ 1.000 tỷ đồng trở lên, tỷ lệ tối thiểu là 10% số cổ phiếu có quyền biểu quyết của tổ chức phát hành;</w:t>
      </w:r>
    </w:p>
    <w:p w14:paraId="7CE94FBB" w14:textId="56B6F1E7" w:rsidR="00183BEB" w:rsidRPr="00183BEB" w:rsidRDefault="00183BEB" w:rsidP="00B400C3">
      <w:pPr>
        <w:pStyle w:val="BodyText"/>
      </w:pPr>
      <w:r w:rsidRPr="00183BEB">
        <w:t>đ) Cổ đông lớn trước thời điểm chào bán cổ phiếu lần đầu ra công chúng của tổ chức phát hành phải cam kết cùng nhau nắm giữ ít nhất 20% vốn điều lệ của tổ chức phát hành tối thiểu là 01 năm kể từ ngày kết thúc đợt chào bán;</w:t>
      </w:r>
    </w:p>
    <w:p w14:paraId="50C183AB" w14:textId="436B0488" w:rsidR="00183BEB" w:rsidRPr="00183BEB" w:rsidRDefault="00183BEB" w:rsidP="00B400C3">
      <w:pPr>
        <w:pStyle w:val="BodyText"/>
      </w:pPr>
      <w:r w:rsidRPr="00183BEB">
        <w:t>e) Tổ chức phát hành không thuộc trường hợp đang bị truy cứu trách nhiệm hình sự hoặc đã bị kết án về một trong các tội xâm phạm trật tự quản lý kinh tế mà chưa được xóa án tích;</w:t>
      </w:r>
    </w:p>
    <w:p w14:paraId="32F905D2" w14:textId="7B99B888" w:rsidR="00183BEB" w:rsidRPr="00183BEB" w:rsidRDefault="00183BEB" w:rsidP="00B400C3">
      <w:pPr>
        <w:pStyle w:val="BodyText"/>
      </w:pPr>
      <w:r w:rsidRPr="00183BEB">
        <w:t>g) Có công ty chứng khoán tư vấn hồ sơ đăng ký chào bán cổ phiếu ra công chúng, trừ trường hợp tổ chức phát hành là công ty chứng khoán;</w:t>
      </w:r>
    </w:p>
    <w:p w14:paraId="27C9D7F2" w14:textId="53494585" w:rsidR="00183BEB" w:rsidRPr="00183BEB" w:rsidRDefault="00183BEB" w:rsidP="00B400C3">
      <w:pPr>
        <w:pStyle w:val="BodyText"/>
      </w:pPr>
      <w:r w:rsidRPr="00183BEB">
        <w:t>h) Có cam kết và phải thực hiện niêm yết hoặc đăng ký giao dịch cổ phiếu trên hệ thống giao dịch chứng khoán sau khi kết thúc đợt chào bán;</w:t>
      </w:r>
    </w:p>
    <w:p w14:paraId="7C3FDC2A" w14:textId="77777777" w:rsidR="005F34B5" w:rsidRDefault="00183BEB" w:rsidP="00B400C3">
      <w:pPr>
        <w:pStyle w:val="BodyText"/>
      </w:pPr>
      <w:r w:rsidRPr="00183BEB">
        <w:t>i) Tổ chức phát hành phải mở tài khoản phong tỏa nhận tiền mua cổ phiếu của đợt chào bán.</w:t>
      </w:r>
      <w:r>
        <w:t>”</w:t>
      </w:r>
    </w:p>
    <w:p w14:paraId="43C88DB9" w14:textId="3AE4BB69" w:rsidR="005F34B5" w:rsidRPr="005F34B5" w:rsidRDefault="005F34B5" w:rsidP="00B400C3">
      <w:pPr>
        <w:pStyle w:val="Heading2"/>
      </w:pPr>
      <w:bookmarkStart w:id="51" w:name="_Toc204931404"/>
      <w:r w:rsidRPr="005F34B5">
        <w:t>Điều 18 Luật Chứng Khoán 2019:</w:t>
      </w:r>
      <w:bookmarkEnd w:id="51"/>
    </w:p>
    <w:p w14:paraId="6EF5276E" w14:textId="1063E286" w:rsidR="005F34B5" w:rsidRPr="005F34B5" w:rsidRDefault="005F34B5" w:rsidP="00B400C3">
      <w:pPr>
        <w:pStyle w:val="BodyText"/>
      </w:pPr>
      <w:r>
        <w:t>“</w:t>
      </w:r>
      <w:r w:rsidRPr="005F34B5">
        <w:t>Điều 18. Hồ sơ đăng ký chào bán chứng khoán ra công chúng</w:t>
      </w:r>
    </w:p>
    <w:p w14:paraId="0B4F5E62" w14:textId="5D4C8D39" w:rsidR="005F34B5" w:rsidRPr="005F34B5" w:rsidRDefault="005F34B5" w:rsidP="00B400C3">
      <w:pPr>
        <w:pStyle w:val="BodyText"/>
      </w:pPr>
      <w:r w:rsidRPr="005F34B5">
        <w:t>1. Hồ sơ đăng ký chào bán cổ phiếu lần đầu ra công chúng của công ty cổ phần bao gồm:</w:t>
      </w:r>
    </w:p>
    <w:p w14:paraId="221DA269" w14:textId="754E70DC" w:rsidR="005F34B5" w:rsidRPr="005F34B5" w:rsidRDefault="005F34B5" w:rsidP="00B400C3">
      <w:pPr>
        <w:pStyle w:val="BodyText"/>
      </w:pPr>
      <w:r w:rsidRPr="005F34B5">
        <w:t>a) Giấy đăng ký chào bán cổ phiếu lần đầu ra công chúng;</w:t>
      </w:r>
    </w:p>
    <w:p w14:paraId="393DB77B" w14:textId="57766D5D" w:rsidR="005F34B5" w:rsidRPr="005F34B5" w:rsidRDefault="005F34B5" w:rsidP="00B400C3">
      <w:pPr>
        <w:pStyle w:val="BodyText"/>
      </w:pPr>
      <w:r w:rsidRPr="005F34B5">
        <w:t>b) Bản cáo bạch;</w:t>
      </w:r>
    </w:p>
    <w:p w14:paraId="22CF5399" w14:textId="2227445D" w:rsidR="005F34B5" w:rsidRPr="005F34B5" w:rsidRDefault="005F34B5" w:rsidP="00B400C3">
      <w:pPr>
        <w:pStyle w:val="BodyText"/>
      </w:pPr>
      <w:r w:rsidRPr="005F34B5">
        <w:t>c) Điều lệ của tổ chức phát hành;</w:t>
      </w:r>
    </w:p>
    <w:p w14:paraId="15A1DA58" w14:textId="5651FB6C" w:rsidR="005F34B5" w:rsidRPr="005F34B5" w:rsidRDefault="005F34B5" w:rsidP="00B400C3">
      <w:pPr>
        <w:pStyle w:val="BodyText"/>
      </w:pPr>
      <w:r w:rsidRPr="005F34B5">
        <w:t xml:space="preserve">d) Quyết định của Đại hội đồng cổ đông thông qua phương án phát hành, phương án sử dụng vốn thu được từ đợt chào bán và văn bản cam kết niêm yết hoặc đăng ký giao dịch cổ </w:t>
      </w:r>
      <w:r w:rsidRPr="005F34B5">
        <w:lastRenderedPageBreak/>
        <w:t>phiếu trên hệ thống giao dịch chứng khoán;</w:t>
      </w:r>
    </w:p>
    <w:p w14:paraId="6DAA6C26" w14:textId="7381D193" w:rsidR="005F34B5" w:rsidRPr="005F34B5" w:rsidRDefault="005F34B5" w:rsidP="00B400C3">
      <w:pPr>
        <w:pStyle w:val="BodyText"/>
      </w:pPr>
      <w:r w:rsidRPr="005F34B5">
        <w:t>đ) Văn bản cam kết đáp ứng quy định tại điểm d và điểm e khoản 1 Điều 15 của Luật này;</w:t>
      </w:r>
    </w:p>
    <w:p w14:paraId="36982271" w14:textId="1EB07B95" w:rsidR="005F34B5" w:rsidRPr="005F34B5" w:rsidRDefault="005F34B5" w:rsidP="00B400C3">
      <w:pPr>
        <w:pStyle w:val="BodyText"/>
      </w:pPr>
      <w:r w:rsidRPr="005F34B5">
        <w:t>e) Văn bản cam kết của các cổ đông lớn trước thời điểm chào bán cổ phiếu lần đầu ra công chúng của tổ chức phát hành về việc cùng nhau nắm giữ ít nhất 20% vốn điều lệ của tổ chức phát hành tối thiểu là 01 năm kể từ ngày kết thúc đợt chào bán;</w:t>
      </w:r>
    </w:p>
    <w:p w14:paraId="6BED05A1" w14:textId="182D58B3" w:rsidR="005F34B5" w:rsidRPr="005F34B5" w:rsidRDefault="005F34B5" w:rsidP="00B400C3">
      <w:pPr>
        <w:pStyle w:val="BodyText"/>
      </w:pPr>
      <w:r w:rsidRPr="005F34B5">
        <w:t>g) Hợp đồng tư vấn hồ sơ đăng ký chào bán cổ phiếu ra công chúng với công ty chứng khoán;</w:t>
      </w:r>
    </w:p>
    <w:p w14:paraId="6CA16254" w14:textId="6A8F57EF" w:rsidR="005F34B5" w:rsidRPr="005F34B5" w:rsidRDefault="005F34B5" w:rsidP="00B400C3">
      <w:pPr>
        <w:pStyle w:val="BodyText"/>
      </w:pPr>
      <w:r w:rsidRPr="005F34B5">
        <w:t>h) Văn bản xác nhận của ngân hàng, chi nhánh ngân hàng nước ngoài về việc mở tài khoản phong tỏa nhận tiền mua cổ phiếu của đợt chào bán;</w:t>
      </w:r>
    </w:p>
    <w:p w14:paraId="7DAB07FE" w14:textId="77777777" w:rsidR="00253A5B" w:rsidRDefault="005F34B5" w:rsidP="00B400C3">
      <w:pPr>
        <w:pStyle w:val="BodyText"/>
      </w:pPr>
      <w:r w:rsidRPr="005F34B5">
        <w:t>i) Cam kết bảo lãnh phát hành (nếu có).</w:t>
      </w:r>
      <w:r>
        <w:t>”</w:t>
      </w:r>
    </w:p>
    <w:p w14:paraId="1335DD4E" w14:textId="77777777" w:rsidR="009B18BC" w:rsidRDefault="009B18BC" w:rsidP="00B400C3">
      <w:pPr>
        <w:pStyle w:val="BodyText"/>
      </w:pPr>
    </w:p>
    <w:p w14:paraId="37D5FC35" w14:textId="19439300" w:rsidR="00253A5B" w:rsidRPr="009B18BC" w:rsidRDefault="009B18BC" w:rsidP="00B400C3">
      <w:pPr>
        <w:pStyle w:val="Heading2"/>
      </w:pPr>
      <w:bookmarkStart w:id="52" w:name="_Toc204931405"/>
      <w:r>
        <w:t xml:space="preserve">Khoản 1 </w:t>
      </w:r>
      <w:r w:rsidRPr="009B18BC">
        <w:t>Điều 19 Luật Chứng Khoán 201</w:t>
      </w:r>
      <w:r w:rsidR="003025B2">
        <w:t>9:</w:t>
      </w:r>
      <w:bookmarkEnd w:id="52"/>
    </w:p>
    <w:p w14:paraId="31F9A144" w14:textId="7829E4D6" w:rsidR="009B18BC" w:rsidRPr="009B18BC" w:rsidRDefault="00EE2173" w:rsidP="00B400C3">
      <w:pPr>
        <w:pStyle w:val="BodyText"/>
      </w:pPr>
      <w:r>
        <w:t>“</w:t>
      </w:r>
      <w:r w:rsidR="009B18BC" w:rsidRPr="009B18BC">
        <w:t>1. Đối với việc chào bán cổ phiếu, trái phiếu ra công chúng, Bản cáo bạch bao gồm các nội dung sau đây:</w:t>
      </w:r>
    </w:p>
    <w:p w14:paraId="02777819" w14:textId="1A489C8B" w:rsidR="009B18BC" w:rsidRPr="009B18BC" w:rsidRDefault="009B18BC" w:rsidP="00B400C3">
      <w:pPr>
        <w:pStyle w:val="BodyText"/>
      </w:pPr>
      <w:r w:rsidRPr="009B18BC">
        <w:t>a) Thông tin tóm tắt về tổ chức phát hành bao gồm mô hình tổ chức bộ máy, hoạt động kinh doanh, tài sản, tình hình tài chính, Hội đồng quản trị hoặc Hội đồng thành viên hoặc chủ sở hữu công ty, Tổng giám đốc (Giám đốc), Phó Tổng giám đốc (Phó Giám đốc), Kế toán trưởng và cơ cấu cổ đông (nếu có);</w:t>
      </w:r>
    </w:p>
    <w:p w14:paraId="0E472C4A" w14:textId="7EE46020" w:rsidR="009B18BC" w:rsidRPr="009B18BC" w:rsidRDefault="009B18BC" w:rsidP="00B400C3">
      <w:pPr>
        <w:pStyle w:val="BodyText"/>
      </w:pPr>
      <w:r w:rsidRPr="009B18BC">
        <w:t>b) Thông tin về đợt chào bán và chứng khoán chào bán bao gồm: điều kiện chào bán, các yếu tố rủi ro, dự kiến kế hoạch lợi nhuận và cổ tức của năm gần nhất sau khi phát hành chứng khoán, phương án phát hành và phương án sử dụng số tiền thu được từ đợt chào bán;</w:t>
      </w:r>
    </w:p>
    <w:p w14:paraId="0F4F5226" w14:textId="71810D33" w:rsidR="009B18BC" w:rsidRPr="009B18BC" w:rsidRDefault="009B18BC" w:rsidP="00B400C3">
      <w:pPr>
        <w:pStyle w:val="BodyText"/>
      </w:pPr>
      <w:r w:rsidRPr="009B18BC">
        <w:t xml:space="preserve">c) </w:t>
      </w:r>
      <w:r w:rsidRPr="00137AA9">
        <w:t xml:space="preserve">Báo cáo tài chính của tổ chức phát hành trong 02 năm gần nhất theo quy định tại </w:t>
      </w:r>
      <w:r w:rsidRPr="00137AA9">
        <w:rPr>
          <w:highlight w:val="yellow"/>
        </w:rPr>
        <w:t>Điều 20 của Luật này</w:t>
      </w:r>
      <w:r w:rsidRPr="009B18BC">
        <w:t>;</w:t>
      </w:r>
    </w:p>
    <w:p w14:paraId="634B135F" w14:textId="7208424C" w:rsidR="009B18BC" w:rsidRDefault="009B18BC" w:rsidP="00B400C3">
      <w:pPr>
        <w:pStyle w:val="BodyText"/>
      </w:pPr>
      <w:r w:rsidRPr="009B18BC">
        <w:t>d) Thông tin khác quy định trong mẫu Bản cáo bạch.</w:t>
      </w:r>
      <w:r>
        <w:t>”</w:t>
      </w:r>
    </w:p>
    <w:p w14:paraId="41E44529" w14:textId="6D3E10EE" w:rsidR="00EE2173" w:rsidRDefault="00EE2173" w:rsidP="00B400C3">
      <w:pPr>
        <w:pStyle w:val="BodyText"/>
      </w:pPr>
    </w:p>
    <w:p w14:paraId="011C6EE7" w14:textId="081E5737" w:rsidR="00EE2173" w:rsidRPr="00EE2173" w:rsidRDefault="00EE2173" w:rsidP="00B400C3">
      <w:pPr>
        <w:pStyle w:val="Heading2"/>
      </w:pPr>
      <w:bookmarkStart w:id="53" w:name="_Toc204931406"/>
      <w:r w:rsidRPr="00EE2173">
        <w:t>Điều 20 Luật Chứng Khoán 201</w:t>
      </w:r>
      <w:r w:rsidR="003025B2">
        <w:t>9</w:t>
      </w:r>
      <w:r w:rsidRPr="00EE2173">
        <w:t>:</w:t>
      </w:r>
      <w:bookmarkEnd w:id="53"/>
    </w:p>
    <w:p w14:paraId="0ACD47AA" w14:textId="4F0E5171" w:rsidR="00EE2173" w:rsidRPr="00EE2173" w:rsidRDefault="00EE2173" w:rsidP="00B400C3">
      <w:pPr>
        <w:pStyle w:val="BodyText"/>
      </w:pPr>
      <w:r>
        <w:t>“</w:t>
      </w:r>
      <w:r w:rsidRPr="00EE2173">
        <w:t>Điều 20. Báo cáo tài chính</w:t>
      </w:r>
    </w:p>
    <w:p w14:paraId="22683C6C" w14:textId="5D2DFE27" w:rsidR="00EE2173" w:rsidRPr="00EE2173" w:rsidRDefault="00EE2173" w:rsidP="00B400C3">
      <w:pPr>
        <w:pStyle w:val="BodyText"/>
      </w:pPr>
      <w:r w:rsidRPr="00EE2173">
        <w:t>1. Báo cáo tài chính được lập theo quy định của pháp luật về kế toán.</w:t>
      </w:r>
    </w:p>
    <w:p w14:paraId="7C94424F" w14:textId="53A0DC3D" w:rsidR="00EE2173" w:rsidRPr="00EE2173" w:rsidRDefault="00EE2173" w:rsidP="00B400C3">
      <w:pPr>
        <w:pStyle w:val="BodyText"/>
      </w:pPr>
      <w:r w:rsidRPr="00EE2173">
        <w:t>2. Trường hợp tổ chức phát hành là công ty mẹ thì tổ chức phát hành phải nộp báo cáo tài chính hợp nhất theo quy định của pháp luật về kế toán.</w:t>
      </w:r>
    </w:p>
    <w:p w14:paraId="2288E8CB" w14:textId="054C1A7D" w:rsidR="00EE2173" w:rsidRPr="00EE2173" w:rsidRDefault="00EE2173" w:rsidP="00B400C3">
      <w:pPr>
        <w:pStyle w:val="BodyText"/>
      </w:pPr>
      <w:r w:rsidRPr="00EE2173">
        <w:t xml:space="preserve">3. Báo cáo tài chính năm phải được kiểm toán bởi tổ chức kiểm toán được chấp thuận thực hiện kiểm toán cho đơn vị có lợi ích công chúng thuộc lĩnh vực chứng khoán. </w:t>
      </w:r>
      <w:r w:rsidRPr="00137AA9">
        <w:rPr>
          <w:highlight w:val="yellow"/>
        </w:rPr>
        <w:t>Ý kiến kiểm toán đối với các báo cáo tài chính là ý kiến chấp nhận toàn phần</w:t>
      </w:r>
      <w:r w:rsidRPr="00EE2173">
        <w:t>;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14:paraId="2B059186" w14:textId="6AE599D9" w:rsidR="00EE2173" w:rsidRPr="00EE2173" w:rsidRDefault="00EE2173" w:rsidP="00B400C3">
      <w:pPr>
        <w:pStyle w:val="BodyText"/>
      </w:pPr>
      <w:r w:rsidRPr="00EE2173">
        <w:t xml:space="preserve">4. Trường hợp hồ sơ được nộp trong thời gian 60 ngày kể từ ngày kết thúc kỳ kế toán </w:t>
      </w:r>
      <w:r w:rsidRPr="00EE2173">
        <w:lastRenderedPageBreak/>
        <w:t>năm, báo cáo tài chính năm của năm trước đó trong hồ sơ ban đầu có thể là báo cáo tài chính chưa có kiểm toán, nhưng phải có báo cáo tài chính được kiểm toán của 02 năm trước liền kề.</w:t>
      </w:r>
    </w:p>
    <w:p w14:paraId="2A133039" w14:textId="617F9C19" w:rsidR="00EE2173" w:rsidRDefault="00EE2173" w:rsidP="00B400C3">
      <w:pPr>
        <w:pStyle w:val="BodyText"/>
      </w:pPr>
      <w:r w:rsidRPr="00EE2173">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r>
        <w:t>”</w:t>
      </w:r>
    </w:p>
    <w:p w14:paraId="513B560F" w14:textId="77777777" w:rsidR="009B18BC" w:rsidRDefault="009B18BC" w:rsidP="00B400C3">
      <w:pPr>
        <w:pStyle w:val="BodyText"/>
      </w:pPr>
    </w:p>
    <w:p w14:paraId="0E336E21" w14:textId="06E1C16C" w:rsidR="00D801F7" w:rsidRPr="00D801F7" w:rsidRDefault="00253A5B" w:rsidP="00B400C3">
      <w:pPr>
        <w:pStyle w:val="Heading2"/>
      </w:pPr>
      <w:bookmarkStart w:id="54" w:name="_Toc204931407"/>
      <w:r w:rsidRPr="00D801F7">
        <w:t>Khoản 7 Điều 1 Luật 56/2024</w:t>
      </w:r>
      <w:r w:rsidR="003025B2">
        <w:t>:</w:t>
      </w:r>
      <w:bookmarkEnd w:id="54"/>
    </w:p>
    <w:p w14:paraId="2043CC7D" w14:textId="1527CC69" w:rsidR="00D801F7" w:rsidRPr="00D801F7" w:rsidRDefault="00D801F7" w:rsidP="00B400C3">
      <w:pPr>
        <w:pStyle w:val="BodyText"/>
      </w:pPr>
      <w:r>
        <w:t>“</w:t>
      </w:r>
      <w:r w:rsidRPr="00D801F7">
        <w:t>Sửa đổi, bổ sung một số điểm, khoản của Điều 18 như sau:</w:t>
      </w:r>
    </w:p>
    <w:p w14:paraId="3ACFC994" w14:textId="185B537A" w:rsidR="00D801F7" w:rsidRPr="00D801F7" w:rsidRDefault="00D801F7" w:rsidP="00B400C3">
      <w:pPr>
        <w:pStyle w:val="BodyText"/>
      </w:pPr>
      <w:r w:rsidRPr="00D801F7">
        <w:t>a) Bổ sung điểm k vào sau điểm i khoản 1 như sau:</w:t>
      </w:r>
    </w:p>
    <w:p w14:paraId="044C54BA" w14:textId="77777777" w:rsidR="00A96167" w:rsidRDefault="00D801F7" w:rsidP="00B400C3">
      <w:pPr>
        <w:pStyle w:val="BodyText"/>
      </w:pPr>
      <w:r w:rsidRPr="00D801F7">
        <w:t xml:space="preserve">“k) </w:t>
      </w:r>
      <w:r w:rsidRPr="009B18BC">
        <w:rPr>
          <w:highlight w:val="yellow"/>
        </w:rPr>
        <w:t>Báo cáo về vốn điều lệ đã góp tính đến thời điểm đăng ký chào bán cổ phiếu lần đầu ra công chúng</w:t>
      </w:r>
      <w:r w:rsidRPr="00D801F7">
        <w:t xml:space="preserve"> được kiểm toán bởi tổ chức kiểm toán độc lập theo quy định của Bộ trưởng Bộ Tài chính.”</w:t>
      </w:r>
      <w:r>
        <w:t>”</w:t>
      </w:r>
    </w:p>
    <w:p w14:paraId="623CF3CD" w14:textId="77777777" w:rsidR="00A96167" w:rsidRDefault="00A96167" w:rsidP="00B400C3">
      <w:pPr>
        <w:pStyle w:val="BodyText"/>
      </w:pPr>
    </w:p>
    <w:p w14:paraId="13C2F264" w14:textId="6056DE29" w:rsidR="008028B5" w:rsidRDefault="008028B5" w:rsidP="00B400C3">
      <w:pPr>
        <w:pStyle w:val="Heading2"/>
      </w:pPr>
      <w:bookmarkStart w:id="55" w:name="_Toc204931408"/>
      <w:r>
        <w:t>Điều 11 Nghị định 155/2020/NĐ-CP</w:t>
      </w:r>
      <w:r w:rsidR="003025B2">
        <w:t>:</w:t>
      </w:r>
      <w:bookmarkEnd w:id="55"/>
    </w:p>
    <w:p w14:paraId="4071D336" w14:textId="77777777" w:rsidR="008028B5" w:rsidRPr="008028B5" w:rsidRDefault="008028B5" w:rsidP="00B400C3">
      <w:pPr>
        <w:pStyle w:val="BodyText"/>
      </w:pPr>
      <w:r>
        <w:t>“</w:t>
      </w:r>
      <w:r w:rsidRPr="008028B5">
        <w:t>Điều 11. Hồ sơ đăng ký chào bán cổ phiếu lần đầu ra công chúng của công ty cổ phần</w:t>
      </w:r>
    </w:p>
    <w:p w14:paraId="1EA53B28" w14:textId="77777777" w:rsidR="008028B5" w:rsidRPr="008028B5" w:rsidRDefault="008028B5" w:rsidP="00B400C3">
      <w:pPr>
        <w:pStyle w:val="BodyText"/>
      </w:pPr>
      <w:r w:rsidRPr="008028B5">
        <w:t>1. Giấy đăng ký chào bán theo Mẫu số 03 Phụ lục ban hành kèm theo Nghị định này.</w:t>
      </w:r>
    </w:p>
    <w:p w14:paraId="4D8A61FA" w14:textId="77777777" w:rsidR="008028B5" w:rsidRPr="008028B5" w:rsidRDefault="008028B5" w:rsidP="00B400C3">
      <w:pPr>
        <w:pStyle w:val="BodyText"/>
      </w:pPr>
      <w:r w:rsidRPr="008028B5">
        <w:t>2. Bản cáo bạch theo quy định tại Điều 19 Luật Chứng khoán.</w:t>
      </w:r>
    </w:p>
    <w:p w14:paraId="603F8AAA" w14:textId="77777777" w:rsidR="008028B5" w:rsidRPr="008028B5" w:rsidRDefault="008028B5" w:rsidP="00B400C3">
      <w:pPr>
        <w:pStyle w:val="BodyText"/>
      </w:pPr>
      <w:r w:rsidRPr="008028B5">
        <w:t>3. Quyết định của Đại hội đồng cổ đông thông qua phương án phát hành, thông qua phương án sử dụng vốn thu được từ đợt chào bán ngoại trừ trường hợp chào bán cổ phiếu thuộc sở hữu của cổ đông theo hình thức quy định tại điểm b khoản 1 Điều 10 Nghị định này, thông qua việc niêm yết hoặc đăng ký giao dịch cổ phiếu trên hệ thống giao dịch chứng khoán, trong đó:</w:t>
      </w:r>
    </w:p>
    <w:p w14:paraId="1E2F0651" w14:textId="77777777" w:rsidR="008028B5" w:rsidRPr="008028B5" w:rsidRDefault="008028B5" w:rsidP="00B400C3">
      <w:pPr>
        <w:pStyle w:val="BodyText"/>
      </w:pPr>
      <w:r w:rsidRPr="008028B5">
        <w:t>a) Phương án phát hành phải nêu rõ: giá chào bán hoặc nguyên tắc xác định giá chào bán hoặc ủy quyền cho Hội đồng quản trị xác định giá chào bán (trừ trường hợp chào bán cổ phiếu thuộc sở hữu của cổ đông theo hình thức quy định tại điểm b khoản 1 Điều 10 Nghị định này); số lượng cổ phiếu chào bán; thông qua hoặc ủy quyền cho Hội đồng quản trị thông qua phương án đảm bảo việc phát hành cổ phiếu đáp ứng quy định về tỷ lệ sở hữu nước ngoài. Trường hợp phương án phát hành không nêu cụ thể giá chào bán, nguyên tắc xác định giá chào bán thì giá chào bán được xác định theo quy định tại Luật Doanh nghiệp;</w:t>
      </w:r>
    </w:p>
    <w:p w14:paraId="0C4975EF" w14:textId="77777777" w:rsidR="008028B5" w:rsidRPr="008028B5" w:rsidRDefault="008028B5" w:rsidP="00B400C3">
      <w:pPr>
        <w:pStyle w:val="BodyText"/>
      </w:pPr>
      <w:r w:rsidRPr="008028B5">
        <w:t>b) Phương án sử dụng vốn là phương án sử dụng số vốn được huy động thêm. Trường hợp chào bán nhằm mục đích huy động phần vốn để thực hiện dự án, phương án sử dụng vốn phải bao gồm nội dung về phương án bù đắp phần thiếu hụt vốn dự kiến huy động từ đợt chào bán để thực hiện dự án;</w:t>
      </w:r>
    </w:p>
    <w:p w14:paraId="5ABBC3F3" w14:textId="77777777" w:rsidR="008028B5" w:rsidRPr="008028B5" w:rsidRDefault="008028B5" w:rsidP="00B400C3">
      <w:pPr>
        <w:pStyle w:val="BodyText"/>
      </w:pPr>
      <w:r w:rsidRPr="008028B5">
        <w:t>c) Trường hợp chào bán cổ phiếu lần đầu ra công chúng kết hợp giữa phát hành huy động thêm vốn cho tổ chức phát hành và chào bán cổ phiếu thuộc sở hữu của cổ đông, phương án phát hành phải nêu rõ nguyên tắc ưu tiên phân phối cổ phiếu.</w:t>
      </w:r>
    </w:p>
    <w:p w14:paraId="28A83A96" w14:textId="77777777" w:rsidR="008028B5" w:rsidRPr="008028B5" w:rsidRDefault="008028B5" w:rsidP="00B400C3">
      <w:pPr>
        <w:pStyle w:val="BodyText"/>
      </w:pPr>
      <w:r w:rsidRPr="008028B5">
        <w:t xml:space="preserve">4. Báo cáo tài chính của tổ chức phát hành trong 02 năm gần nhất đáp ứng quy định tại </w:t>
      </w:r>
      <w:r w:rsidRPr="008028B5">
        <w:lastRenderedPageBreak/>
        <w:t>Điều 20 Luật Chứng khoán, trong đó:</w:t>
      </w:r>
    </w:p>
    <w:p w14:paraId="1615CD2E" w14:textId="77777777" w:rsidR="008028B5" w:rsidRPr="008028B5" w:rsidRDefault="008028B5" w:rsidP="00B400C3">
      <w:pPr>
        <w:pStyle w:val="BodyText"/>
      </w:pPr>
      <w:r w:rsidRPr="008028B5">
        <w:t>a)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 Trường hợp tổ chức phát hành hoàn thiện hồ sơ sau 90 ngày kể từ ngày kết thúc kỳ kế toán năm, tổ chức phát hành phải bổ sung báo cáo tài chính năm gần nhất được kiểm toán;</w:t>
      </w:r>
    </w:p>
    <w:p w14:paraId="3E66D705" w14:textId="77777777" w:rsidR="008028B5" w:rsidRPr="008028B5" w:rsidRDefault="008028B5" w:rsidP="00B400C3">
      <w:pPr>
        <w:pStyle w:val="BodyText"/>
      </w:pPr>
      <w:r w:rsidRPr="008028B5">
        <w:t>b) Trường hợp tổ chức phát hành thực hiện phát hành cổ phiếu để tăng vốn điều lệ sau ngày kết thúc kỳ kế toán gần nhất được kiểm toán hoặc soát xét, tổ chức phát hành phải bổ sung báo cáo về vốn góp của chủ sở hữu được kiểm toán bởi tổ chức kiểm toán được chấp thuận.</w:t>
      </w:r>
    </w:p>
    <w:p w14:paraId="4920D8E0" w14:textId="77777777" w:rsidR="008028B5" w:rsidRPr="008028B5" w:rsidRDefault="008028B5" w:rsidP="00B400C3">
      <w:pPr>
        <w:pStyle w:val="BodyText"/>
      </w:pPr>
      <w:r w:rsidRPr="008028B5">
        <w:t>5. Hợp đồng tư vấn hồ sơ đăng ký chào bán cổ phiếu ra công chúng với công ty chứng khoán, trừ trường hợp tổ chức phát hành là công ty chứng khoán.</w:t>
      </w:r>
    </w:p>
    <w:p w14:paraId="3012D24B" w14:textId="77777777" w:rsidR="008028B5" w:rsidRPr="008028B5" w:rsidRDefault="008028B5" w:rsidP="00B400C3">
      <w:pPr>
        <w:pStyle w:val="BodyText"/>
      </w:pPr>
      <w:r w:rsidRPr="008028B5">
        <w:t>6. Cam kết bảo lãnh phát hành (nếu có) bao gồm các nội dung tối thiểu theo Mẫu số 04 Phụ lục ban hành kèm theo Nghị định này. Trường hợp có tổ hợp bảo lãnh phát hành, cam kết bảo lãnh phát hành của tổ chức bảo lãnh phát hành chính phải kèm theo hợp đồng giữa các tổ chức bảo lãnh phát hành. Các tài liệu này phải được gửi đến Ủy ban Chứng khoán Nhà nước trước ngày cấp Giấy chứng nhận đăng ký chào bán.</w:t>
      </w:r>
    </w:p>
    <w:p w14:paraId="5611716D" w14:textId="77777777" w:rsidR="008028B5" w:rsidRPr="008028B5" w:rsidRDefault="008028B5" w:rsidP="00B400C3">
      <w:pPr>
        <w:pStyle w:val="BodyText"/>
      </w:pPr>
      <w:r w:rsidRPr="008028B5">
        <w:t>7. Quyết định của Hội đồng quản trị thông qua hồ sơ đăng ký chào bán cổ phiếu ra công chúng. Đối với việc chào bán cổ phiếu ra công chúng của tổ chức tín dụng, hồ sơ phải có văn bản chấp thuận của Ngân hàng Nhà nước Việt Nam về đề nghị tăng vốn điều lệ theo quy định của pháp luật về các tổ chức tín dụng. Đối với việc chào bán cổ phiếu ra công chúng của tổ chức kinh doanh bảo hiểm, hồ sơ phải có văn bản chấp thuận của Bộ Tài chính về tăng vốn điều lệ theo quy định của pháp luật về kinh doanh bảo hiểm.</w:t>
      </w:r>
    </w:p>
    <w:p w14:paraId="0C352D59" w14:textId="77777777" w:rsidR="008028B5" w:rsidRPr="008028B5" w:rsidRDefault="008028B5" w:rsidP="00B400C3">
      <w:pPr>
        <w:pStyle w:val="BodyText"/>
      </w:pPr>
      <w:r w:rsidRPr="008028B5">
        <w:t>8. Văn bản cam kết của Hội đồng quản trị triển khai niêm yết hoặc đăng ký giao dịch cổ phiếu trên hệ thống giao dịch chứng khoán.</w:t>
      </w:r>
    </w:p>
    <w:p w14:paraId="0C72485D" w14:textId="41474D56" w:rsidR="008028B5" w:rsidRPr="008028B5" w:rsidRDefault="008028B5" w:rsidP="00B400C3">
      <w:pPr>
        <w:pStyle w:val="BodyText"/>
      </w:pPr>
      <w:r w:rsidRPr="008028B5">
        <w:t>9. Văn bản thỏa thuận giữa cổ đông sở hữu cổ phiếu được chào bán với công ty về phương án chào bán, giá chào bán trong trường hợp chào bán cổ phiếu thuộc sở hữu của cổ đông.</w:t>
      </w:r>
    </w:p>
    <w:p w14:paraId="4DC7DF32" w14:textId="77777777" w:rsidR="002E6B21" w:rsidRDefault="008028B5" w:rsidP="00B400C3">
      <w:pPr>
        <w:pStyle w:val="BodyText"/>
        <w:rPr>
          <w:b/>
          <w:bCs/>
        </w:rPr>
      </w:pPr>
      <w:r w:rsidRPr="008028B5">
        <w:t>10. Tài liệu quy định tại các điểm c, đ, e và h khoản 1 Điều 18 Luật Chứng khoán.</w:t>
      </w:r>
      <w:r>
        <w:rPr>
          <w:b/>
          <w:bCs/>
        </w:rPr>
        <w:t>”</w:t>
      </w:r>
    </w:p>
    <w:p w14:paraId="48838F45" w14:textId="7A99BD34" w:rsidR="002E6B21" w:rsidRPr="002E6B21" w:rsidRDefault="002E6B21" w:rsidP="00B400C3">
      <w:pPr>
        <w:pStyle w:val="BodyText"/>
      </w:pPr>
      <w:r w:rsidRPr="002E6B21">
        <w:t>c) Điều lệ của tổ chức phát hành;</w:t>
      </w:r>
    </w:p>
    <w:p w14:paraId="76FC7B22" w14:textId="65B1FC54" w:rsidR="002E6B21" w:rsidRDefault="002E6B21" w:rsidP="00B400C3">
      <w:pPr>
        <w:pStyle w:val="BodyText"/>
      </w:pPr>
      <w:r w:rsidRPr="002E6B21">
        <w:t>đ) Văn bản cam kết đáp ứng quy định tại điểm d và điểm e khoản 1 Điều 15 của Luật này;</w:t>
      </w:r>
    </w:p>
    <w:p w14:paraId="782A1454" w14:textId="78D08AC5" w:rsidR="002E6B21" w:rsidRDefault="002E6B21" w:rsidP="00B400C3">
      <w:pPr>
        <w:pStyle w:val="BodyText"/>
      </w:pPr>
      <w:r w:rsidRPr="002E6B21">
        <w:t>d) Tối thiểu là 15% số cổ phiếu có quyền biểu quyết của tổ chức phát hành phải được bán cho ít nhất 100 nhà đầu tư không phải là cổ đông lớn; trường hợp vốn điều lệ của tổ chức phát hành từ 1.000 tỷ đồng trở lên, tỷ lệ tối thiểu là 10% số cổ phiếu có quyền biểu quyết của tổ chức phát hành;</w:t>
      </w:r>
    </w:p>
    <w:p w14:paraId="7368B088" w14:textId="28C109B5" w:rsidR="002E6B21" w:rsidRPr="002E6B21" w:rsidRDefault="002E6B21" w:rsidP="00B400C3">
      <w:pPr>
        <w:pStyle w:val="BodyText"/>
      </w:pPr>
      <w:r w:rsidRPr="002E6B21">
        <w:t>e) Tổ chức phát hành không thuộc trường hợp đang bị truy cứu trách nhiệm hình sự hoặc đã bị kết án về một trong các tội xâm phạm trật tự quản lý kinh tế mà chưa được xóa án tích;</w:t>
      </w:r>
    </w:p>
    <w:p w14:paraId="35BB2145" w14:textId="77777777" w:rsidR="002E6B21" w:rsidRPr="002E6B21" w:rsidRDefault="002E6B21" w:rsidP="00B400C3">
      <w:pPr>
        <w:pStyle w:val="BodyText"/>
      </w:pPr>
      <w:r w:rsidRPr="002E6B21">
        <w:t xml:space="preserve">e) Văn bản cam kết của các cổ đông lớn trước thời điểm chào bán cổ phiếu lần đầu ra </w:t>
      </w:r>
      <w:r w:rsidRPr="002E6B21">
        <w:lastRenderedPageBreak/>
        <w:t>công chúng của tổ chức phát hành về việc cùng nhau nắm giữ ít nhất 20% vốn điều lệ của tổ chức phát hành tối thiểu là 01 năm kể từ ngày kết thúc đợt chào bán;</w:t>
      </w:r>
    </w:p>
    <w:p w14:paraId="02DF300E" w14:textId="77777777" w:rsidR="0080404E" w:rsidRDefault="002E6B21" w:rsidP="00B400C3">
      <w:pPr>
        <w:pStyle w:val="BodyText"/>
      </w:pPr>
      <w:r w:rsidRPr="002E6B21">
        <w:t>h) Văn bản xác nhận của ngân hàng, chi nhánh ngân hàng nước ngoài về việc mở tài khoản phong tỏa nhận tiền mua cổ phiếu của đợt chào bán;</w:t>
      </w:r>
    </w:p>
    <w:p w14:paraId="7BBEB7BB" w14:textId="77777777" w:rsidR="0080404E" w:rsidRDefault="0080404E" w:rsidP="00B400C3">
      <w:pPr>
        <w:pStyle w:val="BodyText"/>
      </w:pPr>
    </w:p>
    <w:p w14:paraId="39571663" w14:textId="287EB4DB" w:rsidR="0080404E" w:rsidRPr="0080404E" w:rsidRDefault="0080404E" w:rsidP="00B400C3">
      <w:pPr>
        <w:pStyle w:val="Heading2"/>
      </w:pPr>
      <w:bookmarkStart w:id="56" w:name="_Toc204931409"/>
      <w:r w:rsidRPr="0080404E">
        <w:t>Điều 29. Nghĩa vụ của tổ chức phát hành</w:t>
      </w:r>
      <w:bookmarkEnd w:id="56"/>
    </w:p>
    <w:p w14:paraId="4A416013" w14:textId="3EF17AE3" w:rsidR="0080404E" w:rsidRPr="0080404E" w:rsidRDefault="0080404E" w:rsidP="00B400C3">
      <w:pPr>
        <w:pStyle w:val="BodyText"/>
      </w:pPr>
      <w:r w:rsidRPr="0080404E">
        <w:t>1. Tổ chức phát hành đã thực hiện chào bán thành công cổ phiếu ra công chúng, trở thành công ty đại chúng theo quy định tại điểm b khoản 1 Điều 32 của Luật này không phải nộp hồ sơ đăng ký công ty đại chúng quy định tại khoản 1 Điều 33 của Luật này cho Ủy ban Chứng khoán Nhà nước.</w:t>
      </w:r>
    </w:p>
    <w:p w14:paraId="7862F353" w14:textId="51042EA8" w:rsidR="0080404E" w:rsidRPr="0080404E" w:rsidRDefault="0080404E" w:rsidP="00B400C3">
      <w:pPr>
        <w:pStyle w:val="BodyText"/>
      </w:pPr>
      <w:r w:rsidRPr="0080404E">
        <w:t>2. Tổ chức phát hành đã thực hiện chào bán chứng khoán ra công chúng phải hoàn thiện hồ sơ đăng ký niêm yết hoặc đăng ký giao dịch chứng khoán trong thời hạn 30 ngày kể từ ngày kết thúc đợt chào bán.</w:t>
      </w:r>
    </w:p>
    <w:p w14:paraId="3BD45535" w14:textId="1BA25DB4" w:rsidR="00ED4C3C" w:rsidRPr="00326C10" w:rsidRDefault="0080404E" w:rsidP="00B400C3">
      <w:pPr>
        <w:pStyle w:val="BodyText"/>
      </w:pPr>
      <w:r w:rsidRPr="0080404E">
        <w:t xml:space="preserve">3. Tổ chức phát hành hoàn thành việc chào bán trái phiếu ra công chúng phải tuân thủ nghĩa vụ công bố thông tin theo quy định của Luật này. </w:t>
      </w:r>
      <w:r w:rsidR="00ED4C3C" w:rsidRPr="00183BEB">
        <w:rPr>
          <w:b/>
          <w:bCs/>
        </w:rPr>
        <w:br w:type="page"/>
      </w:r>
    </w:p>
    <w:p w14:paraId="407548DC" w14:textId="6A556905" w:rsidR="003138E0" w:rsidRDefault="00590EEB" w:rsidP="00B400C3">
      <w:pPr>
        <w:pStyle w:val="Heading1"/>
      </w:pPr>
      <w:bookmarkStart w:id="57" w:name="_Toc204931410"/>
      <w:r>
        <w:lastRenderedPageBreak/>
        <w:t>CHÀO BÁN THÊM CỔ PHẦN RA CÔNG CHÚNG</w:t>
      </w:r>
      <w:bookmarkEnd w:id="57"/>
    </w:p>
    <w:p w14:paraId="056BB61B" w14:textId="14C53E66" w:rsidR="00703C54" w:rsidRDefault="00703C54" w:rsidP="00B400C3">
      <w:pPr>
        <w:pStyle w:val="Heading2"/>
      </w:pPr>
      <w:bookmarkStart w:id="58" w:name="_Toc204931411"/>
      <w:r>
        <w:t>Khoản 2 Điều 15 Luật Chứng Khoán 2019</w:t>
      </w:r>
      <w:r w:rsidR="003025B2">
        <w:t>:</w:t>
      </w:r>
      <w:bookmarkEnd w:id="58"/>
    </w:p>
    <w:p w14:paraId="63E8D17A" w14:textId="5BB1CEB7" w:rsidR="00703C54" w:rsidRPr="00703C54" w:rsidRDefault="00703C54" w:rsidP="00B400C3">
      <w:r>
        <w:t>“</w:t>
      </w:r>
      <w:r w:rsidRPr="00703C54">
        <w:t>2. Điều kiện chào bán thêm cổ ph</w:t>
      </w:r>
      <w:r w:rsidR="009104B1">
        <w:t>i</w:t>
      </w:r>
      <w:r w:rsidRPr="00703C54">
        <w:t>ếu ra công chúng của công ty đại chúng bao gồm:</w:t>
      </w:r>
    </w:p>
    <w:p w14:paraId="75B92DBA" w14:textId="77777777" w:rsidR="00703C54" w:rsidRPr="00703C54" w:rsidRDefault="00703C54" w:rsidP="00B400C3">
      <w:r w:rsidRPr="00703C54">
        <w:t>a) Đáp ứng quy định tại các điểm a, c, e, g, h và i khoản 1 Điều này;</w:t>
      </w:r>
    </w:p>
    <w:p w14:paraId="28AEA06B" w14:textId="77777777" w:rsidR="00E301F4" w:rsidRPr="00E445FB" w:rsidRDefault="00E301F4" w:rsidP="00B400C3">
      <w:pPr>
        <w:rPr>
          <w:color w:val="C00000"/>
        </w:rPr>
      </w:pPr>
      <w:r w:rsidRPr="00E445FB">
        <w:rPr>
          <w:color w:val="C00000"/>
        </w:rPr>
        <w:t>a) Mức vốn điều lệ đã góp tại thời điểm đăng ký chào bán từ 30 tỷ đồng trở lên tính theo giá trị ghi trên sổ kế toán;</w:t>
      </w:r>
    </w:p>
    <w:p w14:paraId="2A300EE4" w14:textId="77777777" w:rsidR="00E301F4" w:rsidRPr="00E445FB" w:rsidRDefault="00E301F4" w:rsidP="00B400C3">
      <w:pPr>
        <w:rPr>
          <w:color w:val="C00000"/>
        </w:rPr>
      </w:pPr>
      <w:r w:rsidRPr="00E445FB">
        <w:rPr>
          <w:color w:val="C00000"/>
        </w:rPr>
        <w:t>c) Có phương án phát hành và phương án sử dụng vốn thu được từ đợt chào bán cổ phiếu được Đại hội đồng cổ đông thông qua;</w:t>
      </w:r>
    </w:p>
    <w:p w14:paraId="2E6D6BD5" w14:textId="77777777" w:rsidR="00E301F4" w:rsidRPr="00E445FB" w:rsidRDefault="00E301F4" w:rsidP="00B400C3">
      <w:pPr>
        <w:rPr>
          <w:color w:val="C00000"/>
        </w:rPr>
      </w:pPr>
      <w:r w:rsidRPr="00E445FB">
        <w:rPr>
          <w:color w:val="C00000"/>
        </w:rPr>
        <w:t>e) Tổ chức phát hành không thuộc trường hợp đang bị truy cứu trách nhiệm hình sự hoặc đã bị kết án về một trong các tội xâm phạm trật tự quản lý kinh tế mà chưa được xóa án tích;</w:t>
      </w:r>
    </w:p>
    <w:p w14:paraId="2E374445" w14:textId="77777777" w:rsidR="00E301F4" w:rsidRPr="00E445FB" w:rsidRDefault="00E301F4" w:rsidP="00B400C3">
      <w:pPr>
        <w:rPr>
          <w:color w:val="C00000"/>
        </w:rPr>
      </w:pPr>
      <w:r w:rsidRPr="00E445FB">
        <w:rPr>
          <w:color w:val="C00000"/>
        </w:rPr>
        <w:t>g) Có công ty chứng khoán tư vấn hồ sơ đăng ký chào bán cổ phiếu ra công chúng, trừ trường hợp tổ chức phát hành là công ty chứng khoán;</w:t>
      </w:r>
    </w:p>
    <w:p w14:paraId="24902083" w14:textId="4312325C" w:rsidR="00E301F4" w:rsidRPr="00E445FB" w:rsidRDefault="00E301F4" w:rsidP="00B400C3">
      <w:pPr>
        <w:rPr>
          <w:color w:val="C00000"/>
        </w:rPr>
      </w:pPr>
      <w:r w:rsidRPr="00E445FB">
        <w:rPr>
          <w:color w:val="C00000"/>
        </w:rPr>
        <w:t>h) Có cam kết và phải thực hiện niêm yết hoặc đăng ký giao dịch cổ phiếu trên hệ thống giao dịch chứng khoán sau khi kết thúc đợt chào bán;</w:t>
      </w:r>
    </w:p>
    <w:p w14:paraId="0F303B09" w14:textId="483C0ED7" w:rsidR="009104B1" w:rsidRPr="009104B1" w:rsidRDefault="00E301F4" w:rsidP="00B400C3">
      <w:r w:rsidRPr="00E445FB">
        <w:rPr>
          <w:color w:val="C00000"/>
        </w:rPr>
        <w:t>i) Tổ chức phát hành phải mở tài khoản phong tỏa nhận tiền mua cổ phiếu của đợt chào bán.</w:t>
      </w:r>
    </w:p>
    <w:p w14:paraId="631321DF" w14:textId="2B4B528A" w:rsidR="00703C54" w:rsidRPr="00703C54" w:rsidRDefault="00703C54" w:rsidP="00B400C3">
      <w:r w:rsidRPr="00703C54">
        <w:t xml:space="preserve">b) </w:t>
      </w:r>
      <w:r w:rsidRPr="000F5637">
        <w:rPr>
          <w:highlight w:val="yellow"/>
        </w:rPr>
        <w:t>Hoạt động kinh doanh của năm liền trước năm đăng ký chào bán phải có lãi, đồng thời không có lỗ lũy kế tính đến năm đăng ký chào bán;</w:t>
      </w:r>
    </w:p>
    <w:p w14:paraId="61425C31" w14:textId="19B9465F" w:rsidR="00703C54" w:rsidRPr="00703C54" w:rsidRDefault="00703C54" w:rsidP="00B400C3">
      <w:r w:rsidRPr="00703C54">
        <w:t>c) 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chức phát hành, phát hành tăng vốn từ nguồn vốn chủ sở hữu, phát hành để hoán đổi, hợp nhất, sáp nhập doanh nghiệp;</w:t>
      </w:r>
    </w:p>
    <w:p w14:paraId="6AE78EAE" w14:textId="48D8F3A0" w:rsidR="00703C54" w:rsidRPr="00714B96" w:rsidRDefault="00703C54" w:rsidP="00B400C3">
      <w:r w:rsidRPr="00714B96">
        <w:t>d) Đối với đợt chào bán ra công chúng nhằm mục đích huy động phần vốn để thực hiện dự án của tổ chức phát hành, cổ phiếu được bán cho các nhà đầu tư phải đạt tối thiểu là 70% số cổ phiếu dự kiến chào bán. Tổ chức phát hành phải có phương án bù đắp phần thiếu hụt vốn dự kiến huy động từ đợt chào bán để thực hiện dự án.”</w:t>
      </w:r>
    </w:p>
    <w:p w14:paraId="46071B90" w14:textId="5BF2E6EE" w:rsidR="00703C54" w:rsidRDefault="00703C54" w:rsidP="00B400C3"/>
    <w:p w14:paraId="1092154D" w14:textId="3458523A" w:rsidR="00A850F1" w:rsidRDefault="00A850F1" w:rsidP="00B400C3">
      <w:pPr>
        <w:pStyle w:val="Heading2"/>
      </w:pPr>
      <w:bookmarkStart w:id="59" w:name="_Toc204931412"/>
      <w:r>
        <w:t>Khoản 6 Điều 1 Luật 56/2024</w:t>
      </w:r>
      <w:r w:rsidR="003025B2">
        <w:t>:</w:t>
      </w:r>
      <w:bookmarkEnd w:id="59"/>
    </w:p>
    <w:p w14:paraId="2A849CCC" w14:textId="7EDD53DD" w:rsidR="00A850F1" w:rsidRPr="00A850F1" w:rsidRDefault="00A850F1" w:rsidP="00B400C3">
      <w:r>
        <w:t>“</w:t>
      </w:r>
      <w:r w:rsidRPr="00A850F1">
        <w:t>a) Sửa đổi, bổ sung điểm d khoản 2 như sau:</w:t>
      </w:r>
    </w:p>
    <w:p w14:paraId="0338EAC2" w14:textId="129F19BF" w:rsidR="00A850F1" w:rsidRPr="00A850F1" w:rsidRDefault="00A850F1" w:rsidP="00B400C3">
      <w:r w:rsidRPr="00A850F1">
        <w:t>“d) Đối với đợt chào bán ra công chúng nhằm mục đích huy động phần vốn để thực hiện dự án của tổ chức phát hành, số cổ phiếu được bán cho các nhà đầu tư phải đạt tối thiểu 70% số cổ phiếu dự kiến được chào bán, trừ trường hợp chào bán cho các cổ đông hiện hữu theo tỷ lệ sở hữu. Tổ chức phát hành phải có phương án bù đắp phần thiếu hụt vốn dự kiến huy động để thực hiện dự án.”</w:t>
      </w:r>
      <w:r>
        <w:t>”</w:t>
      </w:r>
    </w:p>
    <w:p w14:paraId="582E1B86" w14:textId="7BE2C78E" w:rsidR="00703C54" w:rsidRDefault="00703C54" w:rsidP="00B400C3"/>
    <w:p w14:paraId="38DCF8A6" w14:textId="1A4E5F06" w:rsidR="00703C54" w:rsidRPr="009B18BC" w:rsidRDefault="00703C54" w:rsidP="00B400C3">
      <w:pPr>
        <w:pStyle w:val="Heading2"/>
      </w:pPr>
      <w:bookmarkStart w:id="60" w:name="_Toc204931413"/>
      <w:r>
        <w:t xml:space="preserve">Khoản 1 </w:t>
      </w:r>
      <w:r w:rsidRPr="009B18BC">
        <w:t>Điều 19 Luật Chứng Khoán 2019 quy định</w:t>
      </w:r>
      <w:r w:rsidR="00AF7439">
        <w:t xml:space="preserve"> về </w:t>
      </w:r>
      <w:r w:rsidR="00AF7439" w:rsidRPr="00AF7439">
        <w:rPr>
          <w:highlight w:val="yellow"/>
        </w:rPr>
        <w:t>Bản Cáo Bạch</w:t>
      </w:r>
      <w:r w:rsidRPr="009B18BC">
        <w:t>:</w:t>
      </w:r>
      <w:bookmarkEnd w:id="60"/>
    </w:p>
    <w:p w14:paraId="103BD25F" w14:textId="77777777" w:rsidR="00703C54" w:rsidRPr="009B18BC" w:rsidRDefault="00703C54" w:rsidP="00B400C3">
      <w:pPr>
        <w:pStyle w:val="BodyText"/>
      </w:pPr>
      <w:r>
        <w:t>“</w:t>
      </w:r>
      <w:r w:rsidRPr="009B18BC">
        <w:t>1. Đối với việc chào bán cổ phiếu, trái phiếu ra công chúng, Bản cáo bạch bao gồm các nội dung sau đây:</w:t>
      </w:r>
    </w:p>
    <w:p w14:paraId="620246B9" w14:textId="77777777" w:rsidR="00703C54" w:rsidRPr="009B18BC" w:rsidRDefault="00703C54" w:rsidP="00B400C3">
      <w:pPr>
        <w:pStyle w:val="BodyText"/>
      </w:pPr>
      <w:r w:rsidRPr="009B18BC">
        <w:t>a) Thông tin tóm tắt về tổ chức phát hành bao gồm mô hình tổ chức bộ máy, hoạt động kinh doanh, tài sản, tình hình tài chính, Hội đồng quản trị hoặc Hội đồng thành viên hoặc chủ sở hữu công ty, Tổng giám đốc (Giám đốc), Phó Tổng giám đốc (Phó Giám đốc), Kế toán trưởng và cơ cấu cổ đông (nếu có);</w:t>
      </w:r>
    </w:p>
    <w:p w14:paraId="0C601A9A" w14:textId="77777777" w:rsidR="00703C54" w:rsidRPr="009B18BC" w:rsidRDefault="00703C54" w:rsidP="00B400C3">
      <w:pPr>
        <w:pStyle w:val="BodyText"/>
      </w:pPr>
      <w:r w:rsidRPr="009B18BC">
        <w:t>b) Thông tin về đợt chào bán và chứng khoán chào bán bao gồm: điều kiện chào bán, các yếu tố rủi ro, dự kiến kế hoạch lợi nhuận và cổ tức của năm gần nhất sau khi phát hành chứng khoán, phương án phát hành và phương án sử dụng số tiền thu được từ đợt chào bán;</w:t>
      </w:r>
    </w:p>
    <w:p w14:paraId="5DE92EEE" w14:textId="77777777" w:rsidR="00703C54" w:rsidRPr="009B18BC" w:rsidRDefault="00703C54" w:rsidP="00B400C3">
      <w:pPr>
        <w:pStyle w:val="BodyText"/>
      </w:pPr>
      <w:r w:rsidRPr="009B18BC">
        <w:t xml:space="preserve">c) </w:t>
      </w:r>
      <w:r w:rsidRPr="00137AA9">
        <w:t xml:space="preserve">Báo cáo tài chính của tổ chức phát hành trong 02 năm gần nhất theo quy định tại </w:t>
      </w:r>
      <w:r w:rsidRPr="00137AA9">
        <w:rPr>
          <w:highlight w:val="yellow"/>
        </w:rPr>
        <w:t>Điều 20 của Luật này</w:t>
      </w:r>
      <w:r w:rsidRPr="009B18BC">
        <w:t>;</w:t>
      </w:r>
    </w:p>
    <w:p w14:paraId="55BA4803" w14:textId="77777777" w:rsidR="00703C54" w:rsidRDefault="00703C54" w:rsidP="00B400C3">
      <w:pPr>
        <w:pStyle w:val="BodyText"/>
      </w:pPr>
      <w:r w:rsidRPr="009B18BC">
        <w:t>d) Thông tin khác quy định trong mẫu Bản cáo bạch.</w:t>
      </w:r>
      <w:r>
        <w:t>”</w:t>
      </w:r>
    </w:p>
    <w:p w14:paraId="666975FA" w14:textId="6865FA59" w:rsidR="00703C54" w:rsidRDefault="00703C54" w:rsidP="00B400C3">
      <w:pPr>
        <w:pStyle w:val="BodyText"/>
      </w:pPr>
    </w:p>
    <w:p w14:paraId="2B4213DB" w14:textId="3E0F1C33" w:rsidR="00712C9B" w:rsidRDefault="00712C9B" w:rsidP="00B400C3">
      <w:pPr>
        <w:pStyle w:val="Heading2"/>
      </w:pPr>
      <w:bookmarkStart w:id="61" w:name="_Toc204931414"/>
      <w:r w:rsidRPr="00712C9B">
        <w:t>Khoản 3 Điều 19 Luật Chứng Khoán 2019 quy định về chữ ký Bản Cáo Bạch</w:t>
      </w:r>
      <w:r>
        <w:t>:</w:t>
      </w:r>
      <w:bookmarkEnd w:id="61"/>
    </w:p>
    <w:p w14:paraId="79435A01" w14:textId="1B9ECE9D" w:rsidR="00712C9B" w:rsidRPr="00712C9B" w:rsidRDefault="00712C9B" w:rsidP="00B400C3">
      <w:pPr>
        <w:pStyle w:val="BodyText"/>
      </w:pPr>
      <w:r>
        <w:t>“</w:t>
      </w:r>
      <w:r w:rsidRPr="00712C9B">
        <w:t>3. Chữ ký trong Bản cáo bạch thực hiện theo quy định sau đây:</w:t>
      </w:r>
    </w:p>
    <w:p w14:paraId="0F86C23A" w14:textId="30477B74" w:rsidR="00DC4EF1" w:rsidRDefault="00712C9B" w:rsidP="00B400C3">
      <w:pPr>
        <w:pStyle w:val="BodyText"/>
      </w:pPr>
      <w:r w:rsidRPr="00712C9B">
        <w:t xml:space="preserve">a) Đối với việc chào bán cổ phiếu, trái phiếu ra công chúng, Bản cáo bạch phải có chữ ký </w:t>
      </w:r>
      <w:r w:rsidRPr="001D10F7">
        <w:rPr>
          <w:highlight w:val="yellow"/>
        </w:rPr>
        <w:t>của những người sau đây</w:t>
      </w:r>
      <w:r w:rsidRPr="00712C9B">
        <w:t>: Chủ tịch Hội đồng quản trị hoặc Chủ tịch Hội đồng thành viên, Chủ tịch công ty; Tổng giám đốc (Giám đốc); Giám đốc tài chính hoặc Kế toán trưởng của tổ chức phát hành; người đại diện theo pháp luật của tổ chức tư vấn hồ sơ đăng ký chào bán chứng khoán ra công chúng, tổ chức bảo lãnh phát hành hoặc tổ chức bảo lãnh phát hành chính (nếu có). Trường hợp ký thay phải có văn bản ủy quyền;</w:t>
      </w:r>
      <w:r>
        <w:t>”</w:t>
      </w:r>
    </w:p>
    <w:p w14:paraId="4157D075" w14:textId="77777777" w:rsidR="008F05E8" w:rsidRPr="00712C9B" w:rsidRDefault="008F05E8" w:rsidP="00B400C3">
      <w:pPr>
        <w:pStyle w:val="BodyText"/>
      </w:pPr>
    </w:p>
    <w:p w14:paraId="76DFDE52" w14:textId="2B287E54" w:rsidR="00703C54" w:rsidRPr="00EE2173" w:rsidRDefault="00703C54" w:rsidP="00B400C3">
      <w:pPr>
        <w:pStyle w:val="Heading2"/>
      </w:pPr>
      <w:bookmarkStart w:id="62" w:name="_Toc204931415"/>
      <w:r w:rsidRPr="00EE2173">
        <w:t>Điều 20 Luật Chứng Khoán 2019 quy định</w:t>
      </w:r>
      <w:r w:rsidR="00AF7439">
        <w:t xml:space="preserve"> về </w:t>
      </w:r>
      <w:r w:rsidR="00AF7439" w:rsidRPr="00AF7439">
        <w:rPr>
          <w:highlight w:val="yellow"/>
        </w:rPr>
        <w:t>BCTC</w:t>
      </w:r>
      <w:r w:rsidRPr="00EE2173">
        <w:t>:</w:t>
      </w:r>
      <w:bookmarkEnd w:id="62"/>
    </w:p>
    <w:p w14:paraId="0560DC37" w14:textId="77777777" w:rsidR="00703C54" w:rsidRPr="00EE2173" w:rsidRDefault="00703C54" w:rsidP="00B400C3">
      <w:pPr>
        <w:pStyle w:val="BodyText"/>
      </w:pPr>
      <w:r>
        <w:t>“</w:t>
      </w:r>
      <w:r w:rsidRPr="00EE2173">
        <w:t>Điều 20. Báo cáo tài chính</w:t>
      </w:r>
    </w:p>
    <w:p w14:paraId="6FECD729" w14:textId="77777777" w:rsidR="00703C54" w:rsidRPr="00EE2173" w:rsidRDefault="00703C54" w:rsidP="00B400C3">
      <w:pPr>
        <w:pStyle w:val="BodyText"/>
      </w:pPr>
      <w:r w:rsidRPr="00EE2173">
        <w:t>1. Báo cáo tài chính được lập theo quy định của pháp luật về kế toán.</w:t>
      </w:r>
    </w:p>
    <w:p w14:paraId="6C072E09" w14:textId="77777777" w:rsidR="00703C54" w:rsidRPr="00EE2173" w:rsidRDefault="00703C54" w:rsidP="00B400C3">
      <w:pPr>
        <w:pStyle w:val="BodyText"/>
      </w:pPr>
      <w:r w:rsidRPr="00EE2173">
        <w:t>2. Trường hợp tổ chức phát hành là công ty mẹ thì tổ chức phát hành phải nộp báo cáo tài chính hợp nhất theo quy định của pháp luật về kế toán.</w:t>
      </w:r>
    </w:p>
    <w:p w14:paraId="6A7E1012" w14:textId="77777777" w:rsidR="00703C54" w:rsidRPr="00EE2173" w:rsidRDefault="00703C54" w:rsidP="00B400C3">
      <w:pPr>
        <w:pStyle w:val="BodyText"/>
      </w:pPr>
      <w:r w:rsidRPr="00EE2173">
        <w:t xml:space="preserve">3. Báo cáo tài chính năm phải được kiểm toán bởi tổ chức kiểm toán được chấp thuận thực hiện kiểm toán cho đơn vị có lợi ích công chúng thuộc lĩnh vực chứng khoán. </w:t>
      </w:r>
      <w:r w:rsidRPr="00137AA9">
        <w:rPr>
          <w:highlight w:val="yellow"/>
        </w:rPr>
        <w:t>Ý kiến kiểm toán đối với các báo cáo tài chính là ý kiến chấp nhận toàn phần</w:t>
      </w:r>
      <w:r w:rsidRPr="00EE2173">
        <w:t>;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14:paraId="013B65AC" w14:textId="77777777" w:rsidR="00703C54" w:rsidRPr="00EE2173" w:rsidRDefault="00703C54" w:rsidP="00B400C3">
      <w:pPr>
        <w:pStyle w:val="BodyText"/>
      </w:pPr>
      <w:r w:rsidRPr="00EE2173">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14:paraId="5EB836DF" w14:textId="56B5FABB" w:rsidR="00703C54" w:rsidRDefault="00703C54" w:rsidP="00B400C3">
      <w:pPr>
        <w:pStyle w:val="BodyText"/>
      </w:pPr>
      <w:r w:rsidRPr="00EE2173">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r>
        <w:t>”</w:t>
      </w:r>
    </w:p>
    <w:p w14:paraId="1E60C269" w14:textId="010EEDE5" w:rsidR="00133BC1" w:rsidRDefault="00133BC1" w:rsidP="00B400C3">
      <w:pPr>
        <w:pStyle w:val="BodyText"/>
      </w:pPr>
    </w:p>
    <w:p w14:paraId="34C92310" w14:textId="3EF81386" w:rsidR="00133BC1" w:rsidRPr="00133BC1" w:rsidRDefault="00133BC1" w:rsidP="00B400C3">
      <w:pPr>
        <w:pStyle w:val="Heading2"/>
      </w:pPr>
      <w:bookmarkStart w:id="63" w:name="_Toc204931416"/>
      <w:r w:rsidRPr="00133BC1">
        <w:t>Điều 12 Nghị định 155/2020/NĐ-C</w:t>
      </w:r>
      <w:r w:rsidR="003025B2">
        <w:t>P</w:t>
      </w:r>
      <w:r w:rsidRPr="00133BC1">
        <w:t>:</w:t>
      </w:r>
      <w:bookmarkEnd w:id="63"/>
    </w:p>
    <w:p w14:paraId="1878CB91" w14:textId="77777777" w:rsidR="00133BC1" w:rsidRPr="00133BC1" w:rsidRDefault="00133BC1" w:rsidP="00B400C3">
      <w:pPr>
        <w:pStyle w:val="BodyText"/>
      </w:pPr>
      <w:r>
        <w:t>“</w:t>
      </w:r>
      <w:r w:rsidRPr="00133BC1">
        <w:t>Điều 12. Hồ sơ đăng ký chào bán thêm cổ phiếu ra công chúng của công ty đại chúng</w:t>
      </w:r>
    </w:p>
    <w:p w14:paraId="6EAFEB0B" w14:textId="77777777" w:rsidR="00133BC1" w:rsidRPr="00133BC1" w:rsidRDefault="00133BC1" w:rsidP="00B400C3">
      <w:pPr>
        <w:pStyle w:val="BodyText"/>
      </w:pPr>
      <w:r w:rsidRPr="00133BC1">
        <w:t>1. Giấy đăng ký chào bán theo Mẫu số 05 Phụ lục ban hành kèm theo Nghị định này.</w:t>
      </w:r>
    </w:p>
    <w:p w14:paraId="3536FA7D" w14:textId="77777777" w:rsidR="00133BC1" w:rsidRPr="00133BC1" w:rsidRDefault="00133BC1" w:rsidP="00B400C3">
      <w:pPr>
        <w:pStyle w:val="BodyText"/>
      </w:pPr>
      <w:r w:rsidRPr="00133BC1">
        <w:t xml:space="preserve">2. Quyết định của </w:t>
      </w:r>
      <w:r w:rsidRPr="00133BC1">
        <w:rPr>
          <w:highlight w:val="yellow"/>
        </w:rPr>
        <w:t>Đại hội đồng cổ đông</w:t>
      </w:r>
      <w:r w:rsidRPr="00133BC1">
        <w:t xml:space="preserve"> thông qua phương án phát hành, phương án sử dụng vốn thu được từ đợt chào bán, thông qua việc niêm yết hoặc đăng ký giao dịch cổ phiếu trên hệ thống giao dịch chứng khoán, trong đó:</w:t>
      </w:r>
    </w:p>
    <w:p w14:paraId="08C06711" w14:textId="77777777" w:rsidR="00133BC1" w:rsidRPr="00133BC1" w:rsidRDefault="00133BC1" w:rsidP="00B400C3">
      <w:pPr>
        <w:pStyle w:val="BodyText"/>
      </w:pPr>
      <w:r w:rsidRPr="00133BC1">
        <w:t xml:space="preserve">a) Phương án phát hành phải nêu rõ: loại cổ phiếu chào bán; số lượng cổ phiếu từng loại chào bán; đặc tính của cổ phiếu (trong trường hợp cổ phiếu chào bán không phải cổ phiếu phổ thông); giá chào bán hoặc nguyên tắc xác định giá chào bán hoặc ủy quyền cho Hội </w:t>
      </w:r>
      <w:r w:rsidRPr="00133BC1">
        <w:lastRenderedPageBreak/>
        <w:t xml:space="preserve">đồng quản trị xác định giá chào bán; thông qua hoặc ủy quyền cho Hội đồng quản trị thông qua phương án đảm bảo việc phát hành cổ phiếu đáp ứng quy định về </w:t>
      </w:r>
      <w:r w:rsidRPr="00B400C3">
        <w:rPr>
          <w:highlight w:val="yellow"/>
        </w:rPr>
        <w:t xml:space="preserve">tỷ lệ sở hữu nước </w:t>
      </w:r>
      <w:commentRangeStart w:id="64"/>
      <w:r w:rsidRPr="00B400C3">
        <w:rPr>
          <w:highlight w:val="yellow"/>
        </w:rPr>
        <w:t>ngoài</w:t>
      </w:r>
      <w:commentRangeEnd w:id="64"/>
      <w:r w:rsidR="00B400C3">
        <w:rPr>
          <w:rStyle w:val="CommentReference"/>
          <w:rFonts w:ascii="Tahoma" w:eastAsia="Tahoma" w:hAnsi="Tahoma" w:cs="Tahoma"/>
          <w:color w:val="000000"/>
          <w:lang w:bidi="ar-SA"/>
        </w:rPr>
        <w:commentReference w:id="64"/>
      </w:r>
      <w:r w:rsidRPr="00133BC1">
        <w:t>. Trường hợp phương án phát hành không nêu cụ thể giá chào bán, nguyên tắc xác định giá chào bán thì giá chào bán được xác định theo quy định tại Luật Doanh nghiệp;</w:t>
      </w:r>
    </w:p>
    <w:p w14:paraId="767EE1D6" w14:textId="77777777" w:rsidR="00133BC1" w:rsidRPr="00133BC1" w:rsidRDefault="00133BC1" w:rsidP="00B400C3">
      <w:pPr>
        <w:pStyle w:val="BodyText"/>
      </w:pPr>
      <w:r w:rsidRPr="00133BC1">
        <w:t>b) Đối với đợt chào bán để thực hiện dự án, phương án sử dụng vốn phải xác định tỷ lệ chào bán thành công cho mục đích thực hiện dự án tối thiểu là 70% tổng số cổ phiếu dự kiến chào bán để thực hiện các dự án; phương án bù đắp phần thiếu hụt vốn dự kiến huy động từ đợt chào bán để thực hiện các dự án.</w:t>
      </w:r>
    </w:p>
    <w:p w14:paraId="4113DD2D" w14:textId="6808FB07" w:rsidR="00133BC1" w:rsidRDefault="00133BC1" w:rsidP="00B400C3">
      <w:pPr>
        <w:pStyle w:val="BodyText"/>
      </w:pPr>
      <w:r w:rsidRPr="00133BC1">
        <w:t>3. Báo cáo tài chính của tổ chức phát hành trong 02 năm gần nhất phải đáp ứng quy định tại Điều 20 Luật Chứng khoán, trong đó:</w:t>
      </w:r>
    </w:p>
    <w:p w14:paraId="3D136A92" w14:textId="7B75B19A" w:rsidR="000D7941" w:rsidRPr="000D7941" w:rsidRDefault="000D7941" w:rsidP="00B400C3">
      <w:pPr>
        <w:pStyle w:val="BodyText"/>
      </w:pPr>
      <w:r w:rsidRPr="000D7941">
        <w:t xml:space="preserve">a)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 Trường hợp tổ chức phát hành hoàn thiện hồ sơ sau 90 ngày kể từ ngày kết thúc kỳ kế toán năm, tổ chức phát hành phải </w:t>
      </w:r>
      <w:r w:rsidRPr="000D7941">
        <w:rPr>
          <w:highlight w:val="yellow"/>
        </w:rPr>
        <w:t>bổ sung báo cáo tài chính năm gần nhất được kiểm toán</w:t>
      </w:r>
      <w:r w:rsidRPr="000D7941">
        <w:t>;</w:t>
      </w:r>
    </w:p>
    <w:p w14:paraId="3B933082" w14:textId="2CEC2C8C" w:rsidR="000D7941" w:rsidRPr="00133BC1" w:rsidRDefault="000D7941" w:rsidP="00B400C3">
      <w:pPr>
        <w:pStyle w:val="BodyText"/>
      </w:pPr>
      <w:r w:rsidRPr="000D7941">
        <w:t xml:space="preserve">b) Trường hợp tổ chức phát hành thực hiện phát hành cổ phiếu để tăng vốn điều lệ sau ngày kết thúc kỳ kế toán gần nhất được kiểm toán hoặc soát xét (trừ trường hợp phát hành cổ phiếu để trả cổ tức, phát hành cổ phiếu để tăng vốn cổ phần từ nguồn vốn chủ sở hữu, phát hành cổ phiếu thưởng cho người lao động, phát hành cổ phiếu để chuyển đổi trái phiếu), tổ chức phát hành phải </w:t>
      </w:r>
      <w:r w:rsidRPr="000D7941">
        <w:rPr>
          <w:highlight w:val="yellow"/>
        </w:rPr>
        <w:t>bổ sung báo cáo về vốn góp của chủ sở hữu được kiểm toán bởi tổ chức kiểm toán được chấp thuận</w:t>
      </w:r>
      <w:r w:rsidRPr="000D7941">
        <w:t>.</w:t>
      </w:r>
    </w:p>
    <w:p w14:paraId="70AE1074" w14:textId="77777777" w:rsidR="00A90A69" w:rsidRDefault="00133BC1" w:rsidP="00B400C3">
      <w:pPr>
        <w:pStyle w:val="BodyText"/>
      </w:pPr>
      <w:r w:rsidRPr="00133BC1">
        <w:t>4. Tài liệu quy định tại các điểm c, h khoản 1, điểm c, d khoản 2 Điều 18 Luật Chứng khoán; các khoản 2, 5, 6, 7, 8 Điều 11 Nghị định này và văn bản cam kết đáp ứng quy định tại điểm e khoản 1 Điều 15 Luật Chứng khoán.</w:t>
      </w:r>
    </w:p>
    <w:p w14:paraId="6AF8432D" w14:textId="77777777" w:rsidR="00A90A69" w:rsidRPr="00393E53" w:rsidRDefault="00A90A69" w:rsidP="00B400C3">
      <w:pPr>
        <w:pStyle w:val="BodyText"/>
      </w:pPr>
      <w:r w:rsidRPr="00393E53">
        <w:t>c,h Khoản 1</w:t>
      </w:r>
    </w:p>
    <w:p w14:paraId="1FC13BFA" w14:textId="77777777" w:rsidR="00A90A69" w:rsidRPr="00393E53" w:rsidRDefault="00A90A69" w:rsidP="00B400C3">
      <w:pPr>
        <w:pStyle w:val="BodyText"/>
      </w:pPr>
      <w:r w:rsidRPr="00393E53">
        <w:t>c) Điều lệ của tổ chức phát hành;</w:t>
      </w:r>
    </w:p>
    <w:p w14:paraId="7B6E752E" w14:textId="77777777" w:rsidR="00A90A69" w:rsidRPr="00393E53" w:rsidRDefault="00A90A69" w:rsidP="00B400C3">
      <w:pPr>
        <w:pStyle w:val="BodyText"/>
      </w:pPr>
      <w:r w:rsidRPr="00393E53">
        <w:t>h) Văn bản xác nhận của ngân hàng, chi nhánh ngân hàng nước ngoài về việc mở tài khoản phong tỏa nhận tiền mua cổ phiếu của đợt chào bán</w:t>
      </w:r>
    </w:p>
    <w:p w14:paraId="31DFEDDD" w14:textId="77777777" w:rsidR="00A90A69" w:rsidRPr="00393E53" w:rsidRDefault="00A90A69" w:rsidP="00B400C3">
      <w:pPr>
        <w:pStyle w:val="BodyText"/>
      </w:pPr>
      <w:r w:rsidRPr="00393E53">
        <w:t xml:space="preserve">c,d Khoản 2 </w:t>
      </w:r>
    </w:p>
    <w:p w14:paraId="253DC3E7" w14:textId="77777777" w:rsidR="00393E53" w:rsidRPr="00393E53" w:rsidRDefault="00393E53" w:rsidP="00B400C3">
      <w:pPr>
        <w:pStyle w:val="BodyText"/>
      </w:pPr>
      <w:r w:rsidRPr="00393E53">
        <w:t>c) Quyết định của cơ quan có thẩm quyền phê duyệt dự án, phương án bù đắp phần thiếu hụt vốn dự kiến huy động từ đợt chào bán để thực hiện dự án đối với trường hợp quy định tại điểm d khoản 2 Điều 15 của Luật này;</w:t>
      </w:r>
    </w:p>
    <w:p w14:paraId="3A498F61" w14:textId="59BE0333" w:rsidR="00133BC1" w:rsidRPr="00393E53" w:rsidRDefault="00393E53" w:rsidP="00B400C3">
      <w:pPr>
        <w:pStyle w:val="BodyText"/>
      </w:pPr>
      <w:r w:rsidRPr="00393E53">
        <w:t xml:space="preserve">d) </w:t>
      </w:r>
      <w:r w:rsidRPr="000D7941">
        <w:rPr>
          <w:highlight w:val="yellow"/>
        </w:rPr>
        <w:t>Báo cáo sử dụng vốn thu được từ đợt chào bán gần nhất được kiểm toán trong 02 năm tính đến thời điểm nộp hồ sơ</w:t>
      </w:r>
      <w:r w:rsidRPr="00393E53">
        <w:t>, trừ trường hợp báo cáo tài chính được kiểm toán đã có thuyết minh chi tiết việc sử dụng vốn thu được từ đợt chào bán gần nhất.</w:t>
      </w:r>
      <w:r w:rsidR="00133BC1" w:rsidRPr="00393E53">
        <w:t>”</w:t>
      </w:r>
    </w:p>
    <w:p w14:paraId="698DA8D8" w14:textId="08FC02B3" w:rsidR="00393E53" w:rsidRPr="00393E53" w:rsidRDefault="00393E53" w:rsidP="00B400C3">
      <w:pPr>
        <w:pStyle w:val="BodyText"/>
      </w:pPr>
      <w:r w:rsidRPr="00393E53">
        <w:t>2,5,6,7,8 Điều 11</w:t>
      </w:r>
    </w:p>
    <w:p w14:paraId="51BE3BC7" w14:textId="77777777" w:rsidR="00393E53" w:rsidRPr="0064334F" w:rsidRDefault="00393E53" w:rsidP="00B400C3">
      <w:pPr>
        <w:pStyle w:val="BodyText"/>
        <w:rPr>
          <w:color w:val="C00000"/>
        </w:rPr>
      </w:pPr>
      <w:r w:rsidRPr="0064334F">
        <w:rPr>
          <w:color w:val="C00000"/>
        </w:rPr>
        <w:t>2. Bản cáo bạch theo quy định tại Điều 19 Luật Chứng khoán.</w:t>
      </w:r>
    </w:p>
    <w:p w14:paraId="0A082CD2" w14:textId="77777777" w:rsidR="00393E53" w:rsidRPr="0064334F" w:rsidRDefault="00393E53" w:rsidP="00B400C3">
      <w:pPr>
        <w:pStyle w:val="BodyText"/>
        <w:rPr>
          <w:color w:val="C00000"/>
        </w:rPr>
      </w:pPr>
      <w:r w:rsidRPr="0064334F">
        <w:rPr>
          <w:color w:val="C00000"/>
        </w:rPr>
        <w:t>5. Hợp đồng tư vấn hồ sơ đăng ký chào bán cổ phiếu ra công chúng với công ty chứng khoán, trừ trường hợp tổ chức phát hành là công ty chứng khoán.</w:t>
      </w:r>
    </w:p>
    <w:p w14:paraId="76AC1A80" w14:textId="77777777" w:rsidR="00393E53" w:rsidRPr="0064334F" w:rsidRDefault="00393E53" w:rsidP="00B400C3">
      <w:pPr>
        <w:pStyle w:val="BodyText"/>
        <w:rPr>
          <w:color w:val="C00000"/>
        </w:rPr>
      </w:pPr>
      <w:r w:rsidRPr="0064334F">
        <w:rPr>
          <w:color w:val="C00000"/>
        </w:rPr>
        <w:lastRenderedPageBreak/>
        <w:t>6. Cam kết bảo lãnh phát hành (nếu có) bao gồm các nội dung tối thiểu theo Mẫu số 04 Phụ lục ban hành kèm theo Nghị định này. Trường hợp có tổ hợp bảo lãnh phát hành, cam kết bảo lãnh phát hành của tổ chức bảo lãnh phát hành chính phải kèm theo hợp đồng giữa các tổ chức bảo lãnh phát hành. Các tài liệu này phải được gửi đến Ủy ban Chứng khoán Nhà nước trước ngày cấp Giấy chứng nhận đăng ký chào bán.</w:t>
      </w:r>
    </w:p>
    <w:p w14:paraId="438192C4" w14:textId="5A073295" w:rsidR="00393E53" w:rsidRPr="0064334F" w:rsidRDefault="00393E53" w:rsidP="00B400C3">
      <w:pPr>
        <w:pStyle w:val="BodyText"/>
        <w:rPr>
          <w:color w:val="C00000"/>
        </w:rPr>
      </w:pPr>
      <w:r w:rsidRPr="0064334F">
        <w:rPr>
          <w:color w:val="C00000"/>
        </w:rPr>
        <w:t xml:space="preserve">7. </w:t>
      </w:r>
      <w:r w:rsidRPr="0064334F">
        <w:rPr>
          <w:color w:val="C00000"/>
          <w:highlight w:val="yellow"/>
        </w:rPr>
        <w:t xml:space="preserve">Quyết định của Hội đồng quản trị thông qua </w:t>
      </w:r>
      <w:commentRangeStart w:id="65"/>
      <w:r w:rsidRPr="0064334F">
        <w:rPr>
          <w:color w:val="C00000"/>
          <w:highlight w:val="yellow"/>
        </w:rPr>
        <w:t>hồ sơ đăng ký chào bán cổ phiếu ra công chúng</w:t>
      </w:r>
      <w:commentRangeEnd w:id="65"/>
      <w:r w:rsidR="00DE1B0D" w:rsidRPr="0064334F">
        <w:rPr>
          <w:rStyle w:val="CommentReference"/>
          <w:rFonts w:ascii="Tahoma" w:eastAsia="Tahoma" w:hAnsi="Tahoma" w:cs="Tahoma"/>
          <w:color w:val="C00000"/>
          <w:lang w:bidi="ar-SA"/>
        </w:rPr>
        <w:commentReference w:id="65"/>
      </w:r>
      <w:r w:rsidRPr="0064334F">
        <w:rPr>
          <w:color w:val="C00000"/>
          <w:highlight w:val="yellow"/>
        </w:rPr>
        <w:t>.</w:t>
      </w:r>
      <w:r w:rsidRPr="0064334F">
        <w:rPr>
          <w:color w:val="C00000"/>
        </w:rPr>
        <w:t xml:space="preserve"> </w:t>
      </w:r>
    </w:p>
    <w:p w14:paraId="47003364" w14:textId="55668E69" w:rsidR="00393E53" w:rsidRPr="0064334F" w:rsidRDefault="00393E53" w:rsidP="00B400C3">
      <w:pPr>
        <w:pStyle w:val="BodyText"/>
        <w:rPr>
          <w:color w:val="C00000"/>
        </w:rPr>
      </w:pPr>
      <w:r w:rsidRPr="0064334F">
        <w:rPr>
          <w:color w:val="C00000"/>
        </w:rPr>
        <w:t>8. Văn bản cam kết của Hội đồng quản trị triển khai niêm yết hoặc đăng ký giao dịch cổ phiếu trên hệ thống giao dịch chứng khoán.</w:t>
      </w:r>
    </w:p>
    <w:p w14:paraId="73CD362E" w14:textId="5D1748AA" w:rsidR="00393E53" w:rsidRPr="00393E53" w:rsidRDefault="00393E53" w:rsidP="00B400C3">
      <w:pPr>
        <w:pStyle w:val="BodyText"/>
      </w:pPr>
      <w:r w:rsidRPr="00393E53">
        <w:t>e Khoản 1 Điều 15</w:t>
      </w:r>
    </w:p>
    <w:p w14:paraId="1C23A369" w14:textId="508C2A4F" w:rsidR="009725C5" w:rsidRDefault="00393E53" w:rsidP="009725C5">
      <w:pPr>
        <w:pStyle w:val="BodyText"/>
      </w:pPr>
      <w:r w:rsidRPr="00393E53">
        <w:t>e) Tổ chức phát hành không thuộc trường hợp đang bị truy cứu trách nhiệm hình sự hoặc đã bị kết án về một trong các tội xâm phạm trật tự quản lý kinh tế mà chưa được xóa án tích;”</w:t>
      </w:r>
    </w:p>
    <w:p w14:paraId="2C3FE68D" w14:textId="2A7C7E80" w:rsidR="00787517" w:rsidRDefault="00787517" w:rsidP="009725C5">
      <w:pPr>
        <w:pStyle w:val="BodyText"/>
      </w:pPr>
    </w:p>
    <w:p w14:paraId="6EF9C63D" w14:textId="7F5A31DC" w:rsidR="00787517" w:rsidRPr="00787517" w:rsidRDefault="00787517" w:rsidP="00787517">
      <w:pPr>
        <w:pStyle w:val="Heading2"/>
        <w:rPr>
          <w:rFonts w:eastAsia="Times New Roman"/>
          <w:sz w:val="18"/>
          <w:szCs w:val="18"/>
          <w:lang w:eastAsia="en-US"/>
        </w:rPr>
      </w:pPr>
      <w:bookmarkStart w:id="66" w:name="dieu_41"/>
      <w:bookmarkStart w:id="67" w:name="_Toc204931417"/>
      <w:r w:rsidRPr="00787517">
        <w:rPr>
          <w:rFonts w:eastAsia="Times New Roman"/>
          <w:lang w:eastAsia="en-US"/>
        </w:rPr>
        <w:t>Điều 41</w:t>
      </w:r>
      <w:r>
        <w:rPr>
          <w:rFonts w:eastAsia="Times New Roman"/>
          <w:lang w:eastAsia="en-US"/>
        </w:rPr>
        <w:t xml:space="preserve"> Nghị định 155</w:t>
      </w:r>
      <w:r w:rsidRPr="00787517">
        <w:rPr>
          <w:rFonts w:eastAsia="Times New Roman"/>
          <w:lang w:eastAsia="en-US"/>
        </w:rPr>
        <w:t>. Trình tự, thủ tục chào bán chứng khoán ra công chúng</w:t>
      </w:r>
      <w:bookmarkEnd w:id="66"/>
      <w:bookmarkEnd w:id="67"/>
    </w:p>
    <w:p w14:paraId="7F36FEE1" w14:textId="77777777" w:rsidR="00787517" w:rsidRPr="00787517" w:rsidRDefault="00787517" w:rsidP="00787517">
      <w:pPr>
        <w:widowControl/>
        <w:shd w:val="clear" w:color="auto" w:fill="FFFFFF"/>
        <w:spacing w:before="120" w:after="120"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1. Tổ chức phát hành, cổ đông đăng ký chào bán gửi hồ sơ đăng ký chào bán chứng khoán ra công chúng tới Ủy ban Chứng khoán Nhà nước.</w:t>
      </w:r>
    </w:p>
    <w:p w14:paraId="7BDCED27"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2. Tổ chức phát hành, cổ đông đăng ký chào bán có nghĩa vụ sửa đổi, bổ sung hồ sơ đăng ký chào bán chứng khoán ra công chúng theo quy định tại </w:t>
      </w:r>
      <w:bookmarkStart w:id="68" w:name="dc_44"/>
      <w:r w:rsidRPr="00787517">
        <w:rPr>
          <w:rFonts w:ascii="Arial" w:eastAsia="Times New Roman" w:hAnsi="Arial" w:cs="Arial"/>
          <w:sz w:val="20"/>
          <w:szCs w:val="20"/>
          <w:lang w:eastAsia="en-US"/>
        </w:rPr>
        <w:t>Điều 22 Luật Chứng khoán</w:t>
      </w:r>
      <w:bookmarkEnd w:id="68"/>
      <w:r w:rsidRPr="00787517">
        <w:rPr>
          <w:rFonts w:ascii="Arial" w:eastAsia="Times New Roman" w:hAnsi="Arial" w:cs="Arial"/>
          <w:sz w:val="20"/>
          <w:szCs w:val="20"/>
          <w:lang w:eastAsia="en-US"/>
        </w:rPr>
        <w:t> và quy định tại Nghị định này.</w:t>
      </w:r>
    </w:p>
    <w:p w14:paraId="6582F544" w14:textId="77777777" w:rsidR="00787517" w:rsidRPr="00787517" w:rsidRDefault="00787517" w:rsidP="00787517">
      <w:pPr>
        <w:widowControl/>
        <w:shd w:val="clear" w:color="auto" w:fill="FFFFFF"/>
        <w:spacing w:before="120" w:after="120"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3. Trong thời hạn 07 ngày làm việc kể từ ngày nhận được thông báo từ Ủy ban Chứng khoán Nhà nước về việc yêu cầu hoàn tất thủ tục cấp Giấy chứng nhận đăng ký chào bán chứng khoán ra công chúng, tổ chức phát hành, cổ đông đăng ký chào bán gửi Ủy ban Chứng khoán Nhà nước 06 Bản cáo bạch chính thức để hoàn thành thủ tục cấp Giấy chứng nhận đăng ký chào bán chứng khoán ra công chúng.</w:t>
      </w:r>
    </w:p>
    <w:p w14:paraId="6C081488"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4. Ủy ban Chứng khoán Nhà nước cấp Giấy chứng nhận đăng ký chào bán chứng khoán ra công chúng hoặc từ chối theo quy định tại </w:t>
      </w:r>
      <w:bookmarkStart w:id="69" w:name="dc_45"/>
      <w:r w:rsidRPr="00787517">
        <w:rPr>
          <w:rFonts w:ascii="Arial" w:eastAsia="Times New Roman" w:hAnsi="Arial" w:cs="Arial"/>
          <w:sz w:val="20"/>
          <w:szCs w:val="20"/>
          <w:lang w:eastAsia="en-US"/>
        </w:rPr>
        <w:t>Điều 25 Luật Chứng khoán</w:t>
      </w:r>
      <w:bookmarkEnd w:id="69"/>
      <w:r w:rsidRPr="00787517">
        <w:rPr>
          <w:rFonts w:ascii="Arial" w:eastAsia="Times New Roman" w:hAnsi="Arial" w:cs="Arial"/>
          <w:sz w:val="20"/>
          <w:szCs w:val="20"/>
          <w:lang w:eastAsia="en-US"/>
        </w:rPr>
        <w:t>.</w:t>
      </w:r>
    </w:p>
    <w:p w14:paraId="0D0895A7"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5. Trong thời hạn 07 ngày làm việc kể từ ngày Giấy chứng nhận đăng ký chào bán chứng khoán ra công chúng có hiệu lực, tổ chức phát hành, cổ đông đăng ký chào bán phải công bố Bản thông báo phát hành trên 01 tờ báo điện tử hoặc báo in trong 03 số liên tiếp theo quy định tại </w:t>
      </w:r>
      <w:bookmarkStart w:id="70" w:name="dc_46"/>
      <w:r w:rsidRPr="00787517">
        <w:rPr>
          <w:rFonts w:ascii="Arial" w:eastAsia="Times New Roman" w:hAnsi="Arial" w:cs="Arial"/>
          <w:sz w:val="20"/>
          <w:szCs w:val="20"/>
          <w:lang w:eastAsia="en-US"/>
        </w:rPr>
        <w:t>khoản 3 Điều 25 Luật Chứng khoán</w:t>
      </w:r>
      <w:bookmarkEnd w:id="70"/>
      <w:r w:rsidRPr="00787517">
        <w:rPr>
          <w:rFonts w:ascii="Arial" w:eastAsia="Times New Roman" w:hAnsi="Arial" w:cs="Arial"/>
          <w:sz w:val="20"/>
          <w:szCs w:val="20"/>
          <w:lang w:eastAsia="en-US"/>
        </w:rPr>
        <w:t> và công bố thông tin trên trang thông tin điện tử của tổ chức phát hành, cổ đông đăng ký chào bán là tổ chức (nếu có), Sở giao dịch chứng khoán. Bản cáo bạch chính thức phải được đồng thời đăng tải trên trang thông tin điện tử của tổ chức phát hành, cổ đông đăng ký chào bán là tổ chức (nếu có) và Sở giao dịch chứng khoán.</w:t>
      </w:r>
    </w:p>
    <w:p w14:paraId="1D61DF0B"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6. Tổ chức phát hành, cổ đông đăng ký chào bán thực hiện phân phối chứng khoán theo quy định tại </w:t>
      </w:r>
      <w:bookmarkStart w:id="71" w:name="dc_182"/>
      <w:r w:rsidRPr="00787517">
        <w:rPr>
          <w:rFonts w:ascii="Arial" w:eastAsia="Times New Roman" w:hAnsi="Arial" w:cs="Arial"/>
          <w:sz w:val="20"/>
          <w:szCs w:val="20"/>
          <w:lang w:eastAsia="en-US"/>
        </w:rPr>
        <w:t>Điều 26 Luật Chứng khoán</w:t>
      </w:r>
      <w:bookmarkEnd w:id="71"/>
      <w:r w:rsidRPr="00787517">
        <w:rPr>
          <w:rFonts w:ascii="Arial" w:eastAsia="Times New Roman" w:hAnsi="Arial" w:cs="Arial"/>
          <w:sz w:val="20"/>
          <w:szCs w:val="20"/>
          <w:lang w:eastAsia="en-US"/>
        </w:rPr>
        <w:t>.</w:t>
      </w:r>
    </w:p>
    <w:p w14:paraId="4EB66563"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7. Trong thời hạn 10 ngày kể từ ngày kết thúc đợt chào bán, tổ chức phát hành hoặc tổ chức bảo lãnh phát hành, cổ đông đăng ký chào bán phải gửi Báo cáo kết quả đợt chào bán kèm theo xác nhận của ngân hàng, chi nhánh ngân hàng nước ngoài nơi mở tài khoản phong tỏa về số tiền thu được từ đợt chào bán cho Ủy ban Chứng khoán Nhà nước theo quy định tại </w:t>
      </w:r>
      <w:bookmarkStart w:id="72" w:name="dc_47"/>
      <w:r w:rsidRPr="00787517">
        <w:rPr>
          <w:rFonts w:ascii="Arial" w:eastAsia="Times New Roman" w:hAnsi="Arial" w:cs="Arial"/>
          <w:sz w:val="20"/>
          <w:szCs w:val="20"/>
          <w:lang w:eastAsia="en-US"/>
        </w:rPr>
        <w:t>khoản 5 Điều 26 Luật Chứng khoán</w:t>
      </w:r>
      <w:bookmarkEnd w:id="72"/>
      <w:r w:rsidRPr="00787517">
        <w:rPr>
          <w:rFonts w:ascii="Arial" w:eastAsia="Times New Roman" w:hAnsi="Arial" w:cs="Arial"/>
          <w:sz w:val="20"/>
          <w:szCs w:val="20"/>
          <w:lang w:eastAsia="en-US"/>
        </w:rPr>
        <w:t> và công bố thông tin trên trang thông tin điện tử của tổ chức phát hành, cổ đông đăng ký chào bán là tổ chức (nếu có), Sở giao dịch chứng khoán về kết quả đợt chào bán.</w:t>
      </w:r>
    </w:p>
    <w:p w14:paraId="465C703D" w14:textId="77777777" w:rsidR="00787517" w:rsidRPr="00787517" w:rsidRDefault="00787517" w:rsidP="00787517">
      <w:pPr>
        <w:widowControl/>
        <w:shd w:val="clear" w:color="auto" w:fill="FFFFFF"/>
        <w:spacing w:before="120" w:after="120"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8. Trong thời hạn 03 ngày làm việc kể từ ngày nhận được tài liệu báo cáo kết quả đợt chào bán đầy đủ và hợp lệ, Ủy ban Chứng khoán Nhà nước có trách nhiệm:</w:t>
      </w:r>
    </w:p>
    <w:p w14:paraId="634AB5DD" w14:textId="77777777" w:rsidR="00787517" w:rsidRPr="00787517" w:rsidRDefault="00787517" w:rsidP="00787517">
      <w:pPr>
        <w:widowControl/>
        <w:shd w:val="clear" w:color="auto" w:fill="FFFFFF"/>
        <w:spacing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a) Thông báo bằng văn bản cho tổ chức phát hành, cổ đông đăng ký chào bán về việc nhận được báo cáo kết quả đợt chào bán hoặc có quyết định hủy bỏ đợt chào bán chứng khoán ra công chúng trong trường hợp kết quả đợt chào bán chứng khoán ra công chúng của tổ chức phát hành thuộc trường hợp quy định tại </w:t>
      </w:r>
      <w:bookmarkStart w:id="73" w:name="dc_48"/>
      <w:r w:rsidRPr="00787517">
        <w:rPr>
          <w:rFonts w:ascii="Arial" w:eastAsia="Times New Roman" w:hAnsi="Arial" w:cs="Arial"/>
          <w:sz w:val="20"/>
          <w:szCs w:val="20"/>
          <w:lang w:eastAsia="en-US"/>
        </w:rPr>
        <w:t>điểm b, c khoản 1 Điều 28 Luật Chứng khoán</w:t>
      </w:r>
      <w:bookmarkEnd w:id="73"/>
      <w:r w:rsidRPr="00787517">
        <w:rPr>
          <w:rFonts w:ascii="Arial" w:eastAsia="Times New Roman" w:hAnsi="Arial" w:cs="Arial"/>
          <w:sz w:val="20"/>
          <w:szCs w:val="20"/>
          <w:lang w:eastAsia="en-US"/>
        </w:rPr>
        <w:t>; đồng thời gửi cho Sở giao dịch chứng khoán và Tổng công ty lưu ký và bù trừ chứng khoán Việt Nam;</w:t>
      </w:r>
    </w:p>
    <w:p w14:paraId="442FDA18" w14:textId="77777777" w:rsidR="00787517" w:rsidRPr="00787517" w:rsidRDefault="00787517" w:rsidP="00787517">
      <w:pPr>
        <w:widowControl/>
        <w:shd w:val="clear" w:color="auto" w:fill="FFFFFF"/>
        <w:spacing w:before="120" w:after="120"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t>b) Đăng tải thông tin về việc nhận được báo cáo kết quả đợt chào bán hoặc quyết định hủy bỏ đợt chào bán chứng khoán ra công chúng trên trang thông tin điện tử của Ủy ban Chứng khoán Nhà nước.</w:t>
      </w:r>
    </w:p>
    <w:p w14:paraId="050DAEB9" w14:textId="6FAA592F" w:rsidR="00787517" w:rsidRPr="00787517" w:rsidRDefault="00787517" w:rsidP="00787517">
      <w:pPr>
        <w:widowControl/>
        <w:shd w:val="clear" w:color="auto" w:fill="FFFFFF"/>
        <w:spacing w:before="120" w:after="120" w:line="234" w:lineRule="atLeast"/>
        <w:rPr>
          <w:rFonts w:ascii="Arial" w:eastAsia="Times New Roman" w:hAnsi="Arial" w:cs="Arial"/>
          <w:sz w:val="18"/>
          <w:szCs w:val="18"/>
          <w:lang w:eastAsia="en-US"/>
        </w:rPr>
      </w:pPr>
      <w:r w:rsidRPr="00787517">
        <w:rPr>
          <w:rFonts w:ascii="Arial" w:eastAsia="Times New Roman" w:hAnsi="Arial" w:cs="Arial"/>
          <w:sz w:val="20"/>
          <w:szCs w:val="20"/>
          <w:lang w:eastAsia="en-US"/>
        </w:rPr>
        <w:lastRenderedPageBreak/>
        <w:t>9. Sau khi có thông báo nhận được báo cáo kết quả đợt chào bán của Ủy ban Chứng khoán Nhà nước, tổ chức phát hành, cổ đông đăng ký chào bán được yêu cầu chấm dứt phong tỏa số tiền thu được từ đợt chào bán.</w:t>
      </w:r>
    </w:p>
    <w:p w14:paraId="4EDD9A0A" w14:textId="266B6087" w:rsidR="00093D0A" w:rsidRDefault="00093D0A" w:rsidP="00093D0A">
      <w:pPr>
        <w:widowControl/>
        <w:shd w:val="clear" w:color="auto" w:fill="FFFFFF"/>
        <w:rPr>
          <w:rFonts w:ascii="Helvetica" w:eastAsia="Times New Roman" w:hAnsi="Helvetica" w:cs="Times New Roman"/>
          <w:b/>
          <w:bCs/>
          <w:i/>
          <w:iCs/>
          <w:color w:val="auto"/>
          <w:lang w:eastAsia="en-US"/>
        </w:rPr>
      </w:pPr>
    </w:p>
    <w:p w14:paraId="0062EE4B" w14:textId="03791ADD" w:rsidR="00093D0A" w:rsidRDefault="00093D0A" w:rsidP="00093D0A">
      <w:pPr>
        <w:pStyle w:val="Heading2"/>
        <w:rPr>
          <w:rFonts w:eastAsia="Times New Roman"/>
          <w:lang w:eastAsia="en-US"/>
        </w:rPr>
      </w:pPr>
      <w:bookmarkStart w:id="74" w:name="_Toc204931418"/>
      <w:r>
        <w:rPr>
          <w:rFonts w:eastAsia="Times New Roman"/>
          <w:lang w:eastAsia="en-US"/>
        </w:rPr>
        <w:t>Luật chứng khoán 2019</w:t>
      </w:r>
      <w:bookmarkEnd w:id="74"/>
    </w:p>
    <w:p w14:paraId="2B356901" w14:textId="546C03E0" w:rsidR="00093D0A" w:rsidRPr="00093D0A" w:rsidRDefault="00093D0A" w:rsidP="00093D0A">
      <w:pPr>
        <w:widowControl/>
        <w:shd w:val="clear" w:color="auto" w:fill="FFFFFF"/>
        <w:rPr>
          <w:rFonts w:ascii="Helvetica" w:eastAsia="Times New Roman" w:hAnsi="Helvetica" w:cs="Times New Roman"/>
          <w:color w:val="auto"/>
          <w:lang w:eastAsia="en-US"/>
        </w:rPr>
      </w:pPr>
      <w:r w:rsidRPr="00093D0A">
        <w:rPr>
          <w:rFonts w:ascii="Helvetica" w:eastAsia="Times New Roman" w:hAnsi="Helvetica" w:cs="Times New Roman"/>
          <w:b/>
          <w:bCs/>
          <w:i/>
          <w:iCs/>
          <w:color w:val="auto"/>
          <w:lang w:eastAsia="en-US"/>
        </w:rPr>
        <w:t>Phân phối chứng khoán</w:t>
      </w:r>
    </w:p>
    <w:p w14:paraId="3B0A22F5" w14:textId="77777777" w:rsidR="00093D0A" w:rsidRPr="00093D0A" w:rsidRDefault="00093D0A" w:rsidP="00093D0A">
      <w:pPr>
        <w:widowControl/>
        <w:shd w:val="clear" w:color="auto" w:fill="FFFFFF"/>
        <w:rPr>
          <w:rFonts w:ascii="Helvetica" w:eastAsia="Times New Roman" w:hAnsi="Helvetica" w:cs="Times New Roman"/>
          <w:color w:val="auto"/>
          <w:lang w:eastAsia="en-US"/>
        </w:rPr>
      </w:pPr>
      <w:r w:rsidRPr="00093D0A">
        <w:rPr>
          <w:rFonts w:ascii="Helvetica" w:eastAsia="Times New Roman" w:hAnsi="Helvetica" w:cs="Times New Roman"/>
          <w:i/>
          <w:iCs/>
          <w:color w:val="auto"/>
          <w:lang w:eastAsia="en-US"/>
        </w:rPr>
        <w:t>1. Việc phân phối chứng khoán chỉ được thực hiện sau khi tổ chức phát hành bảo đảm người mua chứng khoán tiếp cận Bản cáo bạch trong hồ sơ đăng ký chào bán chứng khoán ra công chúng được công bố tại các địa điểm ghi trong Bản thông báo phát hành.</w:t>
      </w:r>
    </w:p>
    <w:p w14:paraId="0EEBD172" w14:textId="77777777" w:rsidR="00093D0A" w:rsidRPr="00093D0A" w:rsidRDefault="00093D0A" w:rsidP="00093D0A">
      <w:pPr>
        <w:widowControl/>
        <w:shd w:val="clear" w:color="auto" w:fill="FFFFFF"/>
        <w:rPr>
          <w:rFonts w:ascii="Helvetica" w:eastAsia="Times New Roman" w:hAnsi="Helvetica" w:cs="Times New Roman"/>
          <w:color w:val="auto"/>
          <w:lang w:eastAsia="en-US"/>
        </w:rPr>
      </w:pPr>
      <w:r w:rsidRPr="00093D0A">
        <w:rPr>
          <w:rFonts w:ascii="Helvetica" w:eastAsia="Times New Roman" w:hAnsi="Helvetica" w:cs="Times New Roman"/>
          <w:i/>
          <w:iCs/>
          <w:color w:val="auto"/>
          <w:lang w:eastAsia="en-US"/>
        </w:rPr>
        <w:t xml:space="preserve">4. Tổ chức phát hành phải hoàn thành việc phân phối chứng khoán </w:t>
      </w:r>
      <w:r w:rsidRPr="00093D0A">
        <w:rPr>
          <w:rFonts w:ascii="Helvetica" w:eastAsia="Times New Roman" w:hAnsi="Helvetica" w:cs="Times New Roman"/>
          <w:i/>
          <w:iCs/>
          <w:color w:val="auto"/>
          <w:highlight w:val="yellow"/>
          <w:lang w:eastAsia="en-US"/>
        </w:rPr>
        <w:t>trong thời hạn 90 ngày</w:t>
      </w:r>
      <w:r w:rsidRPr="00093D0A">
        <w:rPr>
          <w:rFonts w:ascii="Helvetica" w:eastAsia="Times New Roman" w:hAnsi="Helvetica" w:cs="Times New Roman"/>
          <w:i/>
          <w:iCs/>
          <w:color w:val="auto"/>
          <w:lang w:eastAsia="en-US"/>
        </w:rPr>
        <w:t xml:space="preserve"> kể từ ngày Giấy chứng nhận đăng ký chào bán chứng khoán ra công chúng có hiệu lực. Trường hợp tổ chức phát hành không thể hoàn thành việc phân phối chứng khoán ra công chúng trong thời hạn này, Ủy ban Chứng khoán Nhà nước xem xét gia hạn việc phân phối chứng khoán nhưng tối đa không quá 30 ngày. Trường hợp đăng ký chào bán chứng khoán cho nhiều đợt thì khoảng cách giữa đợt chào bán sau với đợt chào bán trước không quá 12 tháng.</w:t>
      </w:r>
    </w:p>
    <w:p w14:paraId="07CEBDFC" w14:textId="77777777" w:rsidR="00093D0A" w:rsidRPr="00093D0A" w:rsidRDefault="00093D0A" w:rsidP="00093D0A">
      <w:pPr>
        <w:widowControl/>
        <w:shd w:val="clear" w:color="auto" w:fill="FFFFFF"/>
        <w:rPr>
          <w:rFonts w:ascii="Helvetica" w:eastAsia="Times New Roman" w:hAnsi="Helvetica" w:cs="Times New Roman"/>
          <w:color w:val="auto"/>
          <w:lang w:eastAsia="en-US"/>
        </w:rPr>
      </w:pPr>
      <w:r w:rsidRPr="00093D0A">
        <w:rPr>
          <w:rFonts w:ascii="Helvetica" w:eastAsia="Times New Roman" w:hAnsi="Helvetica" w:cs="Times New Roman"/>
          <w:i/>
          <w:iCs/>
          <w:color w:val="auto"/>
          <w:lang w:eastAsia="en-US"/>
        </w:rPr>
        <w:t>5. Tổ chức phát hành hoặc tổ chức bảo lãnh phát hành phải báo cáo kết quả đợt chào bán cho Ủy ban Chứng khoán Nhà nước trong thời hạn 10 ngày kể từ ngày kết thúc đợt chào bán, kèm theo văn bản xác nhận của ngân hàng, chi nhánh ngân hàng nước ngoài nơi mở tài khoản phong tỏa về số tiền thu được từ đợt chào bán.</w:t>
      </w:r>
    </w:p>
    <w:p w14:paraId="215B2F89" w14:textId="77777777" w:rsidR="00093D0A" w:rsidRPr="00093D0A" w:rsidRDefault="00093D0A" w:rsidP="00093D0A">
      <w:pPr>
        <w:widowControl/>
        <w:shd w:val="clear" w:color="auto" w:fill="FFFFFF"/>
        <w:rPr>
          <w:rFonts w:ascii="Helvetica" w:eastAsia="Times New Roman" w:hAnsi="Helvetica" w:cs="Times New Roman"/>
          <w:color w:val="auto"/>
          <w:lang w:eastAsia="en-US"/>
        </w:rPr>
      </w:pPr>
      <w:r w:rsidRPr="00093D0A">
        <w:rPr>
          <w:rFonts w:ascii="Helvetica" w:eastAsia="Times New Roman" w:hAnsi="Helvetica" w:cs="Times New Roman"/>
          <w:i/>
          <w:iCs/>
          <w:color w:val="auto"/>
          <w:lang w:eastAsia="en-US"/>
        </w:rPr>
        <w:t>6. 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14:paraId="5903E8E1" w14:textId="77777777" w:rsidR="00093D0A" w:rsidRDefault="00093D0A" w:rsidP="009725C5">
      <w:pPr>
        <w:pStyle w:val="BodyText"/>
      </w:pPr>
    </w:p>
    <w:p w14:paraId="7C5567D1" w14:textId="77777777" w:rsidR="009725C5" w:rsidRDefault="009725C5" w:rsidP="009725C5">
      <w:pPr>
        <w:pStyle w:val="BodyText"/>
      </w:pPr>
    </w:p>
    <w:p w14:paraId="3592A01A" w14:textId="5246AC86" w:rsidR="00703C54" w:rsidRPr="009725C5" w:rsidRDefault="00AA217B" w:rsidP="009725C5">
      <w:pPr>
        <w:pStyle w:val="BodyText"/>
        <w:ind w:firstLine="0"/>
        <w:rPr>
          <w:strike/>
        </w:rPr>
      </w:pPr>
      <w:r w:rsidRPr="009725C5">
        <w:rPr>
          <w:strike/>
        </w:rPr>
        <w:t>Điều 187 Nghị định 155:</w:t>
      </w:r>
    </w:p>
    <w:p w14:paraId="238A51D2" w14:textId="1B8B6098" w:rsidR="00AA217B" w:rsidRPr="009725C5" w:rsidRDefault="00AA217B" w:rsidP="00B400C3">
      <w:pPr>
        <w:rPr>
          <w:strike/>
          <w:lang w:bidi="vi-VN"/>
        </w:rPr>
      </w:pPr>
      <w:r w:rsidRPr="009725C5">
        <w:rPr>
          <w:strike/>
          <w:lang w:bidi="vi-VN"/>
        </w:rPr>
        <w:t>b) Trường hợp công ty chứng khoán, công ty quản lý quỹ đầu tư chứng khoán không phải là công ty đại chúng chào bán cho cổ đông hiện hữu theo tỷ lệ sở hữu hiện có, hồ sơ bao gồm: Giấy đăng ký chào bán cổ phiếu theo Mẫu số 73 Phụ lục ban hành kèm theo Nghị định này; Quyết định của Đại hội đồng cổ đông thông qua phương án phát hành và phương án sử dụng số tiền thu được từ đợt chào bán; tài liệu quy định tại các khoản 4, 5, 7, 8, 9 Điều 43 Nghị định này</w:t>
      </w:r>
    </w:p>
    <w:p w14:paraId="4D2CC807" w14:textId="5FE8BA45" w:rsidR="00AA217B" w:rsidRPr="009725C5" w:rsidRDefault="00AA217B" w:rsidP="00B400C3">
      <w:pPr>
        <w:rPr>
          <w:strike/>
          <w:lang w:bidi="vi-VN"/>
        </w:rPr>
      </w:pPr>
      <w:r w:rsidRPr="009725C5">
        <w:rPr>
          <w:strike/>
          <w:lang w:bidi="vi-VN"/>
        </w:rPr>
        <w:t>4. Quyết định của Hội đồng quản trị thông qua hồ sơ đăng ký chào bán. Đối với việc chào bán cổ phiếu của tổ chức tín dụng, hồ sơ phải có văn bản chấp thuận của Ngân hàng Nhà nước Việt Nam về đề nghị tăng vốn điều lệ theo quy định của pháp luật về các tổ chức tín dụng. Đối với việc chào bán cổ phiếu của tổ chức kinh doanh bảo hiểm, hồ sơ phải có văn bản chấp thuận của Bộ Tài chính về việc tăng vốn điều lệ theo quy định của pháp luật về kinh doanh bảo hiểm.</w:t>
      </w:r>
    </w:p>
    <w:p w14:paraId="131013DF" w14:textId="4838D3F7" w:rsidR="00AA217B" w:rsidRPr="009725C5" w:rsidRDefault="00AA217B" w:rsidP="00B400C3">
      <w:pPr>
        <w:rPr>
          <w:strike/>
          <w:lang w:bidi="vi-VN"/>
        </w:rPr>
      </w:pPr>
      <w:r w:rsidRPr="009725C5">
        <w:rPr>
          <w:strike/>
          <w:lang w:bidi="vi-VN"/>
        </w:rPr>
        <w:t xml:space="preserve">5. Quyết định </w:t>
      </w:r>
    </w:p>
    <w:p w14:paraId="5924F99C" w14:textId="36A480AA" w:rsidR="00AA217B" w:rsidRPr="009725C5" w:rsidRDefault="00AA217B" w:rsidP="00B400C3">
      <w:pPr>
        <w:rPr>
          <w:strike/>
          <w:lang w:bidi="vi-VN"/>
        </w:rPr>
      </w:pPr>
      <w:r w:rsidRPr="009725C5">
        <w:rPr>
          <w:strike/>
          <w:lang w:bidi="vi-VN"/>
        </w:rPr>
        <w:t>8. Tài liệu cung cấp thông tin về đợt chào bán cho nhà đầu tư (nếu có).</w:t>
      </w:r>
    </w:p>
    <w:p w14:paraId="1BDD3431" w14:textId="78944B2A" w:rsidR="00552A95" w:rsidRPr="009725C5" w:rsidRDefault="00AA217B" w:rsidP="00B400C3">
      <w:pPr>
        <w:rPr>
          <w:strike/>
          <w:lang w:bidi="vi-VN"/>
        </w:rPr>
      </w:pPr>
      <w:r w:rsidRPr="009725C5">
        <w:rPr>
          <w:strike/>
          <w:lang w:bidi="vi-VN"/>
        </w:rPr>
        <w:t>9. Tài liệu sử dụng số tiền thu được từ đợt chào bán (nếu có).</w:t>
      </w:r>
    </w:p>
    <w:p w14:paraId="6C1478ED" w14:textId="77777777" w:rsidR="00552A95" w:rsidRPr="009725C5" w:rsidRDefault="00552A95" w:rsidP="00B400C3">
      <w:pPr>
        <w:rPr>
          <w:strike/>
          <w:lang w:bidi="vi-VN"/>
        </w:rPr>
      </w:pPr>
      <w:r w:rsidRPr="009725C5">
        <w:rPr>
          <w:strike/>
          <w:lang w:bidi="vi-VN"/>
        </w:rPr>
        <w:br w:type="page"/>
      </w:r>
    </w:p>
    <w:p w14:paraId="77A463C4" w14:textId="078D6C5B" w:rsidR="00AA217B" w:rsidRDefault="00552A95" w:rsidP="00B400C3">
      <w:pPr>
        <w:pStyle w:val="Heading1"/>
        <w:rPr>
          <w:lang w:bidi="vi-VN"/>
        </w:rPr>
      </w:pPr>
      <w:bookmarkStart w:id="75" w:name="_Toc204931419"/>
      <w:r>
        <w:rPr>
          <w:lang w:bidi="vi-VN"/>
        </w:rPr>
        <w:lastRenderedPageBreak/>
        <w:t>CHÀO BÁN CỔ PHẦN RIÊNG LẺ</w:t>
      </w:r>
      <w:bookmarkEnd w:id="75"/>
    </w:p>
    <w:p w14:paraId="5782A4AA" w14:textId="35368DCD" w:rsidR="00552A95" w:rsidRDefault="00552A95" w:rsidP="00B400C3">
      <w:pPr>
        <w:pStyle w:val="Heading2"/>
        <w:rPr>
          <w:lang w:bidi="vi-VN"/>
        </w:rPr>
      </w:pPr>
      <w:bookmarkStart w:id="76" w:name="_Toc204931420"/>
      <w:r>
        <w:rPr>
          <w:lang w:bidi="vi-VN"/>
        </w:rPr>
        <w:t>Điều 31 Luật Chứng Khoán 2019</w:t>
      </w:r>
      <w:bookmarkEnd w:id="76"/>
    </w:p>
    <w:p w14:paraId="4FC31389" w14:textId="09D14DA2" w:rsidR="00552A95" w:rsidRPr="00552A95" w:rsidRDefault="00552A95" w:rsidP="00B400C3">
      <w:pPr>
        <w:pStyle w:val="BodyText"/>
      </w:pPr>
      <w:r>
        <w:t>“</w:t>
      </w:r>
      <w:r w:rsidRPr="00552A95">
        <w:t>Điều 31. Chào bán chứng khoán riêng lẻ của công ty đại chúng, công ty chứng khoán, công ty quản lý quỹ đầu tư chứng khoán</w:t>
      </w:r>
    </w:p>
    <w:p w14:paraId="53A2827E" w14:textId="3E32A7E7" w:rsidR="00552A95" w:rsidRPr="00552A95" w:rsidRDefault="00552A95" w:rsidP="00B400C3">
      <w:pPr>
        <w:pStyle w:val="BodyText"/>
      </w:pPr>
      <w:r w:rsidRPr="00552A95">
        <w:t>1. Điều kiện chào bán cổ phiếu riêng lẻ, trái phiếu chuyển đổi riêng lẻ, trái phiếu kèm chứng quyền riêng lẻ của công ty đại chúng bao gồm:</w:t>
      </w:r>
    </w:p>
    <w:p w14:paraId="516092C7" w14:textId="705313FC" w:rsidR="00552A95" w:rsidRPr="00552A95" w:rsidRDefault="00552A95" w:rsidP="00B400C3">
      <w:pPr>
        <w:pStyle w:val="BodyText"/>
      </w:pPr>
      <w:r w:rsidRPr="00552A95">
        <w:t>a) Có quyết định của Đại hội đồng cổ đông thông qua phương án phát hành và sử dụng số tiền thu được từ đợt chào bán; xác định rõ tiêu chí, số lượng nhà đầu tư;</w:t>
      </w:r>
    </w:p>
    <w:p w14:paraId="7179FCB2" w14:textId="6A7046A5" w:rsidR="00552A95" w:rsidRPr="00552A95" w:rsidRDefault="00552A95" w:rsidP="00B400C3">
      <w:pPr>
        <w:pStyle w:val="BodyText"/>
      </w:pPr>
      <w:r w:rsidRPr="00552A95">
        <w:t xml:space="preserve">b) Đối tượng tham gia đợt chào bán chỉ bao gồm </w:t>
      </w:r>
      <w:r w:rsidRPr="00D70302">
        <w:rPr>
          <w:highlight w:val="yellow"/>
        </w:rPr>
        <w:t>nhà đầu tư chiến lược, nhà đầu tư chứng khoán chuyên nghiệp</w:t>
      </w:r>
      <w:r w:rsidRPr="00552A95">
        <w:t>;</w:t>
      </w:r>
    </w:p>
    <w:p w14:paraId="07F559BC" w14:textId="13CE3FBF" w:rsidR="00552A95" w:rsidRPr="00552A95" w:rsidRDefault="00552A95" w:rsidP="00B400C3">
      <w:pPr>
        <w:pStyle w:val="BodyText"/>
      </w:pPr>
      <w:r w:rsidRPr="00552A95">
        <w:t xml:space="preserve">c) Việc chuyển nhượng cổ phiếu chào bán riêng lẻ, trái phiếu chuyển đổi chào bán riêng lẻ, trái phiếu kèm chứng quyền chào bán riêng lẻ bị hạn chế </w:t>
      </w:r>
      <w:r w:rsidRPr="00DC77A1">
        <w:rPr>
          <w:highlight w:val="yellow"/>
        </w:rPr>
        <w:t>tối thiểu là 03 năm</w:t>
      </w:r>
      <w:r w:rsidRPr="00552A95">
        <w:t xml:space="preserve"> đối với nhà đầu tư chiến lược và </w:t>
      </w:r>
      <w:r w:rsidRPr="00DC77A1">
        <w:rPr>
          <w:highlight w:val="yellow"/>
        </w:rPr>
        <w:t>tối thiểu là 01</w:t>
      </w:r>
      <w:r w:rsidRPr="00552A95">
        <w:t xml:space="preserve"> năm đối với nhà đầu tư chứng khoán chuyên nghiệp kể từ ngày hoàn thành đợt chào bán, trừ trường hợp chuyển nhượng giữa các nhà đầu tư chứng khoán chuyên nghiệp hoặc thực hiện theo bản án, quyết định của Tòa án đã có hiệu lực pháp luật, quyết định của Trọng tài hoặc thừa kế theo quy định của pháp luật;</w:t>
      </w:r>
    </w:p>
    <w:p w14:paraId="52A0AB2C" w14:textId="38A457EF" w:rsidR="00552A95" w:rsidRPr="00552A95" w:rsidRDefault="00552A95" w:rsidP="00B400C3">
      <w:pPr>
        <w:pStyle w:val="BodyText"/>
      </w:pPr>
      <w:r w:rsidRPr="00552A95">
        <w:t xml:space="preserve">d) Các đợt chào bán cổ phiếu riêng lẻ, trái phiếu chuyển đổi riêng lẻ, trái phiếu kèm chứng quyền riêng lẻ phải </w:t>
      </w:r>
      <w:r w:rsidRPr="00DC77A1">
        <w:rPr>
          <w:highlight w:val="yellow"/>
        </w:rPr>
        <w:t>cách nhau ít nhất 06 tháng</w:t>
      </w:r>
      <w:r w:rsidRPr="00552A95">
        <w:t xml:space="preserve"> kể từ ngày kết thúc đợt chào bán gần nhất;</w:t>
      </w:r>
    </w:p>
    <w:p w14:paraId="08EAB24A" w14:textId="3D9BF1AE" w:rsidR="00552A95" w:rsidRDefault="00552A95" w:rsidP="00B400C3">
      <w:pPr>
        <w:pStyle w:val="BodyText"/>
      </w:pPr>
      <w:r w:rsidRPr="00552A95">
        <w:t xml:space="preserve">đ) Việc </w:t>
      </w:r>
      <w:r w:rsidRPr="00DC77A1">
        <w:rPr>
          <w:highlight w:val="yellow"/>
        </w:rPr>
        <w:t>chào bán cổ phiếu</w:t>
      </w:r>
      <w:r w:rsidRPr="00552A95">
        <w:t xml:space="preserve">, chuyển đổi trái phiếu thành cổ phiếu, thực hiện chứng quyền phải đáp ứng </w:t>
      </w:r>
      <w:r w:rsidRPr="00DC77A1">
        <w:rPr>
          <w:highlight w:val="yellow"/>
        </w:rPr>
        <w:t>quy định về tỷ lệ sở hữu của nhà đầu tư nước ngoài</w:t>
      </w:r>
      <w:r w:rsidRPr="00552A95">
        <w:t xml:space="preserve"> theo quy định của pháp luật.</w:t>
      </w:r>
      <w:r>
        <w:t>”</w:t>
      </w:r>
    </w:p>
    <w:p w14:paraId="15FFB7C8" w14:textId="60D4C4A5" w:rsidR="00552A95" w:rsidRDefault="00552A95" w:rsidP="00B400C3">
      <w:pPr>
        <w:pStyle w:val="BodyText"/>
      </w:pPr>
    </w:p>
    <w:p w14:paraId="6F7515C1" w14:textId="53C829EC" w:rsidR="00D70302" w:rsidRDefault="00D70302" w:rsidP="00D70302">
      <w:pPr>
        <w:pStyle w:val="Heading2"/>
      </w:pPr>
      <w:bookmarkStart w:id="77" w:name="_Toc204931421"/>
      <w:r>
        <w:t>Điều 43</w:t>
      </w:r>
      <w:r w:rsidR="00065C1E">
        <w:t xml:space="preserve"> Nđ155</w:t>
      </w:r>
      <w:r>
        <w:t>. Hồ sơ đăng ký chào bán cổ phiếu riêng lẻ của công ty đại chúng</w:t>
      </w:r>
      <w:bookmarkEnd w:id="77"/>
    </w:p>
    <w:p w14:paraId="4C5AC12E" w14:textId="00EC3CA4" w:rsidR="00D70302" w:rsidRDefault="00D70302" w:rsidP="00D70302">
      <w:pPr>
        <w:pStyle w:val="BodyText"/>
      </w:pPr>
      <w:r>
        <w:t xml:space="preserve">1. </w:t>
      </w:r>
      <w:r w:rsidRPr="00DC77A1">
        <w:rPr>
          <w:highlight w:val="yellow"/>
        </w:rPr>
        <w:t>Giấy đăng ký chào bán theo Mẫu số 10</w:t>
      </w:r>
      <w:r>
        <w:t xml:space="preserve"> Phụ lục ban hành kèm theo Nghị định này.</w:t>
      </w:r>
    </w:p>
    <w:p w14:paraId="54AD65F6" w14:textId="67F6C4E4" w:rsidR="00D70302" w:rsidRDefault="00D70302" w:rsidP="00D70302">
      <w:pPr>
        <w:pStyle w:val="BodyText"/>
      </w:pPr>
      <w:r>
        <w:t xml:space="preserve">2. Quyết định của Đại hội đồng cổ đông </w:t>
      </w:r>
      <w:r w:rsidRPr="00A3134F">
        <w:rPr>
          <w:highlight w:val="yellow"/>
        </w:rPr>
        <w:t>thông qua phương án phát hành, phương án sử dụng số tiền thu được từ đợt chào bán</w:t>
      </w:r>
      <w:r>
        <w:t>, trong đó:</w:t>
      </w:r>
    </w:p>
    <w:p w14:paraId="36C75927" w14:textId="19BFA3AC" w:rsidR="00D70302" w:rsidRDefault="00D70302" w:rsidP="00D70302">
      <w:pPr>
        <w:pStyle w:val="BodyText"/>
      </w:pPr>
      <w:r>
        <w:t>a) Phương án phát hành nêu rõ: mục đích chào bán; số lượng cổ phiếu chào bán; giá chào bán hoặc nguyên tắc xác định giá chào bán hoặc ủy quyền cho Hội đồng quản trị xác định giá chào bán; tiêu chí lựa chọn nhà đầu tư; số lượng nhà đầu tư; nhà đầu tư chiến lược, nhà đầu tư chứng khoán chuyên nghiệp và số lượng cổ phiếu chào bán cho từng nhà đầu tư hoặc ủy quyền cho Hội đồng quản trị xác định nhà đầu tư chứng khoán chuyên nghiệp. Những người có quyền lợi liên quan đến đợt chào bán không được tham gia biểu quyết. Trường hợp trong phương án phát hành không nêu cụ thể giá chào bán, nguyên tắc xác định giá chào bán thì giá chào bán được xác định theo quy định tại Luật Doanh nghiệp;</w:t>
      </w:r>
    </w:p>
    <w:p w14:paraId="4C5E3655" w14:textId="3B1B19F5" w:rsidR="00D70302" w:rsidRDefault="00D70302" w:rsidP="00D70302">
      <w:pPr>
        <w:pStyle w:val="BodyText"/>
      </w:pPr>
      <w:r>
        <w:t xml:space="preserve">b) Trường hợp đợt chào bán nhằm mục đích huy động tiền để </w:t>
      </w:r>
      <w:r w:rsidRPr="00A3134F">
        <w:rPr>
          <w:highlight w:val="yellow"/>
        </w:rPr>
        <w:t>thực hiện dự án</w:t>
      </w:r>
      <w:r>
        <w:t>, phương án sử dụng số tiền thu được từ đợt chào bán phải bao gồm nội dung về phương án bù đắp phần thiếu hụt vốn dự kiến huy động từ đợt chào bán để thực hiện dự án.</w:t>
      </w:r>
    </w:p>
    <w:p w14:paraId="0C019A5E" w14:textId="0C768D65" w:rsidR="00D70302" w:rsidRDefault="00D70302" w:rsidP="00D70302">
      <w:pPr>
        <w:pStyle w:val="BodyText"/>
      </w:pPr>
      <w:r>
        <w:t xml:space="preserve">3. Quyết định của Hội đồng quản trị thông qua đối tượng được chào bán là nhà đầu tư </w:t>
      </w:r>
      <w:r>
        <w:lastRenderedPageBreak/>
        <w:t>chứng khoán chuyên nghiệp trong trường hợp được Đại hội đồng cổ đông ủy quyền. Những người có quyền lợi liên quan đến đợt chào bán cổ phiếu không được tham gia biểu quyết.</w:t>
      </w:r>
    </w:p>
    <w:p w14:paraId="6E95C736" w14:textId="1089AB1F" w:rsidR="00D70302" w:rsidRDefault="00D70302" w:rsidP="00D70302">
      <w:pPr>
        <w:pStyle w:val="BodyText"/>
      </w:pPr>
      <w:r>
        <w:t>4. Quyết định của Hội đồng quản trị thông qua hồ sơ đăng ký chào bán. Đối với việc chào bán cổ phiếu của tổ chức tín dụng, hồ sơ phải có văn bản chấp thuận của Ngân hàng Nhà nước Việt Nam về đề nghị tăng vốn điều lệ theo quy định của pháp luật về các tổ chức tín dụng. Đối với việc chào bán cổ phiếu của tổ chức kinh doanh bảo hiểm, hồ sơ phải có văn bản chấp thuận của Bộ Tài chính về việc tăng vốn điều lệ theo quy định của pháp luật về kinh doanh bảo hiểm.</w:t>
      </w:r>
    </w:p>
    <w:p w14:paraId="6FBED255" w14:textId="50BA277C" w:rsidR="00D70302" w:rsidRDefault="00D70302" w:rsidP="00D70302">
      <w:pPr>
        <w:pStyle w:val="BodyText"/>
      </w:pPr>
      <w:r>
        <w:t>5. Quyết định của Đại hội đồng cổ đông hoặc Hội đồng quản trị (trong trường hợp được Đại hội đồng cổ đông ủy quyền) thông qua phương án đảm bảo việc phát hành cổ phiếu đáp ứng tỷ lệ sở hữu nước ngoài.</w:t>
      </w:r>
    </w:p>
    <w:p w14:paraId="0F2F9215" w14:textId="4871CC5F" w:rsidR="00D70302" w:rsidRDefault="00D70302" w:rsidP="00D70302">
      <w:pPr>
        <w:pStyle w:val="BodyText"/>
      </w:pPr>
      <w:r>
        <w:t>6. Cam kết của tổ chức phát hành về việc không vi phạm quy định về sở hữu chéo của Luật Doanh nghiệp.</w:t>
      </w:r>
    </w:p>
    <w:p w14:paraId="45C4569B" w14:textId="669DA28C" w:rsidR="00D70302" w:rsidRDefault="00D70302" w:rsidP="00D70302">
      <w:pPr>
        <w:pStyle w:val="BodyText"/>
      </w:pPr>
      <w:r>
        <w:t>7. Văn bản xác nhận của ngân hàng, chi nhánh ngân hàng nước ngoài về việc mở tài khoản phong tỏa nhận tiền mua cổ phiếu của đợt chào bán.</w:t>
      </w:r>
    </w:p>
    <w:p w14:paraId="37CB21F8" w14:textId="7C51BBC6" w:rsidR="00D70302" w:rsidRDefault="00D70302" w:rsidP="00D70302">
      <w:pPr>
        <w:pStyle w:val="BodyText"/>
      </w:pPr>
      <w:r>
        <w:t>8. Tài liệu cung cấp thông tin về đợt chào bán cho nhà đầu tư (nếu có).</w:t>
      </w:r>
    </w:p>
    <w:p w14:paraId="5D88D27E" w14:textId="06E2EAFC" w:rsidR="00D70302" w:rsidRDefault="00D70302" w:rsidP="00D70302">
      <w:pPr>
        <w:pStyle w:val="BodyText"/>
      </w:pPr>
      <w:r>
        <w:t>9. Tài liệu sử dụng số tiền thu được từ đợt chào bán (nếu có).</w:t>
      </w:r>
    </w:p>
    <w:p w14:paraId="51453745" w14:textId="77777777" w:rsidR="00D70302" w:rsidRDefault="00D70302" w:rsidP="00B400C3">
      <w:pPr>
        <w:pStyle w:val="BodyText"/>
      </w:pPr>
    </w:p>
    <w:p w14:paraId="6BBC29D4" w14:textId="278D4A32" w:rsidR="00552A95" w:rsidRDefault="00552A95" w:rsidP="00B400C3">
      <w:pPr>
        <w:pStyle w:val="Heading2"/>
      </w:pPr>
      <w:bookmarkStart w:id="78" w:name="_Toc204931422"/>
      <w:r>
        <w:t>Điều 48 Nghị định 155</w:t>
      </w:r>
      <w:bookmarkEnd w:id="78"/>
    </w:p>
    <w:p w14:paraId="7E563189" w14:textId="43175F9B" w:rsidR="00552A95" w:rsidRPr="00552A95" w:rsidRDefault="00552A95" w:rsidP="00B400C3">
      <w:pPr>
        <w:pStyle w:val="BodyText"/>
      </w:pPr>
      <w:r>
        <w:t>“</w:t>
      </w:r>
      <w:r w:rsidRPr="00552A95">
        <w:t>Điều 48. Trình tự, thủ tục chào bán cổ phiếu riêng lẻ</w:t>
      </w:r>
    </w:p>
    <w:p w14:paraId="539CC245" w14:textId="04B8DD88" w:rsidR="00552A95" w:rsidRPr="00552A95" w:rsidRDefault="00552A95" w:rsidP="00B400C3">
      <w:pPr>
        <w:pStyle w:val="BodyText"/>
      </w:pPr>
      <w:r w:rsidRPr="00552A95">
        <w:t>1. Tổ chức phát hành gửi hồ sơ đăng ký chào bán cổ phiếu riêng lẻ tới Ủy ban Chứng khoán Nhà nước.</w:t>
      </w:r>
    </w:p>
    <w:p w14:paraId="0329F689" w14:textId="101EB2AA" w:rsidR="00552A95" w:rsidRPr="00552A95" w:rsidRDefault="00552A95" w:rsidP="00B400C3">
      <w:pPr>
        <w:pStyle w:val="BodyText"/>
      </w:pPr>
      <w:r w:rsidRPr="00552A95">
        <w:t>2. Trong thời hạn 07 ngày làm việc kể từ ngày nhận được hồ sơ đầy đủ và hợp lệ, Ủy ban Chứng khoán Nhà nước có chấp thuận bằng văn bản và đăng tải trên trang thông tin điện tử của Ủy ban Chứng khoán Nhà nước về việc nhận được đầy đủ hồ sơ đăng ký chào bán cổ phiếu riêng lẻ của tổ chức phát hành; trường hợp từ chối, phải trả lời bằng văn bản và nêu rõ lý do.</w:t>
      </w:r>
    </w:p>
    <w:p w14:paraId="645E445D" w14:textId="1B726F26" w:rsidR="00552A95" w:rsidRPr="00552A95" w:rsidRDefault="00552A95" w:rsidP="00B400C3">
      <w:pPr>
        <w:pStyle w:val="BodyText"/>
      </w:pPr>
      <w:r w:rsidRPr="00552A95">
        <w:t xml:space="preserve">3. Tổ chức phát hành phải hoàn thành đợt chào bán cổ phiếu riêng lẻ trong thời gian </w:t>
      </w:r>
      <w:r w:rsidRPr="00A3134F">
        <w:rPr>
          <w:highlight w:val="yellow"/>
        </w:rPr>
        <w:t>90 ngày</w:t>
      </w:r>
      <w:r w:rsidRPr="00552A95">
        <w:t xml:space="preserve"> kể từ ngày Ủy ban Chứng khoán Nhà nước có văn bản chấp thuận.</w:t>
      </w:r>
    </w:p>
    <w:p w14:paraId="1134E60F" w14:textId="423C3963" w:rsidR="00552A95" w:rsidRPr="00552A95" w:rsidRDefault="00552A95" w:rsidP="00B400C3">
      <w:pPr>
        <w:pStyle w:val="BodyText"/>
      </w:pPr>
      <w:r w:rsidRPr="00552A95">
        <w:t>4. Trong thời</w:t>
      </w:r>
      <w:r>
        <w:t xml:space="preserve"> </w:t>
      </w:r>
      <w:r w:rsidRPr="00552A95">
        <w:t xml:space="preserve">hạn </w:t>
      </w:r>
      <w:r w:rsidRPr="00710A19">
        <w:rPr>
          <w:highlight w:val="yellow"/>
        </w:rPr>
        <w:t>10 ngày kể từ ngày kết thúc đợt chào bán</w:t>
      </w:r>
      <w:r w:rsidRPr="00552A95">
        <w:t xml:space="preserve">, tổ chức phát hành phải gửi </w:t>
      </w:r>
      <w:r w:rsidRPr="00710A19">
        <w:rPr>
          <w:highlight w:val="yellow"/>
        </w:rPr>
        <w:t>Báo cáo kết quả đợt chào bán</w:t>
      </w:r>
      <w:r w:rsidRPr="00552A95">
        <w:t xml:space="preserve"> kèm theo </w:t>
      </w:r>
      <w:r w:rsidRPr="00710A19">
        <w:rPr>
          <w:highlight w:val="yellow"/>
        </w:rPr>
        <w:t>xác nhận của ngân hàng</w:t>
      </w:r>
      <w:r w:rsidRPr="00552A95">
        <w:t xml:space="preserve">, chi nhánh ngân hàng nước ngoài nơi mở tài khoản phong tỏa về </w:t>
      </w:r>
      <w:r w:rsidRPr="00710A19">
        <w:rPr>
          <w:highlight w:val="yellow"/>
        </w:rPr>
        <w:t>số tiền thu được từ đợt chào bán</w:t>
      </w:r>
      <w:r w:rsidRPr="00552A95">
        <w:t xml:space="preserve"> cho Ủy ban Chứng khoán Nhà nước và công bố thông tin trên trang thông tin điện tử của tổ chức phát hành, Sở giao dịch chứng khoán về kết quả đợt chào bán.</w:t>
      </w:r>
    </w:p>
    <w:p w14:paraId="506566D7" w14:textId="0B95FE44" w:rsidR="00552A95" w:rsidRPr="00552A95" w:rsidRDefault="00552A95" w:rsidP="00B400C3">
      <w:pPr>
        <w:pStyle w:val="BodyText"/>
      </w:pPr>
      <w:r w:rsidRPr="00552A95">
        <w:t xml:space="preserve">5. Trong thời hạn 03 ngày làm việc kể từ ngày nhận được tài liệu báo cáo kết quả đợt chào bán đầy đủ và hợp lệ, Ủy ban Chứng khoán Nhà nước thông báo bằng văn bản về việc nhận được báo cáo kết quả đợt chào bán cho tổ chức phát hành đồng thời gửi cho Sở giao dịch chứng khoán, Tổng công ty lưu ký và bù trừ chứng khoán Việt Nam và đăng tải trên trang thông tin điện tử của Ủy ban Chứng khoán Nhà nước về việc nhận được báo cáo kết </w:t>
      </w:r>
      <w:r w:rsidRPr="00552A95">
        <w:lastRenderedPageBreak/>
        <w:t>quả đợt chào bán.</w:t>
      </w:r>
    </w:p>
    <w:p w14:paraId="41F88D77" w14:textId="34D93368" w:rsidR="00552A95" w:rsidRPr="00552A95" w:rsidRDefault="00552A95" w:rsidP="00B400C3">
      <w:pPr>
        <w:pStyle w:val="BodyText"/>
      </w:pPr>
      <w:r w:rsidRPr="00552A95">
        <w:t>6. Sau khi có thông báo nhận được báo cáo kết quả đợt chào bán của Ủy ban Chứng khoán Nhà nước, tổ chức phát hành được yêu cầu chấm dứt phong tỏa số tiền thu được từ đợt chào bán.</w:t>
      </w:r>
    </w:p>
    <w:p w14:paraId="72642A6A" w14:textId="72BB95CC" w:rsidR="00552A95" w:rsidRDefault="00552A95" w:rsidP="00B400C3">
      <w:pPr>
        <w:pStyle w:val="BodyText"/>
      </w:pPr>
      <w:r w:rsidRPr="00552A95">
        <w:t xml:space="preserve">7. Khoảng cách giữa các đợt chào bán, phát hành chứng khoán riêng lẻ sau phải </w:t>
      </w:r>
      <w:r w:rsidRPr="00710A19">
        <w:rPr>
          <w:highlight w:val="yellow"/>
        </w:rPr>
        <w:t>cách nhau ít nhất 06 tháng</w:t>
      </w:r>
      <w:r w:rsidRPr="00552A95">
        <w:t xml:space="preserve"> kể từ ngày kết thúc đợt chào bán, phát hành riêng lẻ gần nhất, bao gồm: chào bán cổ phiếu riêng lẻ; chào bán trái phiếu chuyển đổi riêng lẻ; chào bán trái phiếu kèm chứng quyền riêng lẻ; chào bán cổ phiếu ưu đãi kèm chứng quyền riêng lẻ; phát hành cổ phiếu để hoán đổi cổ phần cho cổ đông công ty cổ phần chưa đại chúng, hoán đổi phần vốn góp cho thành viên góp vốn của công ty trách nhiệm hữu hạn; phát hành cổ phiếu để hoán đổi cổ phần cho số cổ đông xác định trong công ty đại chúng; phát hành cổ phiếu để hoán đổi nợ.</w:t>
      </w:r>
      <w:r>
        <w:t>”</w:t>
      </w:r>
    </w:p>
    <w:p w14:paraId="216EA0CE" w14:textId="6FDC83CF" w:rsidR="00943901" w:rsidRDefault="00943901" w:rsidP="00B400C3">
      <w:pPr>
        <w:rPr>
          <w:rFonts w:eastAsia="Times New Roman" w:cs="Times New Roman"/>
          <w:color w:val="auto"/>
          <w:sz w:val="26"/>
          <w:szCs w:val="26"/>
          <w:lang w:bidi="vi-VN"/>
        </w:rPr>
      </w:pPr>
      <w:r>
        <w:br w:type="page"/>
      </w:r>
    </w:p>
    <w:p w14:paraId="653730FC" w14:textId="77777777" w:rsidR="00E13293" w:rsidRDefault="00F019AC" w:rsidP="00F019AC">
      <w:pPr>
        <w:pStyle w:val="Heading1"/>
      </w:pPr>
      <w:bookmarkStart w:id="79" w:name="_Toc204931423"/>
      <w:r>
        <w:lastRenderedPageBreak/>
        <w:t xml:space="preserve">PHÁT HÀNH TRÁI PHIẾU RIÊNG LẺ TÀI TRỢ DỰ </w:t>
      </w:r>
      <w:r w:rsidR="00E13293">
        <w:t>ÁN</w:t>
      </w:r>
      <w:bookmarkEnd w:id="79"/>
    </w:p>
    <w:p w14:paraId="30E10A29" w14:textId="77777777" w:rsidR="00864F40" w:rsidRDefault="00864F40" w:rsidP="00864F40">
      <w:pPr>
        <w:pStyle w:val="BodyText"/>
        <w:ind w:firstLine="0"/>
      </w:pPr>
      <w:r>
        <w:t xml:space="preserve">(Quy định tại </w:t>
      </w:r>
      <w:r w:rsidRPr="00864F40">
        <w:t xml:space="preserve">Nghị định 153/2020/ND-CP, sửa đổi tại </w:t>
      </w:r>
      <w:r w:rsidRPr="00864F40">
        <w:t>65/2022/NĐ-CP</w:t>
      </w:r>
      <w:r>
        <w:t>)</w:t>
      </w:r>
    </w:p>
    <w:p w14:paraId="39836FC3" w14:textId="77777777" w:rsidR="00864F40" w:rsidRDefault="00864F40" w:rsidP="00864F40">
      <w:pPr>
        <w:pStyle w:val="BodyText"/>
        <w:ind w:firstLine="0"/>
      </w:pPr>
    </w:p>
    <w:p w14:paraId="36216133" w14:textId="4E81A1C9" w:rsidR="00864F40" w:rsidRDefault="00864F40" w:rsidP="00864F40">
      <w:pPr>
        <w:pStyle w:val="Heading2"/>
      </w:pPr>
      <w:bookmarkStart w:id="80" w:name="_Toc204931424"/>
      <w:r>
        <w:t>Điều 5. Nguyên tắc phát hành và sử dụng vốn trái phiếu</w:t>
      </w:r>
      <w:bookmarkEnd w:id="80"/>
    </w:p>
    <w:p w14:paraId="7D66B599" w14:textId="5A035FDE" w:rsidR="00864F40" w:rsidRDefault="00864F40" w:rsidP="00864F40">
      <w:pPr>
        <w:pStyle w:val="BodyText"/>
      </w:pPr>
      <w:r>
        <w:t>1. Doanh nghiệp phát hành trái phiếu theo nguyên tắc tự vay, tự trả, tự chịu trách nhiệm về hiệu quả sử dụng vốn và đảm bảo khả năng trả nợ.</w:t>
      </w:r>
    </w:p>
    <w:p w14:paraId="1E1BC441" w14:textId="38DDFB9B" w:rsidR="00864F40" w:rsidRDefault="00864F40" w:rsidP="00864F40">
      <w:pPr>
        <w:pStyle w:val="BodyText"/>
      </w:pPr>
      <w:r w:rsidRPr="00864F40">
        <w:t>2. Mục đích phát hành trái phiếu là để thực hiện các chương trình, dự án đầu tư, cơ cấu lại nợ của chính doanh nghiệp hoặc mục đích phát hành trái phiếu theo quy định của pháp luật chuyên ngành. Doanh nghiệp phải nêu cụ thể mục đích phát hành tại phương án phát hành theo quy định tại Điều 13 Nghị định này và công bố thông tin cho nhà đầu tư đăng ký mua trái phiếu. Việc sử dụng vốn huy động từ phát hành trái phiếu của doanh nghiệp phải đảm bảo đúng mục đích theo phương án phát hành và nội dung công bố thông tin cho nhà đầu tư.</w:t>
      </w:r>
    </w:p>
    <w:p w14:paraId="1EB66660" w14:textId="77777777" w:rsidR="00864F40" w:rsidRDefault="00864F40" w:rsidP="00864F40">
      <w:pPr>
        <w:pStyle w:val="BodyText"/>
        <w:ind w:firstLine="0"/>
      </w:pPr>
      <w:r>
        <w:t>3. Đối với phát hành trái phiếu xanh, ngoài các quy định tại khoản 1 và khoản 2 Điều này, nguồn vốn từ phát hành trái phiếu phải được hạch toán, quản lý theo dõi riêng và giải ngân cho các dự án thuộc lĩnh vực bảo vệ môi trường, dự án mang lại lợi ích về môi trường theo phương án phát hành đã được phê duyệt.Bổ sung</w:t>
      </w:r>
    </w:p>
    <w:p w14:paraId="24A21E36" w14:textId="15EEF8C3" w:rsidR="00864F40" w:rsidRDefault="00864F40" w:rsidP="00864F40">
      <w:pPr>
        <w:pStyle w:val="BodyText"/>
      </w:pPr>
      <w:r>
        <w:t>4. Đối với trái phiếu đã phát hành tại thị trường trong nước, doanh nghiệp chỉ được thay đổi điều kiện, điều khoản của trái phiếu quy định tại Điều 6 Nghị định này khi đáp ứng các quy định sau:</w:t>
      </w:r>
    </w:p>
    <w:p w14:paraId="5D6EF48B" w14:textId="75AD56FC" w:rsidR="00864F40" w:rsidRDefault="00864F40" w:rsidP="00864F40">
      <w:pPr>
        <w:pStyle w:val="BodyText"/>
      </w:pPr>
      <w:r>
        <w:t>a) Được cấp có thẩm quyền của doanh nghiệp phát hành thông qua;</w:t>
      </w:r>
    </w:p>
    <w:p w14:paraId="4C035588" w14:textId="7210482A" w:rsidR="00864F40" w:rsidRDefault="00864F40" w:rsidP="00864F40">
      <w:pPr>
        <w:pStyle w:val="BodyText"/>
      </w:pPr>
      <w:r>
        <w:t>b) Được số người sở hữu trái phiếu đại diện từ 65% tổng số trái phiếu cùng loại đang lưu hành trở lên chấp thuận;</w:t>
      </w:r>
    </w:p>
    <w:p w14:paraId="659E4A9F" w14:textId="77777777" w:rsidR="00311F81" w:rsidRDefault="00864F40" w:rsidP="00864F40">
      <w:pPr>
        <w:pStyle w:val="BodyText"/>
        <w:ind w:firstLine="0"/>
      </w:pPr>
      <w:r>
        <w:t>5. Thông tin về việc thay đổi điều kiện, điều khoản của trái phiếu phải được doanh nghiệp phát hành công bố thông tin bất thường theo quy định tại Điều 22 Nghị định này.</w:t>
      </w:r>
    </w:p>
    <w:p w14:paraId="62A2FACD" w14:textId="77777777" w:rsidR="00311F81" w:rsidRDefault="00311F81" w:rsidP="00311F81">
      <w:pPr>
        <w:pStyle w:val="BodyText"/>
      </w:pPr>
    </w:p>
    <w:p w14:paraId="29B29073" w14:textId="7EB1BF72" w:rsidR="00311F81" w:rsidRPr="00311F81" w:rsidRDefault="00311F81" w:rsidP="00311F81">
      <w:pPr>
        <w:pStyle w:val="Heading2"/>
        <w:rPr>
          <w:b/>
          <w:bCs/>
        </w:rPr>
      </w:pPr>
      <w:bookmarkStart w:id="81" w:name="_Toc204931425"/>
      <w:r>
        <w:t>Điều 6. Điều kiện, điều khoản cơ bản của trái phiếu</w:t>
      </w:r>
      <w:r>
        <w:t xml:space="preserve"> </w:t>
      </w:r>
      <w:r w:rsidRPr="00311F81">
        <w:rPr>
          <w:b/>
          <w:bCs/>
          <w:u w:val="single"/>
        </w:rPr>
        <w:t>(TnC)</w:t>
      </w:r>
      <w:bookmarkEnd w:id="81"/>
    </w:p>
    <w:p w14:paraId="6AC211F4" w14:textId="15C09045" w:rsidR="00311F81" w:rsidRDefault="00311F81" w:rsidP="00311F81">
      <w:pPr>
        <w:pStyle w:val="BodyText"/>
      </w:pPr>
      <w:r>
        <w:t>1. Kỳ hạn trái phiếu: do doanh nghiệp phát hành quyết định đối với từng đợt chào bán căn cứ vào nhu cầu sử dụng vốn của doanh nghiệp.</w:t>
      </w:r>
    </w:p>
    <w:p w14:paraId="1A7E9290" w14:textId="286715EB" w:rsidR="00311F81" w:rsidRDefault="00311F81" w:rsidP="00311F81">
      <w:pPr>
        <w:pStyle w:val="BodyText"/>
      </w:pPr>
      <w:r>
        <w:t>2. Khối lượng phát hành: do doanh nghiệp phát hành quyết định đối với từng đợt chào bán căn cứ vào nhu cầu sử dụng vốn của doanh nghiệp.</w:t>
      </w:r>
    </w:p>
    <w:p w14:paraId="3E4196CB" w14:textId="36710204" w:rsidR="00311F81" w:rsidRDefault="00311F81" w:rsidP="00311F81">
      <w:pPr>
        <w:pStyle w:val="BodyText"/>
      </w:pPr>
      <w:r>
        <w:t>3. Đồng tiền phát hành và thanh toán trái phiếu</w:t>
      </w:r>
    </w:p>
    <w:p w14:paraId="19D54B84" w14:textId="6B805CB2" w:rsidR="00311F81" w:rsidRDefault="00311F81" w:rsidP="00311F81">
      <w:pPr>
        <w:pStyle w:val="BodyText"/>
      </w:pPr>
      <w:r>
        <w:t>a) Đối với trái phiếu chào bán tại thị trường trong nước, đồng tiền phát hành, thanh toán lãi, gốc trái phiếu là đồng Việt Nam.</w:t>
      </w:r>
    </w:p>
    <w:p w14:paraId="00EE3E03" w14:textId="21C3B195" w:rsidR="00311F81" w:rsidRDefault="00311F81" w:rsidP="00311F81">
      <w:pPr>
        <w:pStyle w:val="BodyText"/>
      </w:pPr>
      <w:r>
        <w:t>b) Đối với trái phiếu chào bán ra thị trường quốc tế, đồng tiền phát hành, thanh toán lãi, gốc trái phiếu là ngoại tệ theo quy định tại thị trường phát hành và tuân thủ quy định của pháp luật về quản lý ngoại hối.</w:t>
      </w:r>
    </w:p>
    <w:p w14:paraId="43B84478" w14:textId="77E4DB73" w:rsidR="00311F81" w:rsidRDefault="00311F81" w:rsidP="00311F81">
      <w:pPr>
        <w:pStyle w:val="BodyText"/>
      </w:pPr>
      <w:r>
        <w:t>4. Mệnh giá trái phiếu</w:t>
      </w:r>
    </w:p>
    <w:p w14:paraId="7B2F14BA" w14:textId="7D7214B4" w:rsidR="00311F81" w:rsidRDefault="00FA5773" w:rsidP="00311F81">
      <w:pPr>
        <w:pStyle w:val="BodyText"/>
      </w:pPr>
      <w:r w:rsidRPr="00FA5773">
        <w:lastRenderedPageBreak/>
        <w:t>a) Trái phiếu chào bán tại thị trường trong nước, mệnh giá là một trăm triệu (100.000.000) đồng Việt Nam hoặc bội số của một trăm triệu (100.000.000) đồng Việt Nam</w:t>
      </w:r>
      <w:r w:rsidR="00311F81">
        <w:t>.</w:t>
      </w:r>
    </w:p>
    <w:p w14:paraId="6CA4F99B" w14:textId="219FE6F9" w:rsidR="00311F81" w:rsidRDefault="00311F81" w:rsidP="00311F81">
      <w:pPr>
        <w:pStyle w:val="BodyText"/>
      </w:pPr>
      <w:r>
        <w:t>b) Trái phiếu chào bán ra thị trường quốc tế, mệnh giá thực hiện theo quy định tại thị trường phát hành.</w:t>
      </w:r>
    </w:p>
    <w:p w14:paraId="3811289C" w14:textId="3D528407" w:rsidR="00311F81" w:rsidRDefault="00311F81" w:rsidP="00311F81">
      <w:pPr>
        <w:pStyle w:val="BodyText"/>
      </w:pPr>
      <w:r>
        <w:t>5. Hình thức trái phiếu</w:t>
      </w:r>
    </w:p>
    <w:p w14:paraId="60EB817E" w14:textId="7DFF1195" w:rsidR="00311F81" w:rsidRDefault="00311F81" w:rsidP="00311F81">
      <w:pPr>
        <w:pStyle w:val="BodyText"/>
      </w:pPr>
      <w:r>
        <w:t>a) Trái phiếu được chào bán dưới hình thức chứng chỉ, bút toán ghi sổ hoặc dữ liệu điện tử.</w:t>
      </w:r>
    </w:p>
    <w:p w14:paraId="62CBE29C" w14:textId="7F65C337" w:rsidR="00311F81" w:rsidRDefault="00311F81" w:rsidP="00311F81">
      <w:pPr>
        <w:pStyle w:val="BodyText"/>
      </w:pPr>
      <w:r>
        <w:t>b) Doanh nghiệp phát hành quyết định cụ thể hình thức trái phiếu đối với mỗi đợt chào bán theo quy định tại thị trường phát hành.</w:t>
      </w:r>
    </w:p>
    <w:p w14:paraId="0F6F04C5" w14:textId="3CCF7FC7" w:rsidR="00311F81" w:rsidRDefault="00311F81" w:rsidP="00311F81">
      <w:pPr>
        <w:pStyle w:val="BodyText"/>
      </w:pPr>
      <w:r>
        <w:t>6. Lãi suất danh nghĩa trái phiếu</w:t>
      </w:r>
    </w:p>
    <w:p w14:paraId="51940727" w14:textId="2247F004" w:rsidR="00311F81" w:rsidRDefault="00311F81" w:rsidP="00311F81">
      <w:pPr>
        <w:pStyle w:val="BodyText"/>
      </w:pPr>
      <w:r>
        <w:t>a) Lãi suất danh nghĩa trái phiếu có thể xác định theo một trong các phương thức: lãi suất cố định cho cả kỳ hạn trái phiếu; lãi suất thả nổi; hoặc kết hợp giữa lãi suất cố định và thả nổi.</w:t>
      </w:r>
    </w:p>
    <w:p w14:paraId="4990C5E7" w14:textId="5F718D55" w:rsidR="00311F81" w:rsidRDefault="00311F81" w:rsidP="00311F81">
      <w:pPr>
        <w:pStyle w:val="BodyText"/>
      </w:pPr>
      <w:r>
        <w:t>b) Trường hợp lãi suất danh nghĩa là lãi suất thả nổi hoặc kết hợp giữa lãi suất cố định và thả nổi, doanh nghiệp phát hành phải nêu cụ thể cơ sở tham chiếu để xác định lãi suất danh nghĩa tại phương án phát hành và công bố thông tin cho nhà đầu tư mua trái phiếu về cơ sở tham chiếu được sử dụng.</w:t>
      </w:r>
    </w:p>
    <w:p w14:paraId="27222128" w14:textId="2B89C5AF" w:rsidR="00311F81" w:rsidRDefault="00311F81" w:rsidP="00311F81">
      <w:pPr>
        <w:pStyle w:val="BodyText"/>
      </w:pPr>
      <w:r>
        <w:t>c) Doanh nghiệp phát hành quyết định lãi suất danh nghĩa cho từng đợt chào bán phù hợp với tình hình tài chính và khả năng thanh toán nợ. Lãi suất trái phiếu do tổ chức tín dụng phát hành ngoài việc tuân thủ quy định tại Nghị định này phải phù hợp với quy định về lãi suất của Ngân hàng Nhà nước Việt Nam.</w:t>
      </w:r>
    </w:p>
    <w:p w14:paraId="475A98A0" w14:textId="773AF304" w:rsidR="00311F81" w:rsidRDefault="00311F81" w:rsidP="00311F81">
      <w:pPr>
        <w:pStyle w:val="BodyText"/>
      </w:pPr>
      <w:r>
        <w:t>7. Loại hình trái phiếu do doanh nghiệp phát hành quyết định theo quy định của pháp luật.</w:t>
      </w:r>
    </w:p>
    <w:p w14:paraId="799E0571" w14:textId="77777777" w:rsidR="00311F81" w:rsidRDefault="00311F81" w:rsidP="00311F81">
      <w:pPr>
        <w:pStyle w:val="BodyText"/>
      </w:pPr>
      <w:r>
        <w:t>8. Phương thức thanh toán lãi, gốc trái phiếu do doanh nghiệp phát hành quyết định căn cứ vào nhu cầu sử dụng vốn và thông lệ thị trường phát hành để công bố cho nhà đầu tư trước khi chào bán trái phiếu.</w:t>
      </w:r>
    </w:p>
    <w:p w14:paraId="3E43BFA7" w14:textId="77777777" w:rsidR="00311F81" w:rsidRDefault="00311F81" w:rsidP="00311F81">
      <w:pPr>
        <w:pStyle w:val="BodyText"/>
      </w:pPr>
    </w:p>
    <w:p w14:paraId="01450DA9" w14:textId="71FFA3C7" w:rsidR="00311F81" w:rsidRPr="00082DCF" w:rsidRDefault="00311F81" w:rsidP="00082DCF">
      <w:pPr>
        <w:pStyle w:val="Heading2"/>
        <w:spacing w:line="360" w:lineRule="auto"/>
        <w:rPr>
          <w:rFonts w:ascii="Times New Roman" w:hAnsi="Times New Roman" w:cs="Times New Roman"/>
        </w:rPr>
      </w:pPr>
      <w:bookmarkStart w:id="82" w:name="_Toc204931426"/>
      <w:r w:rsidRPr="00082DCF">
        <w:rPr>
          <w:rFonts w:ascii="Times New Roman" w:hAnsi="Times New Roman" w:cs="Times New Roman"/>
        </w:rPr>
        <w:t>Điều 7. Mua lại trái phiếu trước hạn, hoán đổi trái phiếu</w:t>
      </w:r>
      <w:bookmarkEnd w:id="82"/>
    </w:p>
    <w:p w14:paraId="46E40004" w14:textId="6BE2AC7A" w:rsidR="00311F81" w:rsidRPr="00082DCF" w:rsidRDefault="00311F81" w:rsidP="00082DCF">
      <w:pPr>
        <w:pStyle w:val="BodyText"/>
        <w:spacing w:line="360" w:lineRule="auto"/>
      </w:pPr>
      <w:r w:rsidRPr="00082DCF">
        <w:t xml:space="preserve">1. Doanh nghiệp phát hành được mua lại trước hạn hoặc hoán đổi theo thỏa thuận với chủ sở hữu trái phiếu để giảm nợ, cơ cấu lại nợ trái phiếu. Riêng đối với mua lại trước hạn trái phiếu chào bán ra thị trường quốc tế, khi thực hiện phải tuân thủ quy định về quản lý ngoại hối của Ngân hàng Nhà nước Việt Nam. </w:t>
      </w:r>
      <w:r w:rsidRPr="00C04999">
        <w:rPr>
          <w:highlight w:val="yellow"/>
        </w:rPr>
        <w:t>Trái phiếu bị hủy bỏ sau khi được mua lại.</w:t>
      </w:r>
    </w:p>
    <w:p w14:paraId="15472EA2" w14:textId="37D83347" w:rsidR="00F019AC" w:rsidRDefault="00311F81" w:rsidP="00082DCF">
      <w:pPr>
        <w:pStyle w:val="BodyText"/>
        <w:spacing w:line="360" w:lineRule="auto"/>
      </w:pPr>
      <w:r w:rsidRPr="00082DCF">
        <w:t>2. Tổ chức, cá nhân có thẩm quyền phê duyệt, chấp thuận phương án phát hành trái phiếu là cấp có thẩm quyền phê duyệt, chấp thuận phương án mua lại trái phiếu trước hạn hoặc hoán đổi trái phiếu.</w:t>
      </w:r>
      <w:r w:rsidR="00F019AC" w:rsidRPr="00864F40">
        <w:br w:type="page"/>
      </w:r>
    </w:p>
    <w:p w14:paraId="7A4B875C" w14:textId="77777777" w:rsidR="00C04999" w:rsidRPr="00C04999" w:rsidRDefault="00C04999" w:rsidP="00C04999">
      <w:pPr>
        <w:pStyle w:val="Heading2"/>
        <w:rPr>
          <w:rFonts w:eastAsia="Times New Roman"/>
          <w:lang w:eastAsia="en-US"/>
        </w:rPr>
      </w:pPr>
      <w:bookmarkStart w:id="83" w:name="dieu_8"/>
      <w:bookmarkStart w:id="84" w:name="_Toc204931427"/>
      <w:r w:rsidRPr="00C04999">
        <w:lastRenderedPageBreak/>
        <w:t>Điều 8. Nhà đầu tư mua trái phiếu</w:t>
      </w:r>
      <w:bookmarkEnd w:id="83"/>
      <w:bookmarkEnd w:id="84"/>
    </w:p>
    <w:p w14:paraId="4AD834F7"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1. Đối tượng mua trái phiếu</w:t>
      </w:r>
    </w:p>
    <w:p w14:paraId="6374BF05"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a) Đối với trái phiếu không chuyển đổi không kèm chứng quyền: đối tượng mua trái phiếu là nhà đầu tư chứng khoán chuyên nghiệp theo quy định của pháp luật chứng khoán.</w:t>
      </w:r>
    </w:p>
    <w:p w14:paraId="10D1141C"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b) Đối với trái phiếu chuyển đổi và trái phiếu kèm chứng quyền: đối tượng mua trái phiếu là nhà đầu tư chứng khoán chuyên nghiệp, nhà đầu tư chiến lược, trong đó số lượng nhà đầu tư chiến lược phải đảm bảo dưới 100 nhà đầu tư.</w:t>
      </w:r>
    </w:p>
    <w:p w14:paraId="3FFD4239" w14:textId="77777777" w:rsidR="00C04999" w:rsidRPr="00C04999" w:rsidRDefault="00C04999" w:rsidP="00C04999">
      <w:pPr>
        <w:pStyle w:val="NormalWeb"/>
        <w:shd w:val="clear" w:color="auto" w:fill="FFFFFF"/>
        <w:spacing w:before="0" w:beforeAutospacing="0" w:after="0" w:afterAutospacing="0" w:line="360" w:lineRule="auto"/>
        <w:rPr>
          <w:color w:val="000000"/>
          <w:sz w:val="26"/>
          <w:szCs w:val="26"/>
        </w:rPr>
      </w:pPr>
      <w:r w:rsidRPr="00C04999">
        <w:rPr>
          <w:color w:val="000000"/>
          <w:sz w:val="26"/>
          <w:szCs w:val="26"/>
        </w:rPr>
        <w:t>c) Nhà đầu tư chứng khoán chuyên nghiệp là nhà đầu tư có năng lực tài chính hoặc có trình độ chuyên môn về chứng khoán theo quy định tại </w:t>
      </w:r>
      <w:bookmarkStart w:id="85" w:name="dc_7"/>
      <w:r w:rsidRPr="00C04999">
        <w:rPr>
          <w:color w:val="000000"/>
          <w:sz w:val="26"/>
          <w:szCs w:val="26"/>
        </w:rPr>
        <w:t>Điều 11 Luật Chứng khoán</w:t>
      </w:r>
      <w:bookmarkEnd w:id="85"/>
      <w:r w:rsidRPr="00C04999">
        <w:rPr>
          <w:color w:val="000000"/>
          <w:sz w:val="26"/>
          <w:szCs w:val="26"/>
        </w:rPr>
        <w:t>. Tổ chức có trách nhiệm xác định nhà đầu tư chứng khoán chuyên nghiệp và tài liệu xác định nhà đầu tư chứng khoán chuyên nghiệp thực hiện theo quy định tại </w:t>
      </w:r>
      <w:bookmarkStart w:id="86" w:name="dc_8"/>
      <w:r w:rsidRPr="00C04999">
        <w:rPr>
          <w:color w:val="000000"/>
          <w:sz w:val="26"/>
          <w:szCs w:val="26"/>
        </w:rPr>
        <w:t>Điều 4 và Điều 5 Nghị định số 155/2020/NĐ-CP</w:t>
      </w:r>
      <w:bookmarkEnd w:id="86"/>
      <w:r w:rsidRPr="00C04999">
        <w:rPr>
          <w:color w:val="000000"/>
          <w:sz w:val="26"/>
          <w:szCs w:val="26"/>
        </w:rPr>
        <w:t> ngày 31 tháng 12 năm 2020 của Chính phủ quy định chi tiết thi hành một số điều của </w:t>
      </w:r>
      <w:bookmarkStart w:id="87" w:name="tvpllink_kzbiubegqb_1"/>
      <w:r w:rsidRPr="00C04999">
        <w:rPr>
          <w:color w:val="000000"/>
          <w:sz w:val="26"/>
          <w:szCs w:val="26"/>
        </w:rPr>
        <w:fldChar w:fldCharType="begin"/>
      </w:r>
      <w:r w:rsidRPr="00C04999">
        <w:rPr>
          <w:color w:val="000000"/>
          <w:sz w:val="26"/>
          <w:szCs w:val="26"/>
        </w:rPr>
        <w:instrText xml:space="preserve"> HYPERLINK "https://thuvienphapluat.vn/van-ban/Chung-khoan/Luat-Chung-khoan-nam-2019-399763.aspx" \t "_blank" </w:instrText>
      </w:r>
      <w:r w:rsidRPr="00C04999">
        <w:rPr>
          <w:color w:val="000000"/>
          <w:sz w:val="26"/>
          <w:szCs w:val="26"/>
        </w:rPr>
        <w:fldChar w:fldCharType="separate"/>
      </w:r>
      <w:r w:rsidRPr="00C04999">
        <w:rPr>
          <w:rStyle w:val="Hyperlink"/>
          <w:color w:val="0E70C3"/>
          <w:sz w:val="26"/>
          <w:szCs w:val="26"/>
        </w:rPr>
        <w:t>Luật Chứng khoán</w:t>
      </w:r>
      <w:r w:rsidRPr="00C04999">
        <w:rPr>
          <w:color w:val="000000"/>
          <w:sz w:val="26"/>
          <w:szCs w:val="26"/>
        </w:rPr>
        <w:fldChar w:fldCharType="end"/>
      </w:r>
      <w:bookmarkEnd w:id="87"/>
      <w:r w:rsidRPr="00C04999">
        <w:rPr>
          <w:color w:val="000000"/>
          <w:sz w:val="26"/>
          <w:szCs w:val="26"/>
        </w:rPr>
        <w:t> và các văn bản sửa đổi, bổ sung, thay thế (sau đây gọi tắt là Nghị định số 155/2020/NĐ-CP), ngoại trừ việc xác định nhà đầu tư chứng khoán chuyên nghiệp quy định tại điểm d khoản này.</w:t>
      </w:r>
    </w:p>
    <w:p w14:paraId="71E26C8E" w14:textId="77777777" w:rsidR="00C04999" w:rsidRPr="00C04999" w:rsidRDefault="00C04999" w:rsidP="00C04999">
      <w:pPr>
        <w:pStyle w:val="NormalWeb"/>
        <w:shd w:val="clear" w:color="auto" w:fill="FFFFFF"/>
        <w:spacing w:before="0" w:beforeAutospacing="0" w:after="0" w:afterAutospacing="0" w:line="360" w:lineRule="auto"/>
        <w:rPr>
          <w:color w:val="000000"/>
          <w:sz w:val="26"/>
          <w:szCs w:val="26"/>
        </w:rPr>
      </w:pPr>
      <w:bookmarkStart w:id="88" w:name="diem_d_1_7"/>
      <w:r w:rsidRPr="00C04999">
        <w:rPr>
          <w:color w:val="000000"/>
          <w:sz w:val="26"/>
          <w:szCs w:val="26"/>
          <w:shd w:val="clear" w:color="auto" w:fill="FFFF96"/>
        </w:rPr>
        <w:t>d) Việc xác định nhà đầu tư chứng khoán chuyên nghiệp là cá nhân theo quy định tại</w:t>
      </w:r>
      <w:bookmarkEnd w:id="88"/>
      <w:r w:rsidRPr="00C04999">
        <w:rPr>
          <w:color w:val="000000"/>
          <w:sz w:val="26"/>
          <w:szCs w:val="26"/>
        </w:rPr>
        <w:t> điểm d khoản 1 Điều 11 Luật Chứng khoán </w:t>
      </w:r>
      <w:bookmarkStart w:id="89" w:name="diem_d_1_7_name"/>
      <w:r w:rsidRPr="00C04999">
        <w:rPr>
          <w:color w:val="000000"/>
          <w:sz w:val="26"/>
          <w:szCs w:val="26"/>
        </w:rPr>
        <w:t>để mua trái phiếu doanh nghiệp phát hành riêng lẻ phải đảm bảo danh mục chứng khoán niêm yết, đăng ký giao dịch do nhà đầu tư nắm giữ có giá trị tối thiểu 02 tỷ đồng được xác định bằng giá trị thị trường bình quân theo ngày của danh mục chứng khoán trong thời gian tối thiểu 180 ngày liền kề trước ngày xác định tư cách nhà đầu tư chứng khoán chuyên nghiệp, không bao gồm giá trị vay giao dịch ký quỹ và giá trị chứng khoán thực hiện giao dịch mua bán lại. Việc xác định nhà đầu tư chứng khoán chuyên nghiệp tại điểm này có giá trị trong vòng 03 tháng kể từ ngày được xác nhận.</w:t>
      </w:r>
      <w:bookmarkEnd w:id="89"/>
    </w:p>
    <w:p w14:paraId="166B7A5A"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2. Trách nhiệm của nhà đầu tư mua trái phiếu</w:t>
      </w:r>
    </w:p>
    <w:p w14:paraId="34417E6D"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a) Tiếp cận đầy đủ nội dung công bố thông tin của doanh nghiệp phát hành; hiểu rõ điều kiện, điều khoản trái phiếu và các cam kết khác của doanh nghiệp phát hành trước khi quyết định mua và giao dịch trái phiếu.</w:t>
      </w:r>
    </w:p>
    <w:p w14:paraId="4F9BEA1F"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b) Hiểu rõ về các rủi ro phát sinh trong việc đầu tư, giao dịch trái phiếu; hiểu rõ và đảm bảo tuân thủ quy định về đối tượng nhà đầu tư, giao dịch trái phiếu doanh nghiệp riêng lẻ theo quy định tại Nghị định này và quy định của pháp luật liên quan.</w:t>
      </w:r>
    </w:p>
    <w:p w14:paraId="2B718EE4"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c) Tự đánh giá, tự chịu trách nhiệm về quyết định đầu tư của mình và tự chịu các rủi ro phát sinh trong việc đầu tư và giao dịch trái phiếu. Nhà nước không đảm bảo việc doanh nghiệp phát hành trái phiếu thanh toán đầy đủ, đúng hạn lãi, gốc trái phiếu khi đến hạn và các quyền khác cho nhà đầu tư mua trái phiếu.</w:t>
      </w:r>
    </w:p>
    <w:p w14:paraId="3E837C52" w14:textId="77777777" w:rsidR="00C04999" w:rsidRPr="00C04999" w:rsidRDefault="00C04999" w:rsidP="00C04999">
      <w:pPr>
        <w:pStyle w:val="NormalWeb"/>
        <w:shd w:val="clear" w:color="auto" w:fill="FFFFFF"/>
        <w:spacing w:before="0" w:beforeAutospacing="0" w:after="0" w:afterAutospacing="0" w:line="360" w:lineRule="auto"/>
        <w:rPr>
          <w:color w:val="000000"/>
          <w:sz w:val="26"/>
          <w:szCs w:val="26"/>
        </w:rPr>
      </w:pPr>
      <w:r w:rsidRPr="00C04999">
        <w:rPr>
          <w:color w:val="000000"/>
          <w:sz w:val="26"/>
          <w:szCs w:val="26"/>
        </w:rPr>
        <w:t>d) Trước khi mua trái phiếu (cả trên thị trường sơ cấp và thứ cấp), nhà đầu tư phải ký văn bản xác nhận đã thực hiện các quy định tại điểm a, điểm b, điểm c khoản này và tự chịu trách nhiệm đối với quyết định mua trái phiếu của mình sau khi ký văn bản xác nhận này. Văn bản xác nhận thực hiện theo mẫu quy định tại </w:t>
      </w:r>
      <w:bookmarkStart w:id="90" w:name="bieumau_pl_5"/>
      <w:r w:rsidRPr="00C04999">
        <w:rPr>
          <w:color w:val="000000"/>
          <w:sz w:val="26"/>
          <w:szCs w:val="26"/>
        </w:rPr>
        <w:t>Phụ lục V</w:t>
      </w:r>
      <w:bookmarkEnd w:id="90"/>
      <w:r w:rsidRPr="00C04999">
        <w:rPr>
          <w:color w:val="000000"/>
          <w:sz w:val="26"/>
          <w:szCs w:val="26"/>
        </w:rPr>
        <w:t> ban hành kèm theo Nghị định này và phải được lưu trữ tại hồ sơ chào bán khi phát hành trái phiếu hoặc tại công ty chứng khoán nơi nhà đầu tư thực hiện giao dịch trái phiếu theo quy định của pháp luật.</w:t>
      </w:r>
    </w:p>
    <w:p w14:paraId="5545382B" w14:textId="77777777" w:rsidR="00C04999" w:rsidRPr="00C04999" w:rsidRDefault="00C04999" w:rsidP="00C04999">
      <w:pPr>
        <w:pStyle w:val="NormalWeb"/>
        <w:shd w:val="clear" w:color="auto" w:fill="FFFFFF"/>
        <w:spacing w:before="0" w:beforeAutospacing="0" w:after="0" w:afterAutospacing="0" w:line="360" w:lineRule="auto"/>
        <w:rPr>
          <w:color w:val="000000"/>
          <w:sz w:val="26"/>
          <w:szCs w:val="26"/>
        </w:rPr>
      </w:pPr>
      <w:r w:rsidRPr="00C04999">
        <w:rPr>
          <w:color w:val="000000"/>
          <w:sz w:val="26"/>
          <w:szCs w:val="26"/>
        </w:rPr>
        <w:t>đ) Thực hiện giao dịch trái phiếu theo quy định tại </w:t>
      </w:r>
      <w:bookmarkStart w:id="91" w:name="tc_5"/>
      <w:r w:rsidRPr="00C04999">
        <w:rPr>
          <w:color w:val="0000FF"/>
          <w:sz w:val="26"/>
          <w:szCs w:val="26"/>
        </w:rPr>
        <w:t>Điều 16 Nghị định này</w:t>
      </w:r>
      <w:bookmarkEnd w:id="91"/>
      <w:r w:rsidRPr="00C04999">
        <w:rPr>
          <w:color w:val="000000"/>
          <w:sz w:val="26"/>
          <w:szCs w:val="26"/>
        </w:rPr>
        <w:t>; không được bán hoặc cùng góp vốn đầu tư trái phiếu với nhà đầu tư không phải là nhà đầu tư chứng khoán chuyên nghiệp dưới mọi hình thức. Việc huy động vốn và mua, đầu tư trái phiếu doanh nghiệp của các tổ chức tín dụng, chi nhánh ngân hàng nước ngoài và công ty quản lý quỹ thực hiện theo quy định của pháp luật chuyên ngành.</w:t>
      </w:r>
    </w:p>
    <w:p w14:paraId="5B88B66A"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e) Khi bán trái phiếu trên thị trường thứ cấp phải cung cấp đầy đủ nội dung công bố thông tin của doanh nghiệp phát hành theo quy định tại Nghị định này cho nhà đầu tư mua trái phiếu.</w:t>
      </w:r>
    </w:p>
    <w:p w14:paraId="26CAF6D2"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3. Quyền lợi của nhà đầu tư mua trái phiếu</w:t>
      </w:r>
    </w:p>
    <w:p w14:paraId="536BA8DC"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a) Được doanh nghiệp phát hành công bố thông tin đầy đủ theo quy định tại Nghị định này; được quyền tiếp cận hồ sơ chào bán trái phiếu khi có yêu cầu.</w:t>
      </w:r>
    </w:p>
    <w:p w14:paraId="6439E034"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b) Được doanh nghiệp phát hành thanh toán đầy đủ, đúng hạn lãi, gốc trái phiếu khi đến hạn, thực hiện các quyền kèm theo (nếu có) theo điều kiện, điều khoản của trái phiếu và các thỏa thuận với doanh nghiệp phát hành.</w:t>
      </w:r>
    </w:p>
    <w:p w14:paraId="1B5B1464" w14:textId="77777777" w:rsidR="00C04999" w:rsidRPr="00C04999" w:rsidRDefault="00C04999" w:rsidP="00C04999">
      <w:pPr>
        <w:pStyle w:val="NormalWeb"/>
        <w:shd w:val="clear" w:color="auto" w:fill="FFFFFF"/>
        <w:spacing w:before="0" w:beforeAutospacing="0" w:after="0" w:afterAutospacing="0" w:line="360" w:lineRule="auto"/>
        <w:rPr>
          <w:color w:val="000000"/>
          <w:sz w:val="26"/>
          <w:szCs w:val="26"/>
        </w:rPr>
      </w:pPr>
      <w:r w:rsidRPr="00C04999">
        <w:rPr>
          <w:color w:val="000000"/>
          <w:sz w:val="26"/>
          <w:szCs w:val="26"/>
        </w:rPr>
        <w:t>c) Được yêu cầu doanh nghiệp phát hành mua lại trái phiếu trước hạn theo quy định tại </w:t>
      </w:r>
      <w:bookmarkStart w:id="92" w:name="tc_1"/>
      <w:r w:rsidRPr="00C04999">
        <w:rPr>
          <w:color w:val="0000FF"/>
          <w:sz w:val="26"/>
          <w:szCs w:val="26"/>
        </w:rPr>
        <w:t>khoản 3 Điều 7 Nghị định này</w:t>
      </w:r>
      <w:bookmarkEnd w:id="92"/>
      <w:r w:rsidRPr="00C04999">
        <w:rPr>
          <w:color w:val="000000"/>
          <w:sz w:val="26"/>
          <w:szCs w:val="26"/>
        </w:rPr>
        <w:t>.</w:t>
      </w:r>
    </w:p>
    <w:p w14:paraId="102A1094"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d) Được yêu cầu người bán trái phiếu cung cấp đầy đủ nội dung công bố thông tin của doanh nghiệp phát hành theo quy định tại Nghị định này khi mua trái phiếu trên thị trường thứ cấp.</w:t>
      </w:r>
    </w:p>
    <w:p w14:paraId="38CAC5D9" w14:textId="77777777"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r w:rsidRPr="00C04999">
        <w:rPr>
          <w:color w:val="000000"/>
          <w:sz w:val="26"/>
          <w:szCs w:val="26"/>
        </w:rPr>
        <w:t>4. Trường hợp nhà đầu tư vi phạm quy định của pháp luật sẽ bị xử phạt vi phạm hành chính theo quy định về xử phạt vi phạm hành chính trong lĩnh vực chứng khoán và thị trường chứng khoán hoặc xử lý hình sự tùy theo tính chất và mức độ vi phạm.</w:t>
      </w:r>
    </w:p>
    <w:p w14:paraId="5EAF1597" w14:textId="0FB26BA4" w:rsidR="00C04999" w:rsidRPr="00C04999" w:rsidRDefault="00C04999" w:rsidP="00C04999">
      <w:pPr>
        <w:pStyle w:val="NormalWeb"/>
        <w:shd w:val="clear" w:color="auto" w:fill="FFFFFF"/>
        <w:spacing w:before="120" w:beforeAutospacing="0" w:after="120" w:afterAutospacing="0" w:line="360" w:lineRule="auto"/>
        <w:rPr>
          <w:color w:val="000000"/>
          <w:sz w:val="26"/>
          <w:szCs w:val="26"/>
        </w:rPr>
      </w:pPr>
    </w:p>
    <w:p w14:paraId="7C34096D" w14:textId="77777777" w:rsidR="00C04999" w:rsidRPr="00864F40" w:rsidRDefault="00C04999" w:rsidP="00C04999">
      <w:pPr>
        <w:pStyle w:val="BodyText"/>
        <w:spacing w:line="360" w:lineRule="auto"/>
        <w:ind w:firstLine="0"/>
      </w:pPr>
    </w:p>
    <w:p w14:paraId="4F31E13E" w14:textId="77777777" w:rsidR="00C04999" w:rsidRDefault="00C04999">
      <w:pPr>
        <w:widowControl/>
        <w:spacing w:after="160" w:line="259" w:lineRule="auto"/>
        <w:rPr>
          <w:rFonts w:ascii="Calibri Light" w:eastAsia="Times New Roman" w:hAnsi="Calibri Light" w:cs="Times New Roman"/>
          <w:b/>
          <w:bCs/>
          <w:kern w:val="32"/>
          <w:sz w:val="32"/>
          <w:szCs w:val="32"/>
        </w:rPr>
      </w:pPr>
      <w:r>
        <w:br w:type="page"/>
      </w:r>
    </w:p>
    <w:p w14:paraId="39A26C38"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57B52992"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55E3DEA1"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413A0AC6"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5017B92F"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5528D8A4" w14:textId="27D1D52B" w:rsidR="004320F8" w:rsidRDefault="004320F8" w:rsidP="00A85CD7">
      <w:pPr>
        <w:pStyle w:val="Heading1"/>
      </w:pPr>
    </w:p>
    <w:p w14:paraId="2F0E272B" w14:textId="77777777" w:rsidR="004320F8" w:rsidRPr="004320F8" w:rsidRDefault="004320F8" w:rsidP="004320F8">
      <w:pPr>
        <w:pStyle w:val="Heading2"/>
        <w:spacing w:line="360" w:lineRule="auto"/>
        <w:rPr>
          <w:rFonts w:eastAsia="Times New Roman"/>
          <w:lang w:eastAsia="en-US"/>
        </w:rPr>
      </w:pPr>
      <w:bookmarkStart w:id="93" w:name="dieu_9"/>
      <w:bookmarkStart w:id="94" w:name="_Toc204931428"/>
      <w:r w:rsidRPr="004320F8">
        <w:rPr>
          <w:rFonts w:eastAsia="Times New Roman"/>
          <w:lang w:eastAsia="en-US"/>
        </w:rPr>
        <w:t>Điều 9. Điều kiện chào bán trái phiếu</w:t>
      </w:r>
      <w:bookmarkEnd w:id="93"/>
      <w:bookmarkEnd w:id="94"/>
    </w:p>
    <w:p w14:paraId="4D0167EC"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1. Đối với chào bán trái phiếu không chuyển đổi không kèm chứng quyền (không bao gồm việc chào bán trái phiếu của công ty chứng khoán, công ty quản lý quỹ đầu tư chứng khoán không phải là công ty đại chúng), doanh nghiệp phải đáp ứng các điều kiện sau:</w:t>
      </w:r>
    </w:p>
    <w:p w14:paraId="49FCB7A1"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a) Là công ty cổ phần hoặc công ty trách nhiệm hữu hạn được thành lập và hoạt động theo pháp luật Việt Nam.</w:t>
      </w:r>
    </w:p>
    <w:p w14:paraId="7F1D6EBB"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b) Thanh toán đủ cả gốc và lãi của trái phiếu đã phát hành hoặc thanh toán đủ các khoản nợ đến hạn trong 03 năm liên tiếp trước đợt phát hành trái phiếu (nếu có); trừ trường hợp chào bán trái phiếu cho chủ nợ là tổ chức tài chính được lựa chọn.</w:t>
      </w:r>
    </w:p>
    <w:p w14:paraId="272DF492"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c) Đáp ứng các tỷ lệ an toàn tài chính, tỷ lệ bảo đảm an toàn trong hoạt động theo quy định của pháp luật chuyên ngành.</w:t>
      </w:r>
    </w:p>
    <w:p w14:paraId="290C499A" w14:textId="77777777" w:rsidR="004320F8" w:rsidRPr="004320F8" w:rsidRDefault="004320F8" w:rsidP="004320F8">
      <w:pPr>
        <w:widowControl/>
        <w:shd w:val="clear" w:color="auto" w:fill="FFFFFF"/>
        <w:spacing w:line="360" w:lineRule="auto"/>
        <w:rPr>
          <w:rFonts w:eastAsia="Times New Roman" w:cs="Times New Roman"/>
          <w:sz w:val="26"/>
          <w:szCs w:val="26"/>
          <w:lang w:eastAsia="en-US"/>
        </w:rPr>
      </w:pPr>
      <w:r w:rsidRPr="004320F8">
        <w:rPr>
          <w:rFonts w:eastAsia="Times New Roman" w:cs="Times New Roman"/>
          <w:sz w:val="26"/>
          <w:szCs w:val="26"/>
          <w:lang w:eastAsia="en-US"/>
        </w:rPr>
        <w:t>d) Có phương án phát hành trái phiếu được phê duyệt và chấp thuận theo quy định tại </w:t>
      </w:r>
      <w:bookmarkStart w:id="95" w:name="tc_2"/>
      <w:r w:rsidRPr="004320F8">
        <w:rPr>
          <w:rFonts w:eastAsia="Times New Roman" w:cs="Times New Roman"/>
          <w:color w:val="0000FF"/>
          <w:sz w:val="26"/>
          <w:szCs w:val="26"/>
          <w:lang w:eastAsia="en-US"/>
        </w:rPr>
        <w:t>Điều 13 Nghị định này</w:t>
      </w:r>
      <w:bookmarkEnd w:id="95"/>
      <w:r w:rsidRPr="004320F8">
        <w:rPr>
          <w:rFonts w:eastAsia="Times New Roman" w:cs="Times New Roman"/>
          <w:sz w:val="26"/>
          <w:szCs w:val="26"/>
          <w:lang w:eastAsia="en-US"/>
        </w:rPr>
        <w:t>.</w:t>
      </w:r>
    </w:p>
    <w:p w14:paraId="57705423"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đ) Có báo cáo tài chính năm trước liền kề của năm phát hành được kiểm toán bởi tổ chức kiểm toán đủ điều kiện theo quy định tại Nghị định này.</w:t>
      </w:r>
    </w:p>
    <w:p w14:paraId="0B58AF97" w14:textId="77777777" w:rsidR="004320F8" w:rsidRPr="004320F8" w:rsidRDefault="004320F8" w:rsidP="004320F8">
      <w:pPr>
        <w:widowControl/>
        <w:shd w:val="clear" w:color="auto" w:fill="FFFFFF"/>
        <w:spacing w:line="360" w:lineRule="auto"/>
        <w:rPr>
          <w:rFonts w:eastAsia="Times New Roman" w:cs="Times New Roman"/>
          <w:sz w:val="26"/>
          <w:szCs w:val="26"/>
          <w:lang w:eastAsia="en-US"/>
        </w:rPr>
      </w:pPr>
      <w:r w:rsidRPr="004320F8">
        <w:rPr>
          <w:rFonts w:eastAsia="Times New Roman" w:cs="Times New Roman"/>
          <w:sz w:val="26"/>
          <w:szCs w:val="26"/>
          <w:lang w:eastAsia="en-US"/>
        </w:rPr>
        <w:t>e) Đối tượng tham gia đợt chào bán theo quy định tại </w:t>
      </w:r>
      <w:bookmarkStart w:id="96" w:name="tc_3"/>
      <w:r w:rsidRPr="004320F8">
        <w:rPr>
          <w:rFonts w:eastAsia="Times New Roman" w:cs="Times New Roman"/>
          <w:color w:val="0000FF"/>
          <w:sz w:val="26"/>
          <w:szCs w:val="26"/>
          <w:lang w:eastAsia="en-US"/>
        </w:rPr>
        <w:t>điểm a khoản 1 Điều 8 Nghị định này</w:t>
      </w:r>
      <w:bookmarkEnd w:id="96"/>
      <w:r w:rsidRPr="004320F8">
        <w:rPr>
          <w:rFonts w:eastAsia="Times New Roman" w:cs="Times New Roman"/>
          <w:sz w:val="26"/>
          <w:szCs w:val="26"/>
          <w:lang w:eastAsia="en-US"/>
        </w:rPr>
        <w:t>.</w:t>
      </w:r>
    </w:p>
    <w:p w14:paraId="6454E468"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2. Đối với chào bán trái phiếu không chuyển đổi không kèm chứng quyền của công ty chứng khoán, công ty quản lý quỹ đầu tư chứng khoán không phải là công ty đại chúng: doanh nghiệp phải đáp ứng các điều kiện quy định tại điểm a, điểm c, điểm d, điểm đ và điểm e khoản 1 Điều này.</w:t>
      </w:r>
    </w:p>
    <w:p w14:paraId="27CB5E99"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3. Đối với chào bán trái phiếu chuyển đổi hoặc trái phiếu kèm chứng quyền:</w:t>
      </w:r>
    </w:p>
    <w:p w14:paraId="3FF8CDE0"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a) Doanh nghiệp phát hành là công ty cổ phần.</w:t>
      </w:r>
    </w:p>
    <w:p w14:paraId="46FEF05A" w14:textId="77777777" w:rsidR="004320F8" w:rsidRPr="004320F8" w:rsidRDefault="004320F8" w:rsidP="004320F8">
      <w:pPr>
        <w:widowControl/>
        <w:shd w:val="clear" w:color="auto" w:fill="FFFFFF"/>
        <w:spacing w:line="360" w:lineRule="auto"/>
        <w:rPr>
          <w:rFonts w:eastAsia="Times New Roman" w:cs="Times New Roman"/>
          <w:sz w:val="26"/>
          <w:szCs w:val="26"/>
          <w:lang w:eastAsia="en-US"/>
        </w:rPr>
      </w:pPr>
      <w:r w:rsidRPr="004320F8">
        <w:rPr>
          <w:rFonts w:eastAsia="Times New Roman" w:cs="Times New Roman"/>
          <w:sz w:val="26"/>
          <w:szCs w:val="26"/>
          <w:lang w:eastAsia="en-US"/>
        </w:rPr>
        <w:t>b) Đối tượng tham gia đợt chào bán theo quy định tại </w:t>
      </w:r>
      <w:bookmarkStart w:id="97" w:name="tc_4"/>
      <w:r w:rsidRPr="004320F8">
        <w:rPr>
          <w:rFonts w:eastAsia="Times New Roman" w:cs="Times New Roman"/>
          <w:color w:val="0000FF"/>
          <w:sz w:val="26"/>
          <w:szCs w:val="26"/>
          <w:lang w:eastAsia="en-US"/>
        </w:rPr>
        <w:t>điểm b khoản 1 Điều 8 Nghị định này</w:t>
      </w:r>
      <w:bookmarkEnd w:id="97"/>
      <w:r w:rsidRPr="004320F8">
        <w:rPr>
          <w:rFonts w:eastAsia="Times New Roman" w:cs="Times New Roman"/>
          <w:sz w:val="26"/>
          <w:szCs w:val="26"/>
          <w:lang w:eastAsia="en-US"/>
        </w:rPr>
        <w:t>.</w:t>
      </w:r>
    </w:p>
    <w:p w14:paraId="3D578EB4"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c) Đáp ứng các điều kiện chào bán quy định tại điểm b, điểm c, điểm d và điểm đ khoản 1 Điều này.</w:t>
      </w:r>
    </w:p>
    <w:p w14:paraId="630A5958" w14:textId="77777777" w:rsidR="004320F8" w:rsidRP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lastRenderedPageBreak/>
        <w:t>d) Các đợt chào bán trái phiếu chuyển đổi riêng lẻ, trái phiếu kèm chứng quyền riêng lẻ phải cách nhau ít nhất 06 tháng kể từ ngày hoàn thành đợt chào bán gần nhất.</w:t>
      </w:r>
    </w:p>
    <w:p w14:paraId="1F126986" w14:textId="68AF9988" w:rsidR="004320F8" w:rsidRDefault="004320F8" w:rsidP="004320F8">
      <w:pPr>
        <w:widowControl/>
        <w:shd w:val="clear" w:color="auto" w:fill="FFFFFF"/>
        <w:spacing w:before="120" w:after="120" w:line="360" w:lineRule="auto"/>
        <w:rPr>
          <w:rFonts w:eastAsia="Times New Roman" w:cs="Times New Roman"/>
          <w:sz w:val="26"/>
          <w:szCs w:val="26"/>
          <w:lang w:eastAsia="en-US"/>
        </w:rPr>
      </w:pPr>
      <w:r w:rsidRPr="004320F8">
        <w:rPr>
          <w:rFonts w:eastAsia="Times New Roman" w:cs="Times New Roman"/>
          <w:sz w:val="26"/>
          <w:szCs w:val="26"/>
          <w:lang w:eastAsia="en-US"/>
        </w:rPr>
        <w:t>đ) Việc chuyển đổi trái phiếu thành cổ phiếu, thực hiện chứng quyền phải đáp ứng quy định về tỷ lệ sở hữu của nhà đầu tư nước ngoài theo quy định của pháp luật.</w:t>
      </w:r>
    </w:p>
    <w:p w14:paraId="33A1D2CB" w14:textId="77777777" w:rsidR="00887C24" w:rsidRPr="004320F8" w:rsidRDefault="00887C24" w:rsidP="004320F8">
      <w:pPr>
        <w:widowControl/>
        <w:shd w:val="clear" w:color="auto" w:fill="FFFFFF"/>
        <w:spacing w:before="120" w:after="120" w:line="360" w:lineRule="auto"/>
        <w:rPr>
          <w:rFonts w:eastAsia="Times New Roman" w:cs="Times New Roman"/>
          <w:sz w:val="26"/>
          <w:szCs w:val="26"/>
          <w:lang w:eastAsia="en-US"/>
        </w:rPr>
      </w:pPr>
    </w:p>
    <w:p w14:paraId="34A4A1E9" w14:textId="77777777" w:rsidR="004320F8" w:rsidRPr="004320F8" w:rsidRDefault="004320F8" w:rsidP="00887C24">
      <w:pPr>
        <w:pStyle w:val="Heading2"/>
        <w:rPr>
          <w:rFonts w:eastAsia="Times New Roman"/>
          <w:lang w:eastAsia="en-US"/>
        </w:rPr>
      </w:pPr>
      <w:bookmarkStart w:id="98" w:name="dieu_11"/>
      <w:bookmarkStart w:id="99" w:name="_Toc204931429"/>
      <w:r w:rsidRPr="004320F8">
        <w:t>Điều 11. Quy trình chào bán trái phiếu</w:t>
      </w:r>
      <w:bookmarkEnd w:id="98"/>
      <w:bookmarkEnd w:id="99"/>
    </w:p>
    <w:p w14:paraId="2AE439B1"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1. Đối với chào bán trái phiếu không chuyển đổi không kèm chứng quyền của công ty đại chúng và công ty không phải là công ty đại chúng; chào bán trái phiếu chuyển đổi, trái phiếu kèm chứng quyền của công ty không phải là công ty đại chúng (không bao gồm công ty chứng khoán, công ty quản lý quỹ đầu tư chứng khoán):</w:t>
      </w:r>
    </w:p>
    <w:p w14:paraId="1086112C"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a) Doanh nghiệp chuẩn bị hồ sơ chào bán trái phiếu theo quy định tại </w:t>
      </w:r>
      <w:bookmarkStart w:id="100" w:name="tc_7"/>
      <w:r w:rsidRPr="004320F8">
        <w:rPr>
          <w:color w:val="0000FF"/>
          <w:sz w:val="26"/>
          <w:szCs w:val="26"/>
        </w:rPr>
        <w:t>Điều 12 Nghị định này</w:t>
      </w:r>
      <w:bookmarkEnd w:id="100"/>
      <w:r w:rsidRPr="004320F8">
        <w:rPr>
          <w:color w:val="000000"/>
          <w:sz w:val="26"/>
          <w:szCs w:val="26"/>
        </w:rPr>
        <w:t>.</w:t>
      </w:r>
    </w:p>
    <w:p w14:paraId="024D7E9C"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b) Doanh nghiệp công bố thông tin trước đợt chào bán theo quy định tại </w:t>
      </w:r>
      <w:bookmarkStart w:id="101" w:name="tc_8"/>
      <w:r w:rsidRPr="004320F8">
        <w:rPr>
          <w:color w:val="0000FF"/>
          <w:sz w:val="26"/>
          <w:szCs w:val="26"/>
        </w:rPr>
        <w:t>Điều 19 Nghị định này.</w:t>
      </w:r>
      <w:bookmarkEnd w:id="101"/>
    </w:p>
    <w:p w14:paraId="225E2357"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shd w:val="clear" w:color="auto" w:fill="FFFFFF"/>
        </w:rPr>
      </w:pPr>
      <w:r w:rsidRPr="004320F8">
        <w:rPr>
          <w:color w:val="000000"/>
          <w:sz w:val="26"/>
          <w:szCs w:val="26"/>
          <w:shd w:val="clear" w:color="auto" w:fill="FFFFFF"/>
        </w:rPr>
        <w:t>c) Doanh nghiệp tổ chức chào bán trái phiếu theo các phương thức quy định tại </w:t>
      </w:r>
      <w:r w:rsidRPr="004320F8">
        <w:rPr>
          <w:color w:val="0000FF"/>
          <w:sz w:val="26"/>
          <w:szCs w:val="26"/>
          <w:shd w:val="clear" w:color="auto" w:fill="FFFFFF"/>
        </w:rPr>
        <w:t>Điều 14 Nghị định này</w:t>
      </w:r>
      <w:r w:rsidRPr="004320F8">
        <w:rPr>
          <w:color w:val="000000"/>
          <w:sz w:val="26"/>
          <w:szCs w:val="26"/>
          <w:shd w:val="clear" w:color="auto" w:fill="FFFFFF"/>
        </w:rPr>
        <w:t xml:space="preserve">. Doanh nghiệp phải hoàn thành việc phân phối trái phiếu </w:t>
      </w:r>
      <w:r w:rsidRPr="00887C24">
        <w:rPr>
          <w:color w:val="000000"/>
          <w:sz w:val="26"/>
          <w:szCs w:val="26"/>
          <w:highlight w:val="yellow"/>
          <w:shd w:val="clear" w:color="auto" w:fill="FFFFFF"/>
        </w:rPr>
        <w:t>trong thời hạn 30 ngày</w:t>
      </w:r>
      <w:r w:rsidRPr="004320F8">
        <w:rPr>
          <w:color w:val="000000"/>
          <w:sz w:val="26"/>
          <w:szCs w:val="26"/>
          <w:shd w:val="clear" w:color="auto" w:fill="FFFFFF"/>
        </w:rPr>
        <w:t xml:space="preserve"> kể từ ngày công bố thông tin trước đợt chào bán trái phiếu.</w:t>
      </w:r>
    </w:p>
    <w:p w14:paraId="572F2A8F" w14:textId="0A8B7041"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d) Doanh nghiệp phát hành thực hiện đăng ký, lưu ký trái phiếu theo quy định tại </w:t>
      </w:r>
      <w:bookmarkStart w:id="102" w:name="tc_10"/>
      <w:r w:rsidRPr="004320F8">
        <w:rPr>
          <w:color w:val="0000FF"/>
          <w:sz w:val="26"/>
          <w:szCs w:val="26"/>
        </w:rPr>
        <w:t>Điều 15 Nghị định này</w:t>
      </w:r>
      <w:bookmarkEnd w:id="102"/>
      <w:r w:rsidRPr="004320F8">
        <w:rPr>
          <w:color w:val="000000"/>
          <w:sz w:val="26"/>
          <w:szCs w:val="26"/>
        </w:rPr>
        <w:t>.</w:t>
      </w:r>
    </w:p>
    <w:p w14:paraId="47808D89"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2. Đối với chào bán trái phiếu chuyển đổi, trái phiếu kèm chứng quyền của công ty đại chúng; chào bán trái phiếu chuyển đổi, trái phiếu kèm chứng quyền của công ty chứng khoán, công ty quản lý quỹ đầu tư chứng khoán:</w:t>
      </w:r>
    </w:p>
    <w:p w14:paraId="29C29597"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a) Doanh nghiệp chuẩn bị hồ sơ chào bán trái phiếu theo quy định tại </w:t>
      </w:r>
      <w:bookmarkStart w:id="103" w:name="tc_11"/>
      <w:r w:rsidRPr="004320F8">
        <w:rPr>
          <w:color w:val="0000FF"/>
          <w:sz w:val="26"/>
          <w:szCs w:val="26"/>
        </w:rPr>
        <w:t>Điều 12 Nghị định này</w:t>
      </w:r>
      <w:bookmarkEnd w:id="103"/>
      <w:r w:rsidRPr="004320F8">
        <w:rPr>
          <w:color w:val="000000"/>
          <w:sz w:val="26"/>
          <w:szCs w:val="26"/>
        </w:rPr>
        <w:t>.</w:t>
      </w:r>
    </w:p>
    <w:p w14:paraId="28F18D03"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b) Doanh nghiệp gửi 01 bộ hồ sơ chào bán trái phiếu quy định tại điểm a khoản này đến Ủy ban Chứng khoán Nhà nước. Trong thời hạn 10 ngày kể từ ngày nhận được hồ sơ đầy đủ và hợp lệ, Ủy ban Chứng khoán Nhà nước chấp thuận bằng văn bản; trường hợp từ chối, Ủy ban Chứng khoán Nhà nước trả lời bằng văn bản và nêu rõ lý do.</w:t>
      </w:r>
    </w:p>
    <w:p w14:paraId="55BB66AF"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 xml:space="preserve">c) Sau khi Ủy ban Chứng khoán Nhà nước chấp thuận, doanh nghiệp công bố thông tin trước đợt chào bán và tổ chức phát hành trái phiếu theo quy định tại điểm b, điểm c khoản </w:t>
      </w:r>
      <w:r w:rsidRPr="004320F8">
        <w:rPr>
          <w:color w:val="000000"/>
          <w:sz w:val="26"/>
          <w:szCs w:val="26"/>
        </w:rPr>
        <w:lastRenderedPageBreak/>
        <w:t>1 Điều này. Số tiền thu được từ đợt chào bán phải được chuyển vào tài khoản phong tỏa mở tại ngân hàng, chi nhánh ngân hàng nước ngoài. Việc mở và sử dụng tài khoản phong tỏa áp dụng theo quy định đối với chào bán, phát hành chứng khoán và chào mua công khai quy định tại Nghị định quy định chi tiết thi hành một số điều của </w:t>
      </w:r>
      <w:bookmarkStart w:id="104" w:name="tvpllink_kzbiubegqb_4"/>
      <w:r w:rsidRPr="004320F8">
        <w:rPr>
          <w:color w:val="000000"/>
          <w:sz w:val="26"/>
          <w:szCs w:val="26"/>
        </w:rPr>
        <w:fldChar w:fldCharType="begin"/>
      </w:r>
      <w:r w:rsidRPr="004320F8">
        <w:rPr>
          <w:color w:val="000000"/>
          <w:sz w:val="26"/>
          <w:szCs w:val="26"/>
        </w:rPr>
        <w:instrText xml:space="preserve"> HYPERLINK "https://thuvienphapluat.vn/van-ban/Chung-khoan/Luat-Chung-khoan-nam-2019-399763.aspx" \t "_blank" </w:instrText>
      </w:r>
      <w:r w:rsidRPr="004320F8">
        <w:rPr>
          <w:color w:val="000000"/>
          <w:sz w:val="26"/>
          <w:szCs w:val="26"/>
        </w:rPr>
        <w:fldChar w:fldCharType="separate"/>
      </w:r>
      <w:r w:rsidRPr="004320F8">
        <w:rPr>
          <w:rStyle w:val="Hyperlink"/>
          <w:color w:val="0E70C3"/>
          <w:sz w:val="26"/>
          <w:szCs w:val="26"/>
        </w:rPr>
        <w:t>Luật Chứng khoán</w:t>
      </w:r>
      <w:r w:rsidRPr="004320F8">
        <w:rPr>
          <w:color w:val="000000"/>
          <w:sz w:val="26"/>
          <w:szCs w:val="26"/>
        </w:rPr>
        <w:fldChar w:fldCharType="end"/>
      </w:r>
      <w:bookmarkEnd w:id="104"/>
      <w:r w:rsidRPr="004320F8">
        <w:rPr>
          <w:color w:val="000000"/>
          <w:sz w:val="26"/>
          <w:szCs w:val="26"/>
        </w:rPr>
        <w:t>.</w:t>
      </w:r>
    </w:p>
    <w:p w14:paraId="115F2311"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d) Trong thời hạn 10 ngày kể từ ngày hoàn thành đợt chào bán, doanh nghiệp báo cáo kết quả chào bán theo mẫu tại </w:t>
      </w:r>
      <w:bookmarkStart w:id="105" w:name="bieumau_pl_03"/>
      <w:r w:rsidRPr="004320F8">
        <w:rPr>
          <w:color w:val="000000"/>
          <w:sz w:val="26"/>
          <w:szCs w:val="26"/>
        </w:rPr>
        <w:t>Phụ lục III</w:t>
      </w:r>
      <w:bookmarkEnd w:id="105"/>
      <w:r w:rsidRPr="004320F8">
        <w:rPr>
          <w:color w:val="000000"/>
          <w:sz w:val="26"/>
          <w:szCs w:val="26"/>
        </w:rPr>
        <w:t> ban hành kèm theo Nghị định này, kèm theo xác nhận của ngân hàng, chi nhánh ngân hàng nước ngoài nơi mở tài khoản phong tỏa về số tiền thu được cho Ủy ban Chứng khoán Nhà nước. Trong thời hạn 03 ngày làm việc kể từ ngày nhận được đầy đủ báo cáo kết quả chào bán, Ủy ban Chứng khoán Nhà nước thông báo cho doanh nghiệp phát hành, đồng thời đăng lên trang thông tin điện tử của Ủy ban Chứng khoán Nhà nước về việc nhận được báo cáo kết quả chào bán.</w:t>
      </w:r>
    </w:p>
    <w:p w14:paraId="09D0EE57"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đ) Sau khi Ủy ban Chứng khoán Nhà nước thông báo nhận được báo cáo kết quả chào bán, doanh nghiệp phát hành được giải tỏa số tiền thu được từ chào bán.</w:t>
      </w:r>
    </w:p>
    <w:p w14:paraId="2F5424B2"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e) Doanh nghiệp phát hành thực hiện đăng ký, lưu ký trái phiếu.</w:t>
      </w:r>
    </w:p>
    <w:p w14:paraId="4A109722"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3. Doanh nghiệp thanh toán lãi, gốc trái phiếu và thực hiện chế độ công bố thông tin theo quy định tại </w:t>
      </w:r>
      <w:bookmarkStart w:id="106" w:name="tc_12"/>
      <w:r w:rsidRPr="004320F8">
        <w:rPr>
          <w:color w:val="0000FF"/>
          <w:sz w:val="26"/>
          <w:szCs w:val="26"/>
        </w:rPr>
        <w:t>Mục 3</w:t>
      </w:r>
      <w:bookmarkEnd w:id="106"/>
      <w:r w:rsidRPr="004320F8">
        <w:rPr>
          <w:color w:val="000000"/>
          <w:sz w:val="26"/>
          <w:szCs w:val="26"/>
        </w:rPr>
        <w:t> và </w:t>
      </w:r>
      <w:bookmarkStart w:id="107" w:name="tc_13"/>
      <w:r w:rsidRPr="004320F8">
        <w:rPr>
          <w:color w:val="0000FF"/>
          <w:sz w:val="26"/>
          <w:szCs w:val="26"/>
        </w:rPr>
        <w:t>Mục 4 Chương II Nghị định này</w:t>
      </w:r>
      <w:bookmarkEnd w:id="107"/>
      <w:r w:rsidRPr="004320F8">
        <w:rPr>
          <w:color w:val="000000"/>
          <w:sz w:val="26"/>
          <w:szCs w:val="26"/>
        </w:rPr>
        <w:t>.</w:t>
      </w:r>
    </w:p>
    <w:p w14:paraId="15FAA1A0" w14:textId="77777777" w:rsidR="00887C24" w:rsidRDefault="00887C24" w:rsidP="004320F8">
      <w:pPr>
        <w:pStyle w:val="NormalWeb"/>
        <w:shd w:val="clear" w:color="auto" w:fill="FFFFFF"/>
        <w:spacing w:before="0" w:beforeAutospacing="0" w:after="0" w:afterAutospacing="0" w:line="360" w:lineRule="auto"/>
        <w:rPr>
          <w:b/>
          <w:bCs/>
          <w:color w:val="000000"/>
          <w:sz w:val="26"/>
          <w:szCs w:val="26"/>
        </w:rPr>
      </w:pPr>
      <w:bookmarkStart w:id="108" w:name="dieu_12"/>
    </w:p>
    <w:p w14:paraId="7982BE5A" w14:textId="62208E29" w:rsidR="004320F8" w:rsidRPr="004320F8" w:rsidRDefault="004320F8" w:rsidP="00887C24">
      <w:pPr>
        <w:pStyle w:val="Heading2"/>
      </w:pPr>
      <w:bookmarkStart w:id="109" w:name="_Toc204931430"/>
      <w:r w:rsidRPr="004320F8">
        <w:t>Điều 12. Hồ sơ chào bán trái phiếu</w:t>
      </w:r>
      <w:bookmarkEnd w:id="108"/>
      <w:bookmarkEnd w:id="109"/>
    </w:p>
    <w:p w14:paraId="27CD7C15"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1. Doanh nghiệp phát hành trái phiếu có trách nhiệm lập hồ sơ chào bán để phục vụ cho việc chào bán, giao dịch và thanh toán lãi, gốc trái phiếu.</w:t>
      </w:r>
    </w:p>
    <w:p w14:paraId="6D3B174E"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2. Hồ sơ chào bán trái phiếu bao gồm các tài liệu cơ bản sau:</w:t>
      </w:r>
    </w:p>
    <w:p w14:paraId="0EFA03F9"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a) Phương án phát hành trái phiếu theo quy định tại khoản 1 Điều 13 Nghị định này;</w:t>
      </w:r>
    </w:p>
    <w:p w14:paraId="28772C05"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b) Tài liệu chứng minh việc đáp ứng đầy đủ các điều kiện chào bán trái phiếu quy định tại Điều 9 và Điều 10 Nghị định này;</w:t>
      </w:r>
    </w:p>
    <w:p w14:paraId="7EE07702"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c) Tài liệu công bố thông tin về đợt chào bán trái phiếu theo quy định tại Nghị định này và hướng dẫn của Bộ Tài chính;</w:t>
      </w:r>
    </w:p>
    <w:p w14:paraId="0442749A"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d) Hợp đồng ký kết giữa doanh nghiệp phát hành với các tổ chức cung cấp dịch vụ liên quan đến đợt chào bán trái phiếu, bao gồm:</w:t>
      </w:r>
    </w:p>
    <w:p w14:paraId="047FE894"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Hợp đồng ký kết với tổ chức tư vấn về hồ sơ chào bán trái phiếu;</w:t>
      </w:r>
    </w:p>
    <w:p w14:paraId="3A0A24D2" w14:textId="77777777" w:rsidR="00887C24" w:rsidRPr="00887C24" w:rsidRDefault="00887C24" w:rsidP="00887C24">
      <w:pPr>
        <w:pStyle w:val="NormalWeb"/>
        <w:shd w:val="clear" w:color="auto" w:fill="FFFFFF"/>
        <w:spacing w:before="0" w:beforeAutospacing="0" w:after="0" w:afterAutospacing="0" w:line="360" w:lineRule="auto"/>
        <w:rPr>
          <w:color w:val="000000"/>
          <w:sz w:val="26"/>
          <w:szCs w:val="26"/>
        </w:rPr>
      </w:pPr>
      <w:r w:rsidRPr="00887C24">
        <w:rPr>
          <w:color w:val="000000"/>
          <w:sz w:val="26"/>
          <w:szCs w:val="26"/>
        </w:rPr>
        <w:lastRenderedPageBreak/>
        <w:t>- Hợp đồng ký kết với tổ chức đấu thầu, bảo lãnh, đại lý phát hành trái phiếu phù hợp với phương thức phát hành trái phiếu quy định tại </w:t>
      </w:r>
      <w:bookmarkStart w:id="110" w:name="tc_6"/>
      <w:r w:rsidRPr="00887C24">
        <w:rPr>
          <w:color w:val="0000FF"/>
          <w:sz w:val="26"/>
          <w:szCs w:val="26"/>
        </w:rPr>
        <w:t>Điều 14 Nghị định này</w:t>
      </w:r>
      <w:bookmarkEnd w:id="110"/>
      <w:r w:rsidRPr="00887C24">
        <w:rPr>
          <w:color w:val="000000"/>
          <w:sz w:val="26"/>
          <w:szCs w:val="26"/>
        </w:rPr>
        <w:t>, ngoại trừ trường hợp tổ chức tín dụng bán trực tiếp cho nhà đầu tư mua trái phiếu;</w:t>
      </w:r>
    </w:p>
    <w:p w14:paraId="323368D4" w14:textId="77777777" w:rsidR="00887C24" w:rsidRPr="00887C24" w:rsidRDefault="00887C24" w:rsidP="00887C24">
      <w:pPr>
        <w:pStyle w:val="NormalWeb"/>
        <w:shd w:val="clear" w:color="auto" w:fill="FFFFFF"/>
        <w:spacing w:before="0" w:beforeAutospacing="0" w:after="0" w:afterAutospacing="0" w:line="360" w:lineRule="auto"/>
        <w:rPr>
          <w:color w:val="000000"/>
          <w:sz w:val="26"/>
          <w:szCs w:val="26"/>
        </w:rPr>
      </w:pPr>
      <w:r w:rsidRPr="00887C24">
        <w:rPr>
          <w:color w:val="000000"/>
          <w:sz w:val="26"/>
          <w:szCs w:val="26"/>
        </w:rPr>
        <w:t>- Hợp đồng ký kết với đại diện người sở hữu trái phiếu theo quy định của pháp luật chứng khoán (nếu có) để giám sát việc thực hiện các cam kết của doanh nghiệp phát hành. Trường hợp chào bán trái phiếu cho nhà đầu tư chứng khoán chuyên nghiệp là cá nhân, hồ sơ chào bán trái phiếu phải bao gồm hợp đồng ký kết với Đại diện người sở hữu trái phiếu theo quy định tại </w:t>
      </w:r>
      <w:r w:rsidRPr="00887C24">
        <w:rPr>
          <w:color w:val="0000FF"/>
          <w:sz w:val="26"/>
          <w:szCs w:val="26"/>
        </w:rPr>
        <w:t>khoản 7 Điều 14 Nghị định này</w:t>
      </w:r>
      <w:r w:rsidRPr="00887C24">
        <w:rPr>
          <w:color w:val="000000"/>
          <w:sz w:val="26"/>
          <w:szCs w:val="26"/>
        </w:rPr>
        <w:t> và quy định của pháp luật chứng khoán;</w:t>
      </w:r>
    </w:p>
    <w:p w14:paraId="79494D00"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Hợp đồng ký kết với đại lý quản lý tài sản bảo đảm đối với trái phiếu có bảo đảm (nếu có);</w:t>
      </w:r>
    </w:p>
    <w:p w14:paraId="0C1BFDDA"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Hợp đồng ký kết với các tổ chức khác liên quan đến đợt chào bán trái phiếu (nếu có).</w:t>
      </w:r>
    </w:p>
    <w:p w14:paraId="28E6499F"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đ) Các báo cáo định kỳ về tình hình sử dụng số tiền thu được từ việc phát hành trái phiếu đối với trái phiếu còn dư nợ theo quy định tại điểm c khoản 2 Điều 21 Nghị định này.</w:t>
      </w:r>
    </w:p>
    <w:p w14:paraId="25A31FCC" w14:textId="1AD2DEF1" w:rsidR="00887C24" w:rsidRDefault="00887C24" w:rsidP="00887C24">
      <w:pPr>
        <w:pStyle w:val="NormalWeb"/>
        <w:shd w:val="clear" w:color="auto" w:fill="FFFFFF"/>
        <w:spacing w:before="0" w:beforeAutospacing="0" w:after="0" w:afterAutospacing="0" w:line="360" w:lineRule="auto"/>
        <w:rPr>
          <w:color w:val="000000"/>
          <w:sz w:val="26"/>
          <w:szCs w:val="26"/>
        </w:rPr>
      </w:pPr>
      <w:bookmarkStart w:id="111" w:name="diem_e_2_9"/>
      <w:r w:rsidRPr="00887C24">
        <w:rPr>
          <w:color w:val="000000"/>
          <w:sz w:val="26"/>
          <w:szCs w:val="26"/>
          <w:shd w:val="clear" w:color="auto" w:fill="FFFF96"/>
        </w:rPr>
        <w:t>e) Kết quả xếp hạng tín nhiệm đối với doanh nghiệp phát hành trái phiếu nếu doanh nghiệp phát hành thuộc các trường hợp phải xếp hạng tín nhiệm và thời điểm áp dụng theo quy định tại</w:t>
      </w:r>
      <w:bookmarkEnd w:id="111"/>
      <w:r w:rsidRPr="00887C24">
        <w:rPr>
          <w:color w:val="000000"/>
          <w:sz w:val="26"/>
          <w:szCs w:val="26"/>
        </w:rPr>
        <w:t> </w:t>
      </w:r>
      <w:bookmarkStart w:id="112" w:name="dc_14"/>
      <w:r w:rsidRPr="00887C24">
        <w:rPr>
          <w:color w:val="000000"/>
          <w:sz w:val="26"/>
          <w:szCs w:val="26"/>
        </w:rPr>
        <w:t>khoản 2 Điều 19 và khoản 3 Điều 310 Nghị định số 155/2020/NĐ-CP</w:t>
      </w:r>
      <w:bookmarkEnd w:id="112"/>
      <w:r w:rsidRPr="00887C24">
        <w:rPr>
          <w:color w:val="000000"/>
          <w:sz w:val="26"/>
          <w:szCs w:val="26"/>
        </w:rPr>
        <w:t>.</w:t>
      </w:r>
    </w:p>
    <w:p w14:paraId="66E4FA6D" w14:textId="77777777" w:rsidR="00E74407" w:rsidRPr="00E74407" w:rsidRDefault="00E74407" w:rsidP="00E74407">
      <w:pPr>
        <w:widowControl/>
        <w:shd w:val="clear" w:color="auto" w:fill="FFFFFF"/>
        <w:spacing w:before="120" w:after="120" w:line="234" w:lineRule="atLeast"/>
        <w:rPr>
          <w:rFonts w:ascii="Arial" w:eastAsia="Times New Roman" w:hAnsi="Arial" w:cs="Arial"/>
          <w:color w:val="FF0000"/>
          <w:sz w:val="18"/>
          <w:szCs w:val="18"/>
          <w:lang w:eastAsia="en-US"/>
        </w:rPr>
      </w:pPr>
      <w:r w:rsidRPr="00E74407">
        <w:rPr>
          <w:rFonts w:ascii="Arial" w:eastAsia="Times New Roman" w:hAnsi="Arial" w:cs="Arial"/>
          <w:color w:val="FF0000"/>
          <w:sz w:val="20"/>
          <w:szCs w:val="20"/>
          <w:lang w:val="sv-SE" w:eastAsia="en-US"/>
        </w:rPr>
        <w:t>2. Tổ chức phát hành hoặc trái phiếu đăng ký chào bán phải được xếp hạng tín nhiệm bởi tổ chức xếp hạng tín nhiệm được Bộ Tài chính cấp Giấy chứng nhận đủ điều kiện kinh doanh trong các trường hợp sau:</w:t>
      </w:r>
    </w:p>
    <w:p w14:paraId="7968100B" w14:textId="77777777" w:rsidR="00E74407" w:rsidRPr="00E74407" w:rsidRDefault="00E74407" w:rsidP="00E74407">
      <w:pPr>
        <w:widowControl/>
        <w:shd w:val="clear" w:color="auto" w:fill="FFFFFF"/>
        <w:spacing w:before="120" w:after="120" w:line="234" w:lineRule="atLeast"/>
        <w:rPr>
          <w:rFonts w:ascii="Arial" w:eastAsia="Times New Roman" w:hAnsi="Arial" w:cs="Arial"/>
          <w:color w:val="FF0000"/>
          <w:sz w:val="18"/>
          <w:szCs w:val="18"/>
          <w:lang w:eastAsia="en-US"/>
        </w:rPr>
      </w:pPr>
      <w:r w:rsidRPr="00E74407">
        <w:rPr>
          <w:rFonts w:ascii="Arial" w:eastAsia="Times New Roman" w:hAnsi="Arial" w:cs="Arial"/>
          <w:color w:val="FF0000"/>
          <w:sz w:val="20"/>
          <w:szCs w:val="20"/>
          <w:lang w:val="sv-SE" w:eastAsia="en-US"/>
        </w:rPr>
        <w:t>a) Tổng giá trị trái phiếu theo mệnh giá huy động trong mỗi 12 tháng lớn hơn 500 tỷ đồng và lớn hơn 50% vốn chủ sở hữu căn cứ trên báo cáo tài chính kỳ gần nhất trong các báo cáo sau: báo cáo tài chính năm gần nhất được kiểm toán hoặc báo cáo tài chính bán niên gần nhất được soát xét (trường hợp tổ chức phát hành là đối tượng phải công bố báo cáo tài chính bán niên được soát xét) bởi tổ chức kiểm toán được chấp thuận; hoặc</w:t>
      </w:r>
    </w:p>
    <w:p w14:paraId="26BF911A" w14:textId="4C73B30F" w:rsidR="00E74407" w:rsidRPr="00E74407" w:rsidRDefault="00E74407" w:rsidP="00E74407">
      <w:pPr>
        <w:widowControl/>
        <w:shd w:val="clear" w:color="auto" w:fill="FFFFFF"/>
        <w:spacing w:before="120" w:after="120" w:line="234" w:lineRule="atLeast"/>
        <w:rPr>
          <w:rFonts w:ascii="Arial" w:eastAsia="Times New Roman" w:hAnsi="Arial" w:cs="Arial"/>
          <w:color w:val="FF0000"/>
          <w:sz w:val="18"/>
          <w:szCs w:val="18"/>
          <w:lang w:eastAsia="en-US"/>
        </w:rPr>
      </w:pPr>
      <w:r w:rsidRPr="00E74407">
        <w:rPr>
          <w:rFonts w:ascii="Arial" w:eastAsia="Times New Roman" w:hAnsi="Arial" w:cs="Arial"/>
          <w:color w:val="FF0000"/>
          <w:sz w:val="20"/>
          <w:szCs w:val="20"/>
          <w:lang w:val="sv-SE" w:eastAsia="en-US"/>
        </w:rPr>
        <w:t>b) Tổng dư nợ trái phiếu theo mệnh giá tính đến thời điểm đăng ký chào bán lớn hơn 100% vốn chủ sở hữu căn cứ trên báo cáo tài chính kỳ gần nhất trong các báo cáo sau: báo cáo tài chính năm gần nhất được kiểm toán hoặc báo cáo tài chính bán niên gần nhất được soát xét (trường hợp tổ chức phát hành là đối tượng phải công bố báo cáo tài chính bán niên được soát xét) bởi tổ chức kiểm toán được chấp thuận.</w:t>
      </w:r>
    </w:p>
    <w:p w14:paraId="7E079013"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g) Quyết định phê duyệt, chấp thuận phương án phát hành trái phiếu;</w:t>
      </w:r>
    </w:p>
    <w:p w14:paraId="032F273C"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h) Văn bản chấp thuận của cơ quan quản lý nhà nước có thẩm quyền theo quy định của pháp luật chuyên ngành (nếu có);</w:t>
      </w:r>
    </w:p>
    <w:p w14:paraId="4300E5DD"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xml:space="preserve">i) Văn bản xác nhận của ngân hàng thương mại, chi nhánh ngân hàng nước ngoài về việc doanh nghiệp mở tài khoản để nhận tiền mua trái phiếu không chuyển đổi không kèm chứng quyền hoặc mở tài khoản phong tỏa để nhận tiền mua trái phiếu chuyển đổi, trái phiếu kèm chứng quyền của đợt chào bán. Trường hợp doanh nghiệp phát hành là ngân </w:t>
      </w:r>
      <w:r w:rsidRPr="00887C24">
        <w:rPr>
          <w:color w:val="000000"/>
          <w:sz w:val="26"/>
          <w:szCs w:val="26"/>
        </w:rPr>
        <w:lastRenderedPageBreak/>
        <w:t>hàng thương mại, phải có văn bản tự xác nhận của ngân hàng đó về việc đã nhận đủ tiền thu từ phát hành trái phiếu;</w:t>
      </w:r>
    </w:p>
    <w:p w14:paraId="147F2A8E"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k) Đối với chào bán trái phiếu chuyển đổi, trái phiếu kèm chứng quyền của công ty đại chúng, công ty chứng khoán, công ty quản lý quỹ đầu tư chứng khoán, ngoài các tài liệu quy định tại điểm a, điểm b, điểm c, điểm d, điểm đ, điểm e, điểm g, điểm h và điểm i khoản này hồ sơ chào bán trái phiếu còn bao gồm:</w:t>
      </w:r>
    </w:p>
    <w:p w14:paraId="6D9036D7" w14:textId="77777777" w:rsidR="00887C24" w:rsidRPr="00887C24" w:rsidRDefault="00887C24" w:rsidP="00887C24">
      <w:pPr>
        <w:pStyle w:val="NormalWeb"/>
        <w:shd w:val="clear" w:color="auto" w:fill="FFFFFF"/>
        <w:spacing w:before="0" w:beforeAutospacing="0" w:after="0" w:afterAutospacing="0" w:line="360" w:lineRule="auto"/>
        <w:rPr>
          <w:color w:val="000000"/>
          <w:sz w:val="26"/>
          <w:szCs w:val="26"/>
        </w:rPr>
      </w:pPr>
      <w:r w:rsidRPr="00887C24">
        <w:rPr>
          <w:color w:val="000000"/>
          <w:sz w:val="26"/>
          <w:szCs w:val="26"/>
        </w:rPr>
        <w:t>- Giấy đăng ký chào bán theo mẫu tại </w:t>
      </w:r>
      <w:bookmarkStart w:id="113" w:name="bieumau_pl_1_nd_153_2020_cp"/>
      <w:r w:rsidRPr="00887C24">
        <w:rPr>
          <w:color w:val="000000"/>
          <w:sz w:val="26"/>
          <w:szCs w:val="26"/>
        </w:rPr>
        <w:t>Phụ lục I</w:t>
      </w:r>
      <w:bookmarkEnd w:id="113"/>
      <w:r w:rsidRPr="00887C24">
        <w:rPr>
          <w:color w:val="000000"/>
          <w:sz w:val="26"/>
          <w:szCs w:val="26"/>
        </w:rPr>
        <w:t> ban hành kèm theo Nghị định này.</w:t>
      </w:r>
    </w:p>
    <w:p w14:paraId="5094CB38"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Bản sao Quyết định của Đại hội đồng cổ đông/Hội đồng quản trị phê duyệt hồ sơ chào bán trái phiếu.</w:t>
      </w:r>
    </w:p>
    <w:p w14:paraId="7744F995" w14:textId="77777777" w:rsidR="00887C24" w:rsidRPr="00887C24" w:rsidRDefault="00887C24" w:rsidP="00887C24">
      <w:pPr>
        <w:pStyle w:val="NormalWeb"/>
        <w:shd w:val="clear" w:color="auto" w:fill="FFFFFF"/>
        <w:spacing w:before="0" w:beforeAutospacing="0" w:after="0" w:afterAutospacing="0" w:line="360" w:lineRule="auto"/>
        <w:rPr>
          <w:color w:val="000000"/>
          <w:sz w:val="26"/>
          <w:szCs w:val="26"/>
        </w:rPr>
      </w:pPr>
      <w:r w:rsidRPr="00887C24">
        <w:rPr>
          <w:color w:val="000000"/>
          <w:sz w:val="26"/>
          <w:szCs w:val="26"/>
        </w:rPr>
        <w:t>- Cam kết của doanh nghiệp về việc không vi phạm quy định về sở hữu chéo theo quy định của </w:t>
      </w:r>
      <w:bookmarkStart w:id="114" w:name="tvpllink_vschxswiyw_1"/>
      <w:r w:rsidRPr="00887C24">
        <w:rPr>
          <w:color w:val="000000"/>
          <w:sz w:val="26"/>
          <w:szCs w:val="26"/>
        </w:rPr>
        <w:fldChar w:fldCharType="begin"/>
      </w:r>
      <w:r w:rsidRPr="00887C24">
        <w:rPr>
          <w:color w:val="000000"/>
          <w:sz w:val="26"/>
          <w:szCs w:val="26"/>
        </w:rPr>
        <w:instrText xml:space="preserve"> HYPERLINK "https://thuvienphapluat.vn/van-ban/Doanh-nghiep/Luat-Doanh-nghiep-so-59-2020-QH14-427301.aspx" \t "_blank" </w:instrText>
      </w:r>
      <w:r w:rsidRPr="00887C24">
        <w:rPr>
          <w:color w:val="000000"/>
          <w:sz w:val="26"/>
          <w:szCs w:val="26"/>
        </w:rPr>
        <w:fldChar w:fldCharType="separate"/>
      </w:r>
      <w:r w:rsidRPr="00887C24">
        <w:rPr>
          <w:rStyle w:val="Hyperlink"/>
          <w:color w:val="0E70C3"/>
          <w:sz w:val="26"/>
          <w:szCs w:val="26"/>
        </w:rPr>
        <w:t>Luật Doanh nghiệp</w:t>
      </w:r>
      <w:r w:rsidRPr="00887C24">
        <w:rPr>
          <w:color w:val="000000"/>
          <w:sz w:val="26"/>
          <w:szCs w:val="26"/>
        </w:rPr>
        <w:fldChar w:fldCharType="end"/>
      </w:r>
      <w:bookmarkEnd w:id="114"/>
      <w:r w:rsidRPr="00887C24">
        <w:rPr>
          <w:color w:val="000000"/>
          <w:sz w:val="26"/>
          <w:szCs w:val="26"/>
        </w:rPr>
        <w:t> tại thời điểm chuyển đổi trái phiếu thành cổ phiếu và thời điểm thực hiện quyền của chứng quyền.</w:t>
      </w:r>
    </w:p>
    <w:p w14:paraId="2C27CBF5"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xml:space="preserve">l) Đối với trái phiếu </w:t>
      </w:r>
      <w:r w:rsidRPr="00FC0AD2">
        <w:rPr>
          <w:color w:val="000000"/>
          <w:sz w:val="26"/>
          <w:szCs w:val="26"/>
          <w:highlight w:val="yellow"/>
        </w:rPr>
        <w:t>có bảo đảm</w:t>
      </w:r>
      <w:r w:rsidRPr="00887C24">
        <w:rPr>
          <w:color w:val="000000"/>
          <w:sz w:val="26"/>
          <w:szCs w:val="26"/>
        </w:rPr>
        <w:t xml:space="preserve">, ngoài các tài liệu quy định tại điểm a, điểm b, điểm c, điểm d, điểm đ, điểm e, điểm g, điểm h, điểm i và điểm k khoản này, hồ sơ chào bán trái phiếu phải bao gồm </w:t>
      </w:r>
      <w:r w:rsidRPr="00FC0AD2">
        <w:rPr>
          <w:color w:val="000000"/>
          <w:sz w:val="26"/>
          <w:szCs w:val="26"/>
          <w:highlight w:val="yellow"/>
        </w:rPr>
        <w:t>tài liệu về tình trạng pháp lý của tài sản bảo đảm, tài liệu định giá tài sản bảo đảm bởi tổ chức có chức năng thẩm định giá và tài liệu về việc đăng ký biện pháp bảo đảm theo quy định của pháp luật về đăng ký biện pháp bảo đảm</w:t>
      </w:r>
      <w:r w:rsidRPr="00887C24">
        <w:rPr>
          <w:color w:val="000000"/>
          <w:sz w:val="26"/>
          <w:szCs w:val="26"/>
        </w:rPr>
        <w:t>, tài liệu, thông tin về thứ tự thanh toán của nhà đầu tư nắm giữ trái phiếu khi xử lý tài sản bảo đảm để thanh toán nợ.</w:t>
      </w:r>
    </w:p>
    <w:p w14:paraId="0DC82F2D" w14:textId="43EDDBEA" w:rsidR="00887C24" w:rsidRDefault="00887C24" w:rsidP="00887C24">
      <w:pPr>
        <w:pStyle w:val="NormalWeb"/>
        <w:shd w:val="clear" w:color="auto" w:fill="FFFFFF"/>
        <w:spacing w:before="0" w:beforeAutospacing="0" w:after="0" w:afterAutospacing="0" w:line="360" w:lineRule="auto"/>
        <w:rPr>
          <w:color w:val="000000"/>
          <w:sz w:val="26"/>
          <w:szCs w:val="26"/>
        </w:rPr>
      </w:pPr>
      <w:r w:rsidRPr="00887C24">
        <w:rPr>
          <w:color w:val="000000"/>
          <w:sz w:val="26"/>
          <w:szCs w:val="26"/>
        </w:rPr>
        <w:t>m) Văn bản xác nhận của nhà đầu tư mua trái phiếu theo quy định tại </w:t>
      </w:r>
      <w:r w:rsidRPr="00887C24">
        <w:rPr>
          <w:color w:val="0000FF"/>
          <w:sz w:val="26"/>
          <w:szCs w:val="26"/>
        </w:rPr>
        <w:t>điểm d khoản 2 Điều 8 Nghị định này</w:t>
      </w:r>
      <w:r w:rsidRPr="00887C24">
        <w:rPr>
          <w:color w:val="000000"/>
          <w:sz w:val="26"/>
          <w:szCs w:val="26"/>
        </w:rPr>
        <w:t>.</w:t>
      </w:r>
    </w:p>
    <w:p w14:paraId="171A8384" w14:textId="3633B2D8" w:rsidR="00FC0AD2" w:rsidRPr="00FC0AD2" w:rsidRDefault="00FC0AD2" w:rsidP="00887C24">
      <w:pPr>
        <w:pStyle w:val="NormalWeb"/>
        <w:shd w:val="clear" w:color="auto" w:fill="FFFFFF"/>
        <w:spacing w:before="0" w:beforeAutospacing="0" w:after="0" w:afterAutospacing="0" w:line="360" w:lineRule="auto"/>
        <w:rPr>
          <w:color w:val="FF0000"/>
          <w:sz w:val="26"/>
          <w:szCs w:val="26"/>
        </w:rPr>
      </w:pPr>
      <w:r w:rsidRPr="00FC0AD2">
        <w:rPr>
          <w:rFonts w:ascii="Arial" w:hAnsi="Arial" w:cs="Arial"/>
          <w:color w:val="FF0000"/>
          <w:sz w:val="18"/>
          <w:szCs w:val="18"/>
          <w:shd w:val="clear" w:color="auto" w:fill="FFFFFF"/>
        </w:rPr>
        <w:t>d) Trước khi mua trái phiếu (cả trên thị trường sơ cấp và thứ cấp), nhà đầu tư phải ký văn bản xác nhận đã thực hiện các quy định tại điểm a, điểm b, điểm c khoản này và tự chịu trách nhiệm đối với quyết định mua trái phiếu của mình sau khi ký văn bản xác nhận này. Văn bản xác nhận thực hiện theo mẫu quy định tại Phụ lục V ban hành kèm theo Nghị định này và phải được lưu trữ tại hồ sơ chào bán khi phát hành trái phiếu hoặc tại công ty chứng khoán nơi nhà đầu tư thực hiện giao dịch trái phiếu theo quy định của pháp luật.</w:t>
      </w:r>
    </w:p>
    <w:p w14:paraId="53C69B87"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n) Văn bản của tổ chức đấu thầu, bảo lãnh, đại lý phát hành trái phiếu xác nhận tiền thu được từ chào bán trái phiếu đã được chuyển vào tài khoản nhận tiền mua trái phiếu của doanh nghiệp phát hành. Trường hợp doanh nghiệp phát hành là ngân hàng thương mại, phải có văn bản tự xác nhận của ngân hàng đó về việc đã nhận đủ tiền thu từ phát hành trái phiếu.</w:t>
      </w:r>
    </w:p>
    <w:p w14:paraId="05495D24"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o) Các văn bản khác liên quan đến đợt chào bán trái phiếu (nếu có).</w:t>
      </w:r>
    </w:p>
    <w:p w14:paraId="794FDFA6"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lastRenderedPageBreak/>
        <w:t xml:space="preserve">4. Báo cáo tài chính năm trước liền kề của năm phát hành trong hồ sơ chào bán trái phiếu phải được </w:t>
      </w:r>
      <w:r w:rsidRPr="00FC0AD2">
        <w:rPr>
          <w:color w:val="000000"/>
          <w:sz w:val="26"/>
          <w:szCs w:val="26"/>
          <w:highlight w:val="yellow"/>
        </w:rPr>
        <w:t>kiểm toán bởi tổ chức kiểm toán đủ điều kiện</w:t>
      </w:r>
      <w:r w:rsidRPr="00887C24">
        <w:rPr>
          <w:color w:val="000000"/>
          <w:sz w:val="26"/>
          <w:szCs w:val="26"/>
        </w:rPr>
        <w:t>. Ý kiến kiểm toán đối với báo cáo tài chính là ý kiến chấp nhận toàn phần; trường hợp ý kiến kiểm toán là ý kiến ngoại trừ thì khoản ngoại trừ không ảnh hưởng đến điều kiện chào bán; doanh nghiệp phát hành phải có tài liệu giải thích hợp lý và có xác nhận của tổ chức kiểm toán về ảnh hưởng của việc ngoại trừ.</w:t>
      </w:r>
    </w:p>
    <w:p w14:paraId="0843DB6B"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 xml:space="preserve">a) Trường hợp doanh nghiệp chào bán trái phiếu trong vòng </w:t>
      </w:r>
      <w:r w:rsidRPr="00FC0AD2">
        <w:rPr>
          <w:color w:val="000000"/>
          <w:sz w:val="26"/>
          <w:szCs w:val="26"/>
          <w:highlight w:val="yellow"/>
        </w:rPr>
        <w:t>90 ngày</w:t>
      </w:r>
      <w:r w:rsidRPr="00887C24">
        <w:rPr>
          <w:color w:val="000000"/>
          <w:sz w:val="26"/>
          <w:szCs w:val="26"/>
        </w:rPr>
        <w:t xml:space="preserve"> kể từ ngày kết thúc kỳ kế toán năm mà chưa có báo cáo tài chính được kiểm toán năm trước liền kề của năm phát hành, hoặc chưa có báo cáo tài chính hợp nhất được kiểm toán năm trước liền kề của năm phát hành, doanh nghiệp sử dụng báo cáo tài chính bán niên và báo cáo tài chính quý 4 của năm liền kề trước năm phát hành/báo cáo tài chính tháng gần nhất của năm phát hành. Các báo cáo tài chính phải được soát xét hoặc kiểm toán bởi tổ chức kiểm toán đủ điều kiện. Chậm nhất là 20 ngày kể từ ngày có kết quả kiểm toán báo cáo tài chính năm, doanh nghiệp phát hành phải công bố thông tin cho nhà đầu tư sở hữu trái phiếu.</w:t>
      </w:r>
    </w:p>
    <w:p w14:paraId="2E4551F1" w14:textId="77777777" w:rsidR="00887C24" w:rsidRPr="00887C24" w:rsidRDefault="00887C24" w:rsidP="00887C24">
      <w:pPr>
        <w:pStyle w:val="NormalWeb"/>
        <w:shd w:val="clear" w:color="auto" w:fill="FFFFFF"/>
        <w:spacing w:before="120" w:beforeAutospacing="0" w:after="120" w:afterAutospacing="0" w:line="360" w:lineRule="auto"/>
        <w:rPr>
          <w:color w:val="000000"/>
          <w:sz w:val="26"/>
          <w:szCs w:val="26"/>
        </w:rPr>
      </w:pPr>
      <w:r w:rsidRPr="00887C24">
        <w:rPr>
          <w:color w:val="000000"/>
          <w:sz w:val="26"/>
          <w:szCs w:val="26"/>
        </w:rPr>
        <w:t>b) Trường hợp doanh nghiệp phát hành trái phiếu là công ty mẹ, báo cáo tài chính trong hồ sơ chào bán trái phiếu gồm báo cáo tài chính hợp nhất được kiểm toán của năm trước liền kề năm phát hành và báo cáo tài chính được kiểm toán của công ty mẹ năm trước liền kề năm phát hành. Trường hợp trong vòng 90 ngày kể từ ngày kết thúc kỳ kế toán năm mà doanh nghiệp chưa có báo cáo tài chính được kiểm toán năm trước liền kề của năm phát hành, hoặc chưa có báo cáo tài chính hợp nhất được kiểm toán năm trước liền kề năm phát hành thì thực hiện theo quy định tại điểm a khoản này.</w:t>
      </w:r>
    </w:p>
    <w:p w14:paraId="3028CD21" w14:textId="1918F351"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p>
    <w:p w14:paraId="28523BB0"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bookmarkStart w:id="115" w:name="dieu_13"/>
      <w:r w:rsidRPr="004320F8">
        <w:rPr>
          <w:b/>
          <w:bCs/>
          <w:color w:val="000000"/>
          <w:sz w:val="26"/>
          <w:szCs w:val="26"/>
        </w:rPr>
        <w:t>Điều 13. Phương án phát hành trái phiếu và thẩm quyền phê duyệt, chấp thuận phương án phát hành</w:t>
      </w:r>
      <w:bookmarkEnd w:id="115"/>
    </w:p>
    <w:p w14:paraId="75C89A76"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bookmarkStart w:id="116" w:name="khoan_1_13"/>
      <w:r w:rsidRPr="004320F8">
        <w:rPr>
          <w:color w:val="000000"/>
          <w:sz w:val="26"/>
          <w:szCs w:val="26"/>
          <w:shd w:val="clear" w:color="auto" w:fill="FFFF96"/>
        </w:rPr>
        <w:t>1. Doanh nghiệp phát hành trái phiếu xây dựng phương án phát hành để trình cấp có thẩm quyền phê duyệt, chấp thuận và làm căn cứ để công bố thông tin. Phương án phát hành trái phiếu bao gồm các nội dung cơ bản sau:</w:t>
      </w:r>
      <w:bookmarkEnd w:id="116"/>
    </w:p>
    <w:p w14:paraId="2BDAA4AB"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a) Thông tin về doanh nghiệp phát hành (tên doanh nghiệp, loại hình doanh nghiệp, trụ sở, Giấy chứng nhận đăng ký doanh nghiệp hoặc Giấy chứng nhận đăng ký kinh doanh hoặc Giấy phép có giá trị tương đương theo quy định của pháp luật);</w:t>
      </w:r>
    </w:p>
    <w:p w14:paraId="7DEBFB13"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lastRenderedPageBreak/>
        <w:t>b) Mục đích phát hành trái phiếu bao gồm các thông tin cụ thể về chương trình, dự án đầu tư; các hoạt động sản xuất, kinh doanh cần bổ sung vốn; nguồn vốn được cơ cấu (cụ từng khoản nợ hoặc vốn chủ sở hữu được cơ cấu, giá trị của khoản nợ hoặc vốn chủ sở hữu được cơ cấu). Riêng đối với tổ chức tín dụng, công ty chứng khoán, mục đích phát hành trái phiếu bao gồm để tăng vốn cấp 2 hoặc để cho vay, đầu tư hoặc sử dụng cho mục đích theo quy định của pháp luật chuyên ngành.</w:t>
      </w:r>
    </w:p>
    <w:p w14:paraId="610C08A1" w14:textId="56B59EFD" w:rsid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c) Các tài liệu chứng minh đáp ứng từng điều kiện chào bán trái phiếu quy định tại </w:t>
      </w:r>
      <w:bookmarkStart w:id="117" w:name="tc_16"/>
      <w:r w:rsidRPr="004320F8">
        <w:rPr>
          <w:color w:val="0000FF"/>
          <w:sz w:val="26"/>
          <w:szCs w:val="26"/>
        </w:rPr>
        <w:t>Điều 9</w:t>
      </w:r>
      <w:bookmarkEnd w:id="117"/>
      <w:r w:rsidRPr="004320F8">
        <w:rPr>
          <w:color w:val="000000"/>
          <w:sz w:val="26"/>
          <w:szCs w:val="26"/>
        </w:rPr>
        <w:t> và </w:t>
      </w:r>
      <w:bookmarkStart w:id="118" w:name="tc_17"/>
      <w:r w:rsidRPr="004320F8">
        <w:rPr>
          <w:color w:val="0000FF"/>
          <w:sz w:val="26"/>
          <w:szCs w:val="26"/>
        </w:rPr>
        <w:t>Điều 10 Nghị định này</w:t>
      </w:r>
      <w:bookmarkEnd w:id="118"/>
      <w:r w:rsidRPr="004320F8">
        <w:rPr>
          <w:color w:val="000000"/>
          <w:sz w:val="26"/>
          <w:szCs w:val="26"/>
        </w:rPr>
        <w:t>; riêng đối với điều kiện quy định tại </w:t>
      </w:r>
      <w:bookmarkStart w:id="119" w:name="tc_18"/>
      <w:r w:rsidRPr="004320F8">
        <w:rPr>
          <w:color w:val="0000FF"/>
          <w:sz w:val="26"/>
          <w:szCs w:val="26"/>
        </w:rPr>
        <w:t>điểm b khoản 1 Điều 9 Nghị định này</w:t>
      </w:r>
      <w:bookmarkEnd w:id="119"/>
      <w:r w:rsidRPr="004320F8">
        <w:rPr>
          <w:color w:val="000000"/>
          <w:sz w:val="26"/>
          <w:szCs w:val="26"/>
        </w:rPr>
        <w:t>, doanh nghiệp phải có văn bản cam kết đáp ứng điều kiện này;</w:t>
      </w:r>
    </w:p>
    <w:p w14:paraId="1194DEE2" w14:textId="77777777" w:rsidR="00FC0AD2" w:rsidRPr="004320F8" w:rsidRDefault="00FC0AD2" w:rsidP="00FC0AD2">
      <w:pPr>
        <w:widowControl/>
        <w:shd w:val="clear" w:color="auto" w:fill="FFFFFF"/>
        <w:spacing w:before="120" w:after="120" w:line="360" w:lineRule="auto"/>
        <w:rPr>
          <w:rFonts w:eastAsia="Times New Roman" w:cs="Times New Roman"/>
          <w:color w:val="FF0000"/>
          <w:sz w:val="26"/>
          <w:szCs w:val="26"/>
          <w:lang w:eastAsia="en-US"/>
        </w:rPr>
      </w:pPr>
      <w:r w:rsidRPr="004320F8">
        <w:rPr>
          <w:rFonts w:eastAsia="Times New Roman" w:cs="Times New Roman"/>
          <w:color w:val="FF0000"/>
          <w:sz w:val="26"/>
          <w:szCs w:val="26"/>
          <w:lang w:eastAsia="en-US"/>
        </w:rPr>
        <w:t>a) Là công ty cổ phần hoặc công ty trách nhiệm hữu hạn được thành lập và hoạt động theo pháp luật Việt Nam.</w:t>
      </w:r>
    </w:p>
    <w:p w14:paraId="173738B4" w14:textId="77777777" w:rsidR="00FC0AD2" w:rsidRPr="004320F8" w:rsidRDefault="00FC0AD2" w:rsidP="00FC0AD2">
      <w:pPr>
        <w:widowControl/>
        <w:shd w:val="clear" w:color="auto" w:fill="FFFFFF"/>
        <w:spacing w:before="120" w:after="120" w:line="360" w:lineRule="auto"/>
        <w:rPr>
          <w:rFonts w:eastAsia="Times New Roman" w:cs="Times New Roman"/>
          <w:color w:val="FF0000"/>
          <w:sz w:val="26"/>
          <w:szCs w:val="26"/>
          <w:lang w:eastAsia="en-US"/>
        </w:rPr>
      </w:pPr>
      <w:r w:rsidRPr="004320F8">
        <w:rPr>
          <w:rFonts w:eastAsia="Times New Roman" w:cs="Times New Roman"/>
          <w:color w:val="FF0000"/>
          <w:sz w:val="26"/>
          <w:szCs w:val="26"/>
          <w:lang w:eastAsia="en-US"/>
        </w:rPr>
        <w:t>b) Thanh toán đủ cả gốc và lãi của trái phiếu đã phát hành hoặc thanh toán đủ các khoản nợ đến hạn trong 03 năm liên tiếp trước đợt phát hành trái phiếu (nếu có); trừ trường hợp chào bán trái phiếu cho chủ nợ là tổ chức tài chính được lựa chọn.</w:t>
      </w:r>
    </w:p>
    <w:p w14:paraId="3C871880" w14:textId="77777777" w:rsidR="00FC0AD2" w:rsidRPr="004320F8" w:rsidRDefault="00FC0AD2" w:rsidP="00FC0AD2">
      <w:pPr>
        <w:widowControl/>
        <w:shd w:val="clear" w:color="auto" w:fill="FFFFFF"/>
        <w:spacing w:before="120" w:after="120" w:line="360" w:lineRule="auto"/>
        <w:rPr>
          <w:rFonts w:eastAsia="Times New Roman" w:cs="Times New Roman"/>
          <w:color w:val="FF0000"/>
          <w:sz w:val="26"/>
          <w:szCs w:val="26"/>
          <w:lang w:eastAsia="en-US"/>
        </w:rPr>
      </w:pPr>
      <w:r w:rsidRPr="004320F8">
        <w:rPr>
          <w:rFonts w:eastAsia="Times New Roman" w:cs="Times New Roman"/>
          <w:color w:val="FF0000"/>
          <w:sz w:val="26"/>
          <w:szCs w:val="26"/>
          <w:lang w:eastAsia="en-US"/>
        </w:rPr>
        <w:t>c) Đáp ứng các tỷ lệ an toàn tài chính, tỷ lệ bảo đảm an toàn trong hoạt động theo quy định của pháp luật chuyên ngành.</w:t>
      </w:r>
    </w:p>
    <w:p w14:paraId="25C3A870" w14:textId="77777777" w:rsidR="00FC0AD2" w:rsidRPr="004320F8" w:rsidRDefault="00FC0AD2" w:rsidP="00FC0AD2">
      <w:pPr>
        <w:widowControl/>
        <w:shd w:val="clear" w:color="auto" w:fill="FFFFFF"/>
        <w:spacing w:line="360" w:lineRule="auto"/>
        <w:rPr>
          <w:rFonts w:eastAsia="Times New Roman" w:cs="Times New Roman"/>
          <w:color w:val="FF0000"/>
          <w:sz w:val="26"/>
          <w:szCs w:val="26"/>
          <w:lang w:eastAsia="en-US"/>
        </w:rPr>
      </w:pPr>
      <w:r w:rsidRPr="004320F8">
        <w:rPr>
          <w:rFonts w:eastAsia="Times New Roman" w:cs="Times New Roman"/>
          <w:color w:val="FF0000"/>
          <w:sz w:val="26"/>
          <w:szCs w:val="26"/>
          <w:lang w:eastAsia="en-US"/>
        </w:rPr>
        <w:t>d) Có phương án phát hành trái phiếu được phê duyệt và chấp thuận theo quy định tại Điều 13 Nghị định này.</w:t>
      </w:r>
    </w:p>
    <w:p w14:paraId="5E21A488" w14:textId="77777777" w:rsidR="00FC0AD2" w:rsidRPr="004320F8" w:rsidRDefault="00FC0AD2" w:rsidP="00FC0AD2">
      <w:pPr>
        <w:widowControl/>
        <w:shd w:val="clear" w:color="auto" w:fill="FFFFFF"/>
        <w:spacing w:before="120" w:after="120" w:line="360" w:lineRule="auto"/>
        <w:rPr>
          <w:rFonts w:eastAsia="Times New Roman" w:cs="Times New Roman"/>
          <w:color w:val="FF0000"/>
          <w:sz w:val="26"/>
          <w:szCs w:val="26"/>
          <w:lang w:eastAsia="en-US"/>
        </w:rPr>
      </w:pPr>
      <w:r w:rsidRPr="004320F8">
        <w:rPr>
          <w:rFonts w:eastAsia="Times New Roman" w:cs="Times New Roman"/>
          <w:color w:val="FF0000"/>
          <w:sz w:val="26"/>
          <w:szCs w:val="26"/>
          <w:lang w:eastAsia="en-US"/>
        </w:rPr>
        <w:t>đ) Có báo cáo tài chính năm trước liền kề của năm phát hành được kiểm toán bởi tổ chức kiểm toán đủ điều kiện theo quy định tại Nghị định này.</w:t>
      </w:r>
    </w:p>
    <w:p w14:paraId="10A12854" w14:textId="4BB1D90F" w:rsidR="00FC0AD2" w:rsidRPr="00FC0AD2" w:rsidRDefault="00FC0AD2" w:rsidP="00FC0AD2">
      <w:pPr>
        <w:pStyle w:val="NormalWeb"/>
        <w:shd w:val="clear" w:color="auto" w:fill="FFFFFF"/>
        <w:spacing w:before="0" w:beforeAutospacing="0" w:after="0" w:afterAutospacing="0" w:line="360" w:lineRule="auto"/>
        <w:rPr>
          <w:color w:val="FF0000"/>
          <w:sz w:val="26"/>
          <w:szCs w:val="26"/>
        </w:rPr>
      </w:pPr>
      <w:r w:rsidRPr="004320F8">
        <w:rPr>
          <w:color w:val="FF0000"/>
          <w:sz w:val="26"/>
          <w:szCs w:val="26"/>
        </w:rPr>
        <w:t>e) Đối tượng tham gia đợt chào bán theo quy định tại điểm a khoản 1 Điều 8 Nghị định này.</w:t>
      </w:r>
    </w:p>
    <w:p w14:paraId="25B3E4BA"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xml:space="preserve">d) </w:t>
      </w:r>
      <w:commentRangeStart w:id="120"/>
      <w:r w:rsidRPr="00FC0AD2">
        <w:rPr>
          <w:color w:val="000000"/>
          <w:sz w:val="26"/>
          <w:szCs w:val="26"/>
          <w:highlight w:val="yellow"/>
        </w:rPr>
        <w:t>Điều kiện, điều khoản</w:t>
      </w:r>
      <w:commentRangeEnd w:id="120"/>
      <w:r w:rsidR="00FC0AD2">
        <w:rPr>
          <w:rStyle w:val="CommentReference"/>
          <w:rFonts w:eastAsia="Tahoma" w:cs="Tahoma"/>
          <w:color w:val="000000"/>
          <w:lang w:eastAsia="vi-VN"/>
        </w:rPr>
        <w:commentReference w:id="120"/>
      </w:r>
      <w:r w:rsidRPr="004320F8">
        <w:rPr>
          <w:color w:val="000000"/>
          <w:sz w:val="26"/>
          <w:szCs w:val="26"/>
        </w:rPr>
        <w:t xml:space="preserve"> của trái phiếu dự kiến chào bán, đối với chào bán trái phiếu thành nhiều đợt phải dự kiến số lượng đợt chào bán, khối lượng chào bán của từng đợt và thời điểm chào bán của từng đợt;</w:t>
      </w:r>
    </w:p>
    <w:p w14:paraId="015A7E0E" w14:textId="77777777" w:rsidR="004320F8" w:rsidRPr="00FC0AD2" w:rsidRDefault="004320F8" w:rsidP="004320F8">
      <w:pPr>
        <w:pStyle w:val="NormalWeb"/>
        <w:shd w:val="clear" w:color="auto" w:fill="FFFFFF"/>
        <w:spacing w:before="120" w:beforeAutospacing="0" w:after="120" w:afterAutospacing="0" w:line="360" w:lineRule="auto"/>
        <w:rPr>
          <w:strike/>
          <w:color w:val="000000"/>
          <w:sz w:val="26"/>
          <w:szCs w:val="26"/>
        </w:rPr>
      </w:pPr>
      <w:r w:rsidRPr="00FC0AD2">
        <w:rPr>
          <w:strike/>
          <w:color w:val="000000"/>
          <w:sz w:val="26"/>
          <w:szCs w:val="26"/>
        </w:rPr>
        <w:t>đ) Phương án chuyển đổi trái phiếu thành cổ phiếu đối với trường hợp chào bán trái phiếu chuyển đổi (điều kiện, thời hạn, tỷ lệ hoặc phương pháp tính giá chuyển đổi, việc đáp ứng quy định về tỷ lệ sở hữu của nhà đầu tư nước ngoài theo quy định của pháp luật, các điều khoản khác);</w:t>
      </w:r>
    </w:p>
    <w:p w14:paraId="07A28155" w14:textId="77777777" w:rsidR="004320F8" w:rsidRPr="00FC0AD2" w:rsidRDefault="004320F8" w:rsidP="004320F8">
      <w:pPr>
        <w:pStyle w:val="NormalWeb"/>
        <w:shd w:val="clear" w:color="auto" w:fill="FFFFFF"/>
        <w:spacing w:before="120" w:beforeAutospacing="0" w:after="120" w:afterAutospacing="0" w:line="360" w:lineRule="auto"/>
        <w:rPr>
          <w:strike/>
          <w:color w:val="000000"/>
          <w:sz w:val="26"/>
          <w:szCs w:val="26"/>
        </w:rPr>
      </w:pPr>
      <w:r w:rsidRPr="00FC0AD2">
        <w:rPr>
          <w:strike/>
          <w:color w:val="000000"/>
          <w:sz w:val="26"/>
          <w:szCs w:val="26"/>
        </w:rPr>
        <w:lastRenderedPageBreak/>
        <w:t>e) Phương án thực hiện quyền của chứng quyền đối với trường hợp chào bán trái phiếu kèm chứng quyền (điều kiện thực hiện quyền, thời hạn, tỷ lệ, giá hoặc phương pháp tính giá, việc đáp ứng quy định về tỷ lệ sở hữu của nhà đầu tư nước ngoài theo quy định của pháp luật, các điều khoản khác);</w:t>
      </w:r>
    </w:p>
    <w:p w14:paraId="00484DBC"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xml:space="preserve">g) </w:t>
      </w:r>
      <w:r w:rsidRPr="00FC0AD2">
        <w:rPr>
          <w:color w:val="000000"/>
          <w:sz w:val="26"/>
          <w:szCs w:val="26"/>
          <w:highlight w:val="yellow"/>
        </w:rPr>
        <w:t>Điều kiện, điều khoản về việc mua lại trái phiếu trước hạn</w:t>
      </w:r>
      <w:r w:rsidRPr="004320F8">
        <w:rPr>
          <w:color w:val="000000"/>
          <w:sz w:val="26"/>
          <w:szCs w:val="26"/>
        </w:rPr>
        <w:t>, hoán đổi trái phiếu (nếu có);</w:t>
      </w:r>
    </w:p>
    <w:p w14:paraId="70DAD895"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xml:space="preserve">h) Một số chỉ tiêu tài chính của doanh nghiệp trong 03 năm liền kề trước năm phát hành và </w:t>
      </w:r>
      <w:r w:rsidRPr="00FC0AD2">
        <w:rPr>
          <w:color w:val="000000"/>
          <w:sz w:val="26"/>
          <w:szCs w:val="26"/>
          <w:highlight w:val="yellow"/>
        </w:rPr>
        <w:t>sự thay đổi sau khi phát hành (nếu có)</w:t>
      </w:r>
      <w:r w:rsidRPr="004320F8">
        <w:rPr>
          <w:color w:val="000000"/>
          <w:sz w:val="26"/>
          <w:szCs w:val="26"/>
        </w:rPr>
        <w:t>, bao gồm:</w:t>
      </w:r>
    </w:p>
    <w:p w14:paraId="16B3C5EE"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Vốn chủ sở hữu;</w:t>
      </w:r>
    </w:p>
    <w:p w14:paraId="09BCF409"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Hệ số nợ phải trả/vốn chủ sở hữu;</w:t>
      </w:r>
    </w:p>
    <w:p w14:paraId="30EAB611"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Dư nợ trái phiếu/vốn chủ sở hữu;</w:t>
      </w:r>
    </w:p>
    <w:p w14:paraId="375777E1"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Lỗ/lãi (trường hợp lỗ, nêu cụ thể lỗ trong năm tài chính và lỗ lũy kế);</w:t>
      </w:r>
    </w:p>
    <w:p w14:paraId="319EB414"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Tỷ suất lợi nhuận sau thuế trên vốn chủ sở hữu.</w:t>
      </w:r>
    </w:p>
    <w:p w14:paraId="306F25BA"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xml:space="preserve">i) </w:t>
      </w:r>
      <w:r w:rsidRPr="00FC0AD2">
        <w:rPr>
          <w:color w:val="000000"/>
          <w:sz w:val="26"/>
          <w:szCs w:val="26"/>
          <w:highlight w:val="yellow"/>
        </w:rPr>
        <w:t>Tình hình thanh toán lãi, gốc trái phiếu đã phát hành hoặc các khoản nợ đến hạn trong 03 năm liên tiếp trước đợt chào bán trái phiếu</w:t>
      </w:r>
      <w:r w:rsidRPr="004320F8">
        <w:rPr>
          <w:color w:val="000000"/>
          <w:sz w:val="26"/>
          <w:szCs w:val="26"/>
        </w:rPr>
        <w:t xml:space="preserve"> (nếu có);</w:t>
      </w:r>
    </w:p>
    <w:p w14:paraId="33072ED5"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k) Ý kiến kiểm toán đối với báo cáo tài chính hoặc ý kiến soát xét của kiểm toán đối với báo cáo tài chính;</w:t>
      </w:r>
    </w:p>
    <w:p w14:paraId="359C6830"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l) Phương thức phát hành trái phiếu;</w:t>
      </w:r>
    </w:p>
    <w:p w14:paraId="4C55C5DD"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m) Kế hoạch sử dụng nguồn vốn thu được từ phát hành trái phiếu;</w:t>
      </w:r>
    </w:p>
    <w:p w14:paraId="1194939E"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n) Kế hoạch bố trí nguồn và phương thức thanh toán lãi, gốc trái phiếu;</w:t>
      </w:r>
    </w:p>
    <w:p w14:paraId="0BEFD032"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o) Cam kết công bố thông tin của doanh nghiệp phát hành;</w:t>
      </w:r>
    </w:p>
    <w:p w14:paraId="0A12BFB2"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p) Các cam kết khác đối với nhà đầu tư mua trái phiếu (nếu có);</w:t>
      </w:r>
    </w:p>
    <w:p w14:paraId="0C50C59E"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q) Điều khoản về đăng ký, lưu ký trái phiếu;</w:t>
      </w:r>
    </w:p>
    <w:p w14:paraId="11B9E97C"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r) Điều khoản về giao dịch trái phiếu theo quy định tại Điều 0 Nghị định này;</w:t>
      </w:r>
    </w:p>
    <w:p w14:paraId="243EFE89"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s) Quyền lợi và trách nhiệm của nhà đầu tư mua trái phiếu;</w:t>
      </w:r>
    </w:p>
    <w:p w14:paraId="1FB781FF"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t) Quyền và trách nhiệm của doanh nghiệp phát hành;</w:t>
      </w:r>
    </w:p>
    <w:p w14:paraId="5E02DE44"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u) Trách nhiệm và nghĩa vụ của từng tổ chức, cá nhân cung cấp dịch vụ liên quan đến việc phát hành trái phiếu;</w:t>
      </w:r>
    </w:p>
    <w:p w14:paraId="2F15AD3F"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lastRenderedPageBreak/>
        <w:t>v) Tiêu chí lựa chọn nhà đầu tư chiến lược và danh sách nhà đầu tư chiến lược đối với phát hành trái phiếu chuyển đổi và phát hành trái phiếu kèm chứng quyền.</w:t>
      </w:r>
    </w:p>
    <w:p w14:paraId="6DA41BDB"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2. Thẩm quyền phê duyệt và chấp thuận phương án phát hành trái phiếu:</w:t>
      </w:r>
    </w:p>
    <w:p w14:paraId="4BCD95D2"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a) Đối với công ty cổ phần:</w:t>
      </w:r>
    </w:p>
    <w:p w14:paraId="28F97D78"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 xml:space="preserve">- Phương án chào bán trái phiếu chuyển đổi riêng lẻ và chào bán trái phiếu kèm chứng quyền riêng lẻ phải được </w:t>
      </w:r>
      <w:r w:rsidRPr="00FC0AD2">
        <w:rPr>
          <w:color w:val="000000"/>
          <w:sz w:val="26"/>
          <w:szCs w:val="26"/>
          <w:highlight w:val="yellow"/>
        </w:rPr>
        <w:t>Đại hội đồng cổ đông phê duyệt</w:t>
      </w:r>
      <w:r w:rsidRPr="004320F8">
        <w:rPr>
          <w:color w:val="000000"/>
          <w:sz w:val="26"/>
          <w:szCs w:val="26"/>
        </w:rPr>
        <w:t>. Việc biểu quyết thông qua Nghị quyết phê duyệt phương án phát hành thực hiện theo quy định tại </w:t>
      </w:r>
      <w:bookmarkStart w:id="121" w:name="tvpllink_vschxswiyw_2"/>
      <w:r w:rsidRPr="004320F8">
        <w:rPr>
          <w:color w:val="000000"/>
          <w:sz w:val="26"/>
          <w:szCs w:val="26"/>
        </w:rPr>
        <w:fldChar w:fldCharType="begin"/>
      </w:r>
      <w:r w:rsidRPr="004320F8">
        <w:rPr>
          <w:color w:val="000000"/>
          <w:sz w:val="26"/>
          <w:szCs w:val="26"/>
        </w:rPr>
        <w:instrText xml:space="preserve"> HYPERLINK "https://thuvienphapluat.vn/van-ban/Doanh-nghiep/Luat-Doanh-nghiep-so-59-2020-QH14-427301.aspx" \t "_blank" </w:instrText>
      </w:r>
      <w:r w:rsidRPr="004320F8">
        <w:rPr>
          <w:color w:val="000000"/>
          <w:sz w:val="26"/>
          <w:szCs w:val="26"/>
        </w:rPr>
        <w:fldChar w:fldCharType="separate"/>
      </w:r>
      <w:r w:rsidRPr="004320F8">
        <w:rPr>
          <w:rStyle w:val="Hyperlink"/>
          <w:color w:val="0E70C3"/>
          <w:sz w:val="26"/>
          <w:szCs w:val="26"/>
        </w:rPr>
        <w:t>Luật Doanh nghiệp</w:t>
      </w:r>
      <w:r w:rsidRPr="004320F8">
        <w:rPr>
          <w:color w:val="000000"/>
          <w:sz w:val="26"/>
          <w:szCs w:val="26"/>
        </w:rPr>
        <w:fldChar w:fldCharType="end"/>
      </w:r>
      <w:bookmarkEnd w:id="121"/>
      <w:r w:rsidRPr="004320F8">
        <w:rPr>
          <w:color w:val="000000"/>
          <w:sz w:val="26"/>
          <w:szCs w:val="26"/>
        </w:rPr>
        <w:t>.</w:t>
      </w:r>
    </w:p>
    <w:p w14:paraId="064F38D1"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 xml:space="preserve">- Phương án chào bán trái phiếu không chuyển đổi không kèm chứng quyền được cấp có thẩm quyền phê duyệt theo Điều lệ của công ty. Trường hợp Điều lệ của công ty không quy định khác, </w:t>
      </w:r>
      <w:r w:rsidRPr="00FC0AD2">
        <w:rPr>
          <w:color w:val="000000"/>
          <w:sz w:val="26"/>
          <w:szCs w:val="26"/>
          <w:highlight w:val="yellow"/>
        </w:rPr>
        <w:t>Hội đồng quản trị có quyền phê duyệt phương án phát hành trái phiếu nhưng phải báo cáo Đại hội đồng cổ đông tại cuộc họp gần nhất; báo cáo phải kèm theo tài liệu và hồ sơ chào bán trái phiếu</w:t>
      </w:r>
      <w:r w:rsidRPr="004320F8">
        <w:rPr>
          <w:color w:val="000000"/>
          <w:sz w:val="26"/>
          <w:szCs w:val="26"/>
        </w:rPr>
        <w:t>.</w:t>
      </w:r>
    </w:p>
    <w:p w14:paraId="284363B3"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b) Đối với công ty trách nhiệm hữu hạn, cấp có thẩm quyền phê duyệt phương án phát hành trái phiếu là Hội đồng thành viên hoặc Chủ tịch công ty hoặc chủ sở hữu công ty theo Điều lệ của công ty.</w:t>
      </w:r>
    </w:p>
    <w:p w14:paraId="3C547F3A"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c) Đối với doanh nghiệp nhà nước, ngoài thẩm quyền phê duyệt theo quy định tại điểm a và điểm b khoản này, phải tuân thủ quy định về giới hạn huy động vốn và thẩm quyền quyết định huy động vốn theo quy định của pháp luật về quản lý, sử dụng vốn Nhà nước đầu tư vào sản xuất, kinh doanh tại doanh nghiệp và pháp luật doanh nghiệp.</w:t>
      </w:r>
    </w:p>
    <w:p w14:paraId="10A1AC90"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d) Đối với doanh nghiệp thuộc ngành nghề kinh doanh có điều kiện, ngoài thẩm quyền phê duyệt phương án phát hành trái phiếu theo quy định tại điểm a, điểm b và điểm c khoản này, thẩm quyền chấp thuận phương án phát hành trái phiếu theo quy định của pháp luật chuyên ngành (nếu có).</w:t>
      </w:r>
    </w:p>
    <w:p w14:paraId="2565D7A5"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bookmarkStart w:id="122" w:name="dieu_14"/>
      <w:r w:rsidRPr="004320F8">
        <w:rPr>
          <w:b/>
          <w:bCs/>
          <w:color w:val="000000"/>
          <w:sz w:val="26"/>
          <w:szCs w:val="26"/>
          <w:shd w:val="clear" w:color="auto" w:fill="FFFF96"/>
        </w:rPr>
        <w:t>Điều 14. Phương thức phát hành trái phiếu và các tổ chức cung cấp dịch vụ</w:t>
      </w:r>
      <w:bookmarkEnd w:id="122"/>
    </w:p>
    <w:p w14:paraId="4F0EABC8"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1. Trái phiếu doanh nghiệp được phát hành theo các phương thức sau:</w:t>
      </w:r>
    </w:p>
    <w:p w14:paraId="00E10581"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a) Đấu thầu phát hành: là phương thức lựa chọn nhà đầu tư đủ điều kiện trúng thầu mua trái phiếu đáp ứng yêu cầu của doanh nghiệp phát hành.</w:t>
      </w:r>
    </w:p>
    <w:p w14:paraId="539CE447"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b) Bảo lãnh phát hành: là phương thức bán trái phiếu doanh nghiệp cho nhà đầu tư mua trái phiếu thông qua tổ chức bảo lãnh phát hành hoặc tổ hợp bảo lãnh phát hành.</w:t>
      </w:r>
    </w:p>
    <w:p w14:paraId="44EE5D66"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lastRenderedPageBreak/>
        <w:t xml:space="preserve">c) Đại lý phát hành: là phương thức doanh nghiệp phát hành </w:t>
      </w:r>
      <w:r w:rsidRPr="00FC0AD2">
        <w:rPr>
          <w:color w:val="000000"/>
          <w:sz w:val="26"/>
          <w:szCs w:val="26"/>
          <w:highlight w:val="yellow"/>
        </w:rPr>
        <w:t>ủy quyền cho một tổ chức khác thực hiện bán trái phiếu</w:t>
      </w:r>
      <w:r w:rsidRPr="004320F8">
        <w:rPr>
          <w:color w:val="000000"/>
          <w:sz w:val="26"/>
          <w:szCs w:val="26"/>
        </w:rPr>
        <w:t xml:space="preserve"> cho nhà đầu tư mua trái phiếu.</w:t>
      </w:r>
    </w:p>
    <w:p w14:paraId="0781DCB0"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d) Bán trực tiếp cho nhà đầu tư trái phiếu đối với doanh nghiệp phát hành là tổ chức tín dụng.</w:t>
      </w:r>
    </w:p>
    <w:p w14:paraId="1BFBFC1E"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2. Doanh nghiệp phát hành quyết định phương thức phát hành và công bố cho nhà đầu tư mua trái phiếu.</w:t>
      </w:r>
    </w:p>
    <w:p w14:paraId="2D03DCDF"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3. Tổ chức đấu thầu, bảo lãnh và đại lý phát hành trái phiếu doanh nghiệp gồm công ty chứng khoán, tổ chức tín dụng và các định chế tài chính được phép cung cấp dịch vụ đấu thầu, bảo lãnh và đại lý phát hành theo quy định của pháp luật.</w:t>
      </w:r>
    </w:p>
    <w:p w14:paraId="083D25EA" w14:textId="77777777" w:rsidR="004320F8" w:rsidRPr="004320F8" w:rsidRDefault="004320F8" w:rsidP="004320F8">
      <w:pPr>
        <w:pStyle w:val="NormalWeb"/>
        <w:shd w:val="clear" w:color="auto" w:fill="FFFFFF"/>
        <w:spacing w:before="0" w:beforeAutospacing="0" w:after="0" w:afterAutospacing="0" w:line="360" w:lineRule="auto"/>
        <w:rPr>
          <w:color w:val="000000"/>
          <w:sz w:val="26"/>
          <w:szCs w:val="26"/>
        </w:rPr>
      </w:pPr>
      <w:r w:rsidRPr="004320F8">
        <w:rPr>
          <w:color w:val="000000"/>
          <w:sz w:val="26"/>
          <w:szCs w:val="26"/>
        </w:rPr>
        <w:t>a) Tổ chức đấu thầu, bảo lãnh, đại lý phát hành và doanh nghiệp phát hành phải ký hợp đồng cung cấp dịch vụ nêu rõ quyền hạn, trách nhiệm của mỗi bên. Nội dung hợp đồng cung cấp dịch vụ bao gồm trách nhiệm của tổ chức đấu thầu, bảo lãnh, đại lý phát hành trong việc công bố đầy đủ, chính xác các thông tin cho nhà đầu tư theo phương án phát hành trái phiếu đã được phê duyệt và chỉ bán trái phiếu cho nhà đầu tư đủ điều kiện mua trái phiếu quy định tại </w:t>
      </w:r>
      <w:bookmarkStart w:id="123" w:name="tc_19"/>
      <w:r w:rsidRPr="004320F8">
        <w:rPr>
          <w:color w:val="0000FF"/>
          <w:sz w:val="26"/>
          <w:szCs w:val="26"/>
        </w:rPr>
        <w:t>khoản 1 Điều 8 Nghị định này</w:t>
      </w:r>
      <w:bookmarkEnd w:id="123"/>
      <w:r w:rsidRPr="004320F8">
        <w:rPr>
          <w:color w:val="000000"/>
          <w:sz w:val="26"/>
          <w:szCs w:val="26"/>
        </w:rPr>
        <w:t>.</w:t>
      </w:r>
    </w:p>
    <w:p w14:paraId="2CE43FC0" w14:textId="77777777" w:rsidR="004320F8" w:rsidRP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b) Trường hợp tổ chức đấu thầu, bảo lãnh, đại lý phát hành cam kết với nhà đầu tư về việc mua lại trái phiếu doanh nghiệp thì phải ký hợp đồng với nhà đầu tư (trong đó nêu rõ điều kiện, điều khoản về việc mua lại trái phiếu) và phải tuân thủ quy định của pháp luật chuyên ngành khi thực hiện các cam kết này.</w:t>
      </w:r>
    </w:p>
    <w:p w14:paraId="4B6E7600" w14:textId="1EC945F6" w:rsidR="004320F8" w:rsidRDefault="004320F8" w:rsidP="004320F8">
      <w:pPr>
        <w:pStyle w:val="NormalWeb"/>
        <w:shd w:val="clear" w:color="auto" w:fill="FFFFFF"/>
        <w:spacing w:before="120" w:beforeAutospacing="0" w:after="120" w:afterAutospacing="0" w:line="360" w:lineRule="auto"/>
        <w:rPr>
          <w:color w:val="000000"/>
          <w:sz w:val="26"/>
          <w:szCs w:val="26"/>
        </w:rPr>
      </w:pPr>
      <w:r w:rsidRPr="004320F8">
        <w:rPr>
          <w:color w:val="000000"/>
          <w:sz w:val="26"/>
          <w:szCs w:val="26"/>
        </w:rPr>
        <w:t>4. Tổ chức tư vấn về hồ sơ chào bán trái phiếu là công ty chứng khoán được phép cung cấp dịch vụ tư vấn hồ sơ chào bán chứng khoán theo quy định của pháp luật chứng khoán. Khi cung cấp dịch vụ, tổ chức tư vấn có trách nhiệm rà soát việc đáp ứng đầy đủ quy định về điều kiện chào bán và hồ sơ chào bán trái phiếu quy định tại Nghị định này và pháp luật chứng khoán, đồng thời chịu trách nhiệm về việc rà soát của mình.</w:t>
      </w:r>
    </w:p>
    <w:p w14:paraId="2A8DBF11" w14:textId="1AE7BAB5" w:rsidR="005C07C7" w:rsidRDefault="005C07C7" w:rsidP="004320F8">
      <w:pPr>
        <w:pStyle w:val="NormalWeb"/>
        <w:shd w:val="clear" w:color="auto" w:fill="FFFFFF"/>
        <w:spacing w:before="120" w:beforeAutospacing="0" w:after="120" w:afterAutospacing="0" w:line="360" w:lineRule="auto"/>
        <w:rPr>
          <w:color w:val="000000"/>
          <w:sz w:val="26"/>
          <w:szCs w:val="26"/>
        </w:rPr>
      </w:pPr>
    </w:p>
    <w:p w14:paraId="46F268D3" w14:textId="5706D296" w:rsidR="005C07C7" w:rsidRDefault="005C07C7" w:rsidP="004320F8">
      <w:pPr>
        <w:pStyle w:val="NormalWeb"/>
        <w:shd w:val="clear" w:color="auto" w:fill="FFFFFF"/>
        <w:spacing w:before="120" w:beforeAutospacing="0" w:after="120" w:afterAutospacing="0" w:line="360" w:lineRule="auto"/>
        <w:rPr>
          <w:color w:val="000000"/>
          <w:sz w:val="26"/>
          <w:szCs w:val="26"/>
        </w:rPr>
      </w:pPr>
      <w:r>
        <w:rPr>
          <w:color w:val="000000"/>
          <w:sz w:val="26"/>
          <w:szCs w:val="26"/>
        </w:rPr>
        <w:t>K19 Đ1 76/2025</w:t>
      </w:r>
    </w:p>
    <w:p w14:paraId="38F9A54B" w14:textId="493087D1" w:rsidR="005C07C7" w:rsidRPr="004320F8" w:rsidRDefault="005C07C7" w:rsidP="004320F8">
      <w:pPr>
        <w:pStyle w:val="NormalWeb"/>
        <w:shd w:val="clear" w:color="auto" w:fill="FFFFFF"/>
        <w:spacing w:before="120" w:beforeAutospacing="0" w:after="120" w:afterAutospacing="0" w:line="360" w:lineRule="auto"/>
        <w:rPr>
          <w:color w:val="000000"/>
          <w:sz w:val="26"/>
          <w:szCs w:val="26"/>
        </w:rPr>
      </w:pPr>
      <w:r>
        <w:rPr>
          <w:rFonts w:ascii="Arial" w:hAnsi="Arial" w:cs="Arial"/>
          <w:color w:val="000000"/>
          <w:sz w:val="18"/>
          <w:szCs w:val="18"/>
          <w:shd w:val="clear" w:color="auto" w:fill="FFFFFF"/>
        </w:rPr>
        <w:t>c1) Có nợ phải trả (bao gồm giá trị trái phiếu dự kiến phát hành) không vượt quá 05 lần vốn chủ sở hữu của tổ chức phát hành theo báo cáo tài chính năm liền kề trước năm phát hành được kiểm toán; trừ tổ chức phát hành là doanh nghiệp nhà nước, doanh nghiệp phát hành trái phiếu để thực hiện dự án bất động sản, tổ chức tín dụng, doanh nghiệp bảo hiểm, doanh nghiệp tái bảo hiểm, doanh nghiệp môi giới bảo hiểm, công ty chứng khoán, công ty quản lý quỹ đầu tư chứng khoán thực hiện theo quy định của pháp luật có liên quan;</w:t>
      </w:r>
    </w:p>
    <w:p w14:paraId="37EBA126" w14:textId="77777777" w:rsidR="004320F8" w:rsidRPr="004320F8" w:rsidRDefault="004320F8" w:rsidP="004320F8"/>
    <w:p w14:paraId="339DBDD6" w14:textId="77777777" w:rsidR="004320F8" w:rsidRDefault="004320F8">
      <w:pPr>
        <w:widowControl/>
        <w:spacing w:after="160" w:line="259" w:lineRule="auto"/>
        <w:rPr>
          <w:rFonts w:ascii="Calibri Light" w:eastAsia="Times New Roman" w:hAnsi="Calibri Light" w:cs="Times New Roman"/>
          <w:b/>
          <w:bCs/>
          <w:kern w:val="32"/>
          <w:sz w:val="32"/>
          <w:szCs w:val="32"/>
        </w:rPr>
      </w:pPr>
      <w:r>
        <w:br w:type="page"/>
      </w:r>
    </w:p>
    <w:p w14:paraId="4E1BE2AF" w14:textId="1B0BED5D" w:rsidR="00A85CD7" w:rsidRDefault="00A85CD7" w:rsidP="00A85CD7">
      <w:pPr>
        <w:pStyle w:val="Heading1"/>
      </w:pPr>
      <w:bookmarkStart w:id="124" w:name="_Toc204931431"/>
      <w:r>
        <w:lastRenderedPageBreak/>
        <w:t>CỔ ĐÔNG CÔNG TY CHÀO BÁN CỔ PHIẾU RA CÔNG CHÚNG</w:t>
      </w:r>
      <w:bookmarkEnd w:id="124"/>
      <w:r>
        <w:br w:type="page"/>
      </w:r>
    </w:p>
    <w:p w14:paraId="58D816CF" w14:textId="5129DD4E" w:rsidR="00B400C3" w:rsidRDefault="00B400C3" w:rsidP="00B400C3">
      <w:pPr>
        <w:pStyle w:val="Heading1"/>
      </w:pPr>
      <w:bookmarkStart w:id="125" w:name="_Toc204931432"/>
      <w:r>
        <w:lastRenderedPageBreak/>
        <w:t>THÔNG BÁO TỶ LỆ SỞ HỮU NƯỚC NGOÀI</w:t>
      </w:r>
      <w:bookmarkEnd w:id="125"/>
    </w:p>
    <w:p w14:paraId="00209B7A" w14:textId="77777777" w:rsidR="00B400C3" w:rsidRPr="00B400C3" w:rsidRDefault="00B400C3" w:rsidP="00B400C3">
      <w:r w:rsidRPr="00B400C3">
        <w:t>Điều 142. Hồ sơ, trình tự, thủ tục thông báo tỷ lệ sở hữu nước ngoài tối đa tại công ty đại chúng</w:t>
      </w:r>
    </w:p>
    <w:p w14:paraId="09605497" w14:textId="77CDC18E" w:rsidR="00B400C3" w:rsidRDefault="00B400C3" w:rsidP="00B400C3">
      <w:r w:rsidRPr="00B400C3">
        <w:t>1. Hồ sơ thông báo tỷ lệ sở hữu nước ngoài tối đa tại công ty đại chúng quy định tại các khoản 1, 2, 3 Điều 141 Nghị định này bao gồm:</w:t>
      </w:r>
    </w:p>
    <w:p w14:paraId="371BEA5C" w14:textId="77777777" w:rsidR="00B400C3" w:rsidRPr="00B400C3" w:rsidRDefault="00B400C3" w:rsidP="00B400C3">
      <w:pPr>
        <w:rPr>
          <w:color w:val="C00000"/>
        </w:rPr>
      </w:pPr>
      <w:r w:rsidRPr="00B400C3">
        <w:rPr>
          <w:color w:val="C00000"/>
        </w:rPr>
        <w:t>1. Công ty đại chúng có trách nhiệm xác định ngành, nghề đầu tư kinh doanh và thực hiện thủ tục thông báo tỷ lệ sở hữu nước ngoài tối đa trong thời hạn 07 ngày làm việc kể từ ngày Ủy ban Chứng khoán Nhà nước xác nhận hoàn tất việc đăng ký công ty đại chúng.</w:t>
      </w:r>
    </w:p>
    <w:p w14:paraId="44FA8BDC" w14:textId="45212131" w:rsidR="00B400C3" w:rsidRPr="00B400C3" w:rsidRDefault="00B400C3" w:rsidP="00B400C3">
      <w:pPr>
        <w:rPr>
          <w:color w:val="C00000"/>
        </w:rPr>
      </w:pPr>
      <w:r w:rsidRPr="002B289D">
        <w:rPr>
          <w:color w:val="C00000"/>
          <w:highlight w:val="yellow"/>
        </w:rPr>
        <w:t>2. Công ty đại chúng có trách nhiệm xác định ngành, nghề đầu tư kinh doanh và tỷ lệ sở hữu nước ngoài tối đa tại công ty theo quy định tại khoản 1 Điều 139 Nghị định này. (Chào bán riêng lẻ, chào bán công chúng,…)</w:t>
      </w:r>
    </w:p>
    <w:p w14:paraId="2B874F49" w14:textId="7ECF09C7" w:rsidR="00B400C3" w:rsidRPr="00B400C3" w:rsidRDefault="00B400C3" w:rsidP="00B400C3">
      <w:pPr>
        <w:rPr>
          <w:color w:val="C00000"/>
        </w:rPr>
      </w:pPr>
      <w:r w:rsidRPr="00B400C3">
        <w:rPr>
          <w:color w:val="C00000"/>
        </w:rPr>
        <w:t>3. Trường hợp công ty đại chúng chưa thực hiện thông báo tỷ lệ sở hữu nước ngoài tối đa theo quy định tại Điều 142 Nghị định này, công ty phải thực hiện thủ tục thông báo tỷ lệ sở hữu nước ngoài tối đa trước khi nộp hồ sơ đăng ký niêm yết, chuyển niêm yết, đăng ký giao dịch, chào bán, phát hành chứng khoán, cổ đông công ty đại chúng chào bán cổ phiếu ra công chúng.</w:t>
      </w:r>
    </w:p>
    <w:p w14:paraId="4F99EAEA" w14:textId="77777777" w:rsidR="00B400C3" w:rsidRPr="00B400C3" w:rsidRDefault="00B400C3" w:rsidP="00B400C3">
      <w:r w:rsidRPr="00B400C3">
        <w:t>a) Giấy thông báo về tỷ lệ sở hữu nước ngoài tối đa tại công ty theo Mẫu số 38 Phụ lục ban hành kèm theo Nghị định này;</w:t>
      </w:r>
    </w:p>
    <w:p w14:paraId="5ED5E67A" w14:textId="77777777" w:rsidR="00B400C3" w:rsidRPr="00B400C3" w:rsidRDefault="00B400C3" w:rsidP="00B400C3">
      <w:r w:rsidRPr="00B400C3">
        <w:t>b) Giấy chứng nhận đăng ký doanh nghiệp, Giấy phép thành lập và hoạt động hoặc giấy tờ pháp lý có giá trị tương đương, Giấy xác nhận thay đổi nội dung đăng ký doanh nghiệp, trong đó có nội dung về ngành nghề đăng ký kinh doanh;</w:t>
      </w:r>
    </w:p>
    <w:p w14:paraId="4EF7BD7F" w14:textId="77777777" w:rsidR="00B400C3" w:rsidRPr="00B400C3" w:rsidRDefault="00B400C3" w:rsidP="00B400C3">
      <w:r w:rsidRPr="00B400C3">
        <w:t>c) Trường hợp doanh nghiệp cổ phần hóa thì bổ sung văn bản của cấp có thẩm quyền phê duyệt đề án cổ phần hóa, trong đó có nội dung về tỷ lệ sở hữu nước ngoài của công ty (nếu có);</w:t>
      </w:r>
    </w:p>
    <w:p w14:paraId="112D8F8D" w14:textId="7C3B7A3B" w:rsidR="00B400C3" w:rsidRPr="00B400C3" w:rsidRDefault="00B400C3" w:rsidP="00B400C3">
      <w:r w:rsidRPr="00B400C3">
        <w:t>d) Điều lệ công ty và Nghị quyết Đại hội đồng cổ đông thông qua tỷ lệ sở hữu nước ngoài tối đa</w:t>
      </w:r>
      <w:r>
        <w:t xml:space="preserve"> </w:t>
      </w:r>
      <w:r w:rsidRPr="00B400C3">
        <w:t>tại công ty đại chúng (đối với trường hợp quy định tại điểm e khoản 1 Điều 139 Nghị định này).</w:t>
      </w:r>
    </w:p>
    <w:p w14:paraId="1BE8C29B" w14:textId="2BA8EE08" w:rsidR="00B400C3" w:rsidRDefault="00B400C3" w:rsidP="00B400C3">
      <w:r w:rsidRPr="00B400C3">
        <w:t>2. Hồ sơ thông báo về thay đổi tỷ lệ sở hữu nước ngoài tối đa tại công ty đại chúng quy định tại khoản 4 Điều 141 Nghị định này bao gồm:</w:t>
      </w:r>
    </w:p>
    <w:p w14:paraId="45624E9E" w14:textId="77777777" w:rsidR="00B400C3" w:rsidRPr="00B400C3" w:rsidRDefault="00B400C3" w:rsidP="00B400C3">
      <w:pPr>
        <w:rPr>
          <w:color w:val="C00000"/>
        </w:rPr>
      </w:pPr>
      <w:r w:rsidRPr="00B400C3">
        <w:rPr>
          <w:color w:val="C00000"/>
        </w:rPr>
        <w:t>4. Công ty đại chúng phải thực hiện thủ tục thông báo thay đổi tỷ lệ sở hữu nước ngoài tối đa trong thời hạn 30 ngày kể từ ngày xảy ra một trong các sự kiện sau:</w:t>
      </w:r>
    </w:p>
    <w:p w14:paraId="676ECE8D" w14:textId="77777777" w:rsidR="00B400C3" w:rsidRPr="00B400C3" w:rsidRDefault="00B400C3" w:rsidP="00B400C3">
      <w:pPr>
        <w:rPr>
          <w:color w:val="C00000"/>
        </w:rPr>
      </w:pPr>
      <w:r w:rsidRPr="00B400C3">
        <w:rPr>
          <w:color w:val="C00000"/>
        </w:rPr>
        <w:t>a) Thay đổi ngành, nghề đầu tư kinh doanh dẫn đến thay đổi tỷ lệ sở hữu nước ngoài tối đa tại công ty;</w:t>
      </w:r>
    </w:p>
    <w:p w14:paraId="20F6D82F" w14:textId="77777777" w:rsidR="00B400C3" w:rsidRPr="00B400C3" w:rsidRDefault="00B400C3" w:rsidP="00B400C3">
      <w:pPr>
        <w:rPr>
          <w:color w:val="C00000"/>
        </w:rPr>
      </w:pPr>
      <w:r w:rsidRPr="00B400C3">
        <w:rPr>
          <w:color w:val="C00000"/>
        </w:rPr>
        <w:t>b) Quy định pháp luật về sở hữu nước ngoài đối với các ngành, nghề đầu tư kinh doanh công ty đang hoạt động có sự thay đổi;</w:t>
      </w:r>
    </w:p>
    <w:p w14:paraId="0AC07C61" w14:textId="38D03833" w:rsidR="00B400C3" w:rsidRPr="00B400C3" w:rsidRDefault="00B400C3" w:rsidP="00B400C3">
      <w:pPr>
        <w:rPr>
          <w:color w:val="C00000"/>
        </w:rPr>
      </w:pPr>
      <w:r w:rsidRPr="00B400C3">
        <w:rPr>
          <w:color w:val="C00000"/>
        </w:rPr>
        <w:t>c) Điều lệ công ty có quy định thay đổi tỷ lệ sở hữu nước ngoài tối đa.</w:t>
      </w:r>
    </w:p>
    <w:p w14:paraId="4B7E787E" w14:textId="77777777" w:rsidR="00B400C3" w:rsidRPr="00B400C3" w:rsidRDefault="00B400C3" w:rsidP="00B400C3">
      <w:r w:rsidRPr="00B400C3">
        <w:t>a) Giấy thông báo về thay đổi tỷ lệ sở hữu nước ngoài tối đa tại công ty theo Mẫu số 39</w:t>
      </w:r>
    </w:p>
    <w:p w14:paraId="66DF27BE" w14:textId="10CD364D" w:rsidR="00B400C3" w:rsidRPr="00B400C3" w:rsidRDefault="00B400C3" w:rsidP="00B400C3">
      <w:r w:rsidRPr="00B400C3">
        <w:t>Phụ lục ban hành kèm theo Nghị định này;</w:t>
      </w:r>
    </w:p>
    <w:p w14:paraId="1A048416" w14:textId="77777777" w:rsidR="00B400C3" w:rsidRPr="00B400C3" w:rsidRDefault="00B400C3" w:rsidP="00B400C3">
      <w:r w:rsidRPr="00B400C3">
        <w:t>b) Tài liệu quy định tại các điểm b, c, d khoản 1 Điều này;</w:t>
      </w:r>
    </w:p>
    <w:p w14:paraId="3A4BEE39" w14:textId="77777777" w:rsidR="00B400C3" w:rsidRPr="00B400C3" w:rsidRDefault="00B400C3" w:rsidP="00B400C3">
      <w:r w:rsidRPr="00B400C3">
        <w:t>3. Trong thời hạn 07 ngày làm việc kể từ ngày nhận được hồ sơ đầy đủ và hợp lệ, Ủy ban Chứng khoán Nhà nước có văn bản thông báo về việc nhận đầy đủ hồ sơ thông báo tỷ lệ sở hữu nước ngoài tối đa hoặc thông báo thay đổi tỷ lệ sở hữu nước ngoài tối đa tại công ty đại chúng, đồng thời gửi Tổng công ty lưu ký và bù trừ chứng khoán Việt Nam.</w:t>
      </w:r>
    </w:p>
    <w:p w14:paraId="2ED495E1" w14:textId="77777777" w:rsidR="00416EAA" w:rsidRDefault="00B400C3" w:rsidP="00B400C3">
      <w:r w:rsidRPr="00B400C3">
        <w:t>4. Trong thời hạn 02 ngày làm việc kể từ ngày nhận được văn bản thông báo của Ủy ban Chứng khoán Nhà nước theo quy định tại khoản 3 Điều này, Tổng công ty lưu ký và bù trừ chứng khoán Việt Nam thực hiện cập nhật, điều chỉnh trên hệ thống về tỷ lệ sở hữu nước ngoài tối đa tại công ty đại chúng.</w:t>
      </w:r>
    </w:p>
    <w:p w14:paraId="46DF7C0B" w14:textId="77777777" w:rsidR="00416EAA" w:rsidRDefault="00416EAA">
      <w:pPr>
        <w:widowControl/>
        <w:spacing w:after="160" w:line="259" w:lineRule="auto"/>
      </w:pPr>
      <w:r>
        <w:br w:type="page"/>
      </w:r>
    </w:p>
    <w:p w14:paraId="051F1C2B" w14:textId="77777777" w:rsidR="00416EAA" w:rsidRDefault="00416EAA" w:rsidP="00416EAA">
      <w:pPr>
        <w:pStyle w:val="Heading1"/>
      </w:pPr>
      <w:bookmarkStart w:id="126" w:name="_Hlk200619004"/>
      <w:bookmarkStart w:id="127" w:name="_Toc204931433"/>
      <w:r>
        <w:lastRenderedPageBreak/>
        <w:t>PHÁT HÀNH TĂNG VỐN TỪ NGUỒN VỐN CHỦ SỞ HỮU</w:t>
      </w:r>
      <w:bookmarkEnd w:id="127"/>
    </w:p>
    <w:p w14:paraId="16DC6117" w14:textId="0F190F7D" w:rsidR="009B6259" w:rsidRDefault="009B6259" w:rsidP="00213145">
      <w:pPr>
        <w:pStyle w:val="Heading1"/>
        <w:jc w:val="both"/>
        <w:rPr>
          <w:rFonts w:asciiTheme="majorHAnsi" w:eastAsiaTheme="majorEastAsia" w:hAnsiTheme="majorHAnsi" w:cstheme="majorBidi"/>
          <w:b w:val="0"/>
          <w:bCs w:val="0"/>
          <w:color w:val="2F5496" w:themeColor="accent1" w:themeShade="BF"/>
          <w:kern w:val="0"/>
          <w:sz w:val="26"/>
          <w:szCs w:val="26"/>
        </w:rPr>
      </w:pPr>
      <w:bookmarkStart w:id="128" w:name="_Toc204931434"/>
      <w:r>
        <w:rPr>
          <w:rFonts w:asciiTheme="majorHAnsi" w:eastAsiaTheme="majorEastAsia" w:hAnsiTheme="majorHAnsi" w:cstheme="majorBidi"/>
          <w:b w:val="0"/>
          <w:bCs w:val="0"/>
          <w:color w:val="2F5496" w:themeColor="accent1" w:themeShade="BF"/>
          <w:kern w:val="0"/>
          <w:sz w:val="26"/>
          <w:szCs w:val="26"/>
        </w:rPr>
        <w:t>Điểm c Khoản 2 Điều 15 Luật Chứng khoán 2019</w:t>
      </w:r>
      <w:bookmarkEnd w:id="128"/>
    </w:p>
    <w:p w14:paraId="4575D9DD" w14:textId="291A5E2A" w:rsidR="008B13D2" w:rsidRPr="002C475E" w:rsidRDefault="009B6259" w:rsidP="002C475E">
      <w:pPr>
        <w:jc w:val="both"/>
      </w:pPr>
      <w:r w:rsidRPr="009B6259">
        <w:t xml:space="preserve">c) 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chức phát hành, </w:t>
      </w:r>
      <w:r w:rsidRPr="009B6259">
        <w:rPr>
          <w:highlight w:val="yellow"/>
        </w:rPr>
        <w:t>phát hành tăng vốn từ nguồn vốn chủ sở hữu</w:t>
      </w:r>
      <w:r w:rsidRPr="009B6259">
        <w:t>, phát hành để hoán đổi, hợp nhất, sáp nhập doanh nghiệp;</w:t>
      </w:r>
    </w:p>
    <w:p w14:paraId="656EF116" w14:textId="3DE641C4" w:rsidR="00C362BD" w:rsidRPr="00C362BD" w:rsidRDefault="00C362BD" w:rsidP="00213145">
      <w:pPr>
        <w:pStyle w:val="Heading1"/>
        <w:jc w:val="both"/>
        <w:rPr>
          <w:rFonts w:asciiTheme="majorHAnsi" w:eastAsiaTheme="majorEastAsia" w:hAnsiTheme="majorHAnsi" w:cstheme="majorBidi"/>
          <w:b w:val="0"/>
          <w:bCs w:val="0"/>
          <w:color w:val="2F5496" w:themeColor="accent1" w:themeShade="BF"/>
          <w:kern w:val="0"/>
          <w:sz w:val="26"/>
          <w:szCs w:val="26"/>
        </w:rPr>
      </w:pPr>
      <w:bookmarkStart w:id="129" w:name="_Toc204931435"/>
      <w:r w:rsidRPr="00C362BD">
        <w:rPr>
          <w:rFonts w:asciiTheme="majorHAnsi" w:eastAsiaTheme="majorEastAsia" w:hAnsiTheme="majorHAnsi" w:cstheme="majorBidi"/>
          <w:b w:val="0"/>
          <w:bCs w:val="0"/>
          <w:color w:val="2F5496" w:themeColor="accent1" w:themeShade="BF"/>
          <w:kern w:val="0"/>
          <w:sz w:val="26"/>
          <w:szCs w:val="26"/>
        </w:rPr>
        <w:t>Điều 62. Điều kiện công ty đại chúng phát hành cổ phiếu để tăng vốn cổ phần từ nguồn vốn chủ sở hữu</w:t>
      </w:r>
      <w:bookmarkEnd w:id="129"/>
    </w:p>
    <w:p w14:paraId="6C23BAB2" w14:textId="77777777" w:rsidR="00C362BD" w:rsidRPr="00C362BD" w:rsidRDefault="00C362BD" w:rsidP="00213145">
      <w:pPr>
        <w:jc w:val="both"/>
      </w:pPr>
      <w:r w:rsidRPr="00C362BD">
        <w:t>1. Có phương án phát hành cổ phiếu để tăng vốn cổ phần từ nguồn vốn chủ sở hữu được Đại hội đồng cổ đông thông qua.</w:t>
      </w:r>
    </w:p>
    <w:p w14:paraId="31BE3979" w14:textId="77777777" w:rsidR="00C362BD" w:rsidRPr="00C362BD" w:rsidRDefault="00C362BD" w:rsidP="00213145">
      <w:pPr>
        <w:jc w:val="both"/>
      </w:pPr>
      <w:r w:rsidRPr="00C362BD">
        <w:t>2. Nguồn vốn chủ sở hữu đủ để tăng vốn cổ phần, cụ thể như sau:</w:t>
      </w:r>
    </w:p>
    <w:p w14:paraId="69AFA5B4" w14:textId="77777777" w:rsidR="00C362BD" w:rsidRPr="00C362BD" w:rsidRDefault="00C362BD" w:rsidP="00213145">
      <w:pPr>
        <w:jc w:val="both"/>
      </w:pPr>
      <w:r w:rsidRPr="00C362BD">
        <w:t>a) Nguồn vốn chủ sở hữu để tăng vốn cổ phần được căn cứ trên báo cáo tài chính kỳ gần nhất được kiểm toán bởi tổ chức kiểm toán được chấp thuận, bao gồm các nguồn sau: thặng dư vốn cổ phần; quỹ đầu tư phát triển; lợi nhuận sau thuế chưa phân phối; quỹ khác (nếu có) được sử dụng để bổ sung vốn điều lệ theo quy định của pháp luật;</w:t>
      </w:r>
    </w:p>
    <w:p w14:paraId="1274E6ED" w14:textId="77777777" w:rsidR="00C362BD" w:rsidRPr="00C362BD" w:rsidRDefault="00C362BD" w:rsidP="00213145">
      <w:pPr>
        <w:jc w:val="both"/>
      </w:pPr>
      <w:r w:rsidRPr="00C362BD">
        <w:t>b) Trường hợp công ty đại chúng là công ty mẹ phát hành cổ phiếu để tăng vốn cổ phần từ thặng dư vốn cổ phần, quỹ đầu tư phát triển, quỹ khác, nguồn thực hiện được căn cứ trên báo cáo tài chính của công ty mẹ;</w:t>
      </w:r>
    </w:p>
    <w:p w14:paraId="29CBC13B" w14:textId="77777777" w:rsidR="00C362BD" w:rsidRPr="00C362BD" w:rsidRDefault="00C362BD" w:rsidP="00213145">
      <w:pPr>
        <w:jc w:val="both"/>
      </w:pPr>
      <w:r w:rsidRPr="00C362BD">
        <w:t>c) Trường hợp công ty đại chúng là công ty mẹ phát hành cổ phiếu để tăng vốn cổ phần từ nguồn lợi nhuận sau thuế chưa phân phối, lợi nhuận quyết định phân phối không được vượt quá mức lợi nhuận sau thuế chưa phân phối trên báo cáo tài chính hợp nhất được kiểm toán. Trường hợp lợi nhuận quyết định phân phối thấp hơn lợi nhuận sau thuế chưa phân phối trên báo cáo tài chính hợp nhất và cao hơn mức lợi nhuận sau thuế chưa phân phối trên báo cáo tài chính riêng của công ty mẹ, công ty chỉ được thực hiện việc phân phối sau khi đã điều chuyển lợi nhuận từ các công ty con về công ty mẹ.</w:t>
      </w:r>
    </w:p>
    <w:p w14:paraId="08C0B194" w14:textId="77777777" w:rsidR="00C362BD" w:rsidRPr="00C362BD" w:rsidRDefault="00C362BD" w:rsidP="00213145">
      <w:pPr>
        <w:jc w:val="both"/>
      </w:pPr>
      <w:r w:rsidRPr="00C362BD">
        <w:t>3. Tổng giá trị các nguồn quy định tại điểm a khoản 2 Điều này phải đảm bảo không thấp hơn tổng giá trị vốn cổ phần tăng thêm theo phương án được Đại hội đồng cổ đông thông qua.</w:t>
      </w:r>
    </w:p>
    <w:p w14:paraId="636936A2" w14:textId="1233C886" w:rsidR="00C362BD" w:rsidRDefault="00C362BD" w:rsidP="00213145">
      <w:pPr>
        <w:jc w:val="both"/>
      </w:pPr>
      <w:r w:rsidRPr="00C362BD">
        <w:t>4. Điều kiện quy định tại khoản 3, 4 Điều 60 Nghị định này.</w:t>
      </w:r>
    </w:p>
    <w:p w14:paraId="10104A3A" w14:textId="77777777" w:rsidR="00C362BD" w:rsidRPr="00C362BD" w:rsidRDefault="00C362BD" w:rsidP="00213145">
      <w:pPr>
        <w:jc w:val="both"/>
        <w:rPr>
          <w:color w:val="C00000"/>
        </w:rPr>
      </w:pPr>
      <w:r w:rsidRPr="00C362BD">
        <w:rPr>
          <w:color w:val="C00000"/>
        </w:rPr>
        <w:t>3. Có phương án xử lý phần lẻ cổ phần, cổ phiếu lẻ (nếu có) được Đại hội đồng cổ đông hoặc Hội đồng quản trị thông qua.</w:t>
      </w:r>
    </w:p>
    <w:p w14:paraId="67A07A58" w14:textId="5BFC4C77" w:rsidR="00C362BD" w:rsidRPr="009E4316" w:rsidRDefault="00C362BD" w:rsidP="00213145">
      <w:pPr>
        <w:jc w:val="both"/>
        <w:rPr>
          <w:strike/>
          <w:color w:val="C00000"/>
        </w:rPr>
      </w:pPr>
      <w:r w:rsidRPr="009E4316">
        <w:rPr>
          <w:strike/>
          <w:color w:val="C00000"/>
        </w:rPr>
        <w:t>4. Được Ngân hàng Nhà nước Việt Nam chấp thuận về đề nghị tăng vốn điều lệ theo quy định của pháp luật về các tổ chức tín dụng đối với việc phát hành cổ phiếu của tổ chức tín dụng hoặc được Bộ Tài chính chấp thuận việc tăng vốn điều lệ theo quy định của pháp luật về kinh doanh bảo hiểm đối với việc phát hành cổ phiếu của tổ chức kinh doanh bảo hiểm.</w:t>
      </w:r>
    </w:p>
    <w:p w14:paraId="7C60373B" w14:textId="77777777" w:rsidR="00C362BD" w:rsidRPr="00C362BD" w:rsidRDefault="00C362BD" w:rsidP="00213145">
      <w:pPr>
        <w:jc w:val="both"/>
      </w:pPr>
    </w:p>
    <w:p w14:paraId="5661C3B6" w14:textId="77777777" w:rsidR="00C362BD" w:rsidRPr="00C362BD" w:rsidRDefault="00C362BD" w:rsidP="00213145">
      <w:pPr>
        <w:pStyle w:val="Heading2"/>
        <w:jc w:val="both"/>
      </w:pPr>
      <w:bookmarkStart w:id="130" w:name="_Toc204931436"/>
      <w:r w:rsidRPr="00C362BD">
        <w:t>Điều 63. Tài liệu báo cáo phát hành cổ phiếu để tăng vốn cổ phần từ nguồn vốn chủ sở hữu của công ty đại chúng</w:t>
      </w:r>
      <w:bookmarkEnd w:id="130"/>
    </w:p>
    <w:p w14:paraId="7F9DF54E" w14:textId="5D86BBBB" w:rsidR="00C362BD" w:rsidRDefault="00C362BD" w:rsidP="00213145">
      <w:pPr>
        <w:jc w:val="both"/>
      </w:pPr>
      <w:r w:rsidRPr="00C362BD">
        <w:t>1. Tài liệu quy định tại các khoản 1, 2, 3, 4, 6, 7 Điều 61 Nghị định này.</w:t>
      </w:r>
    </w:p>
    <w:p w14:paraId="57DDE72B" w14:textId="3A4E28E4" w:rsidR="009E4316" w:rsidRPr="009E4316" w:rsidRDefault="009E4316" w:rsidP="00213145">
      <w:pPr>
        <w:jc w:val="both"/>
        <w:rPr>
          <w:color w:val="C00000"/>
        </w:rPr>
      </w:pPr>
      <w:r w:rsidRPr="009E4316">
        <w:rPr>
          <w:color w:val="C00000"/>
        </w:rPr>
        <w:t>1. Báo cáo phát hành theo Mẫu số 16 Phụ lục ban hành kèm theo Nghị định này.</w:t>
      </w:r>
    </w:p>
    <w:p w14:paraId="76FA358F" w14:textId="77777777" w:rsidR="009E4316" w:rsidRPr="009E4316" w:rsidRDefault="009E4316" w:rsidP="00213145">
      <w:pPr>
        <w:jc w:val="both"/>
        <w:rPr>
          <w:color w:val="C00000"/>
        </w:rPr>
      </w:pPr>
      <w:r w:rsidRPr="009E4316">
        <w:rPr>
          <w:color w:val="C00000"/>
        </w:rPr>
        <w:t>2. Quyết định của Đại hội đồng cổ đông thông qua phương án phát hành.</w:t>
      </w:r>
    </w:p>
    <w:p w14:paraId="77E5A016" w14:textId="77777777" w:rsidR="009E4316" w:rsidRPr="009E4316" w:rsidRDefault="009E4316" w:rsidP="00213145">
      <w:pPr>
        <w:jc w:val="both"/>
        <w:rPr>
          <w:color w:val="C00000"/>
        </w:rPr>
      </w:pPr>
      <w:r w:rsidRPr="009E4316">
        <w:rPr>
          <w:color w:val="C00000"/>
        </w:rPr>
        <w:t>3. Quyết định của Hội đồng quản trị thông qua việc triển khai phương án phát hành.</w:t>
      </w:r>
    </w:p>
    <w:p w14:paraId="67507949" w14:textId="46E3C2DF" w:rsidR="009E4316" w:rsidRPr="009E4316" w:rsidRDefault="009E4316" w:rsidP="00213145">
      <w:pPr>
        <w:jc w:val="both"/>
        <w:rPr>
          <w:color w:val="C00000"/>
        </w:rPr>
      </w:pPr>
      <w:r w:rsidRPr="009E4316">
        <w:rPr>
          <w:color w:val="C00000"/>
        </w:rPr>
        <w:t>4. Báo cáo tài chính năm gần nhất được kiểm toán bởi tổ chức kiểm toán được chấp thuận.</w:t>
      </w:r>
    </w:p>
    <w:p w14:paraId="1549DA43" w14:textId="77777777" w:rsidR="009E4316" w:rsidRPr="009E4316" w:rsidRDefault="009E4316" w:rsidP="00213145">
      <w:pPr>
        <w:jc w:val="both"/>
        <w:rPr>
          <w:color w:val="C00000"/>
        </w:rPr>
      </w:pPr>
      <w:r w:rsidRPr="009E4316">
        <w:rPr>
          <w:color w:val="C00000"/>
        </w:rPr>
        <w:t>6. Quyết định của Đại hội đồng cổ đông hoặc Hội đồng quản trị thông qua phương án xử lý phần lẻ cổ phần, cổ phiếu lẻ (nếu có).</w:t>
      </w:r>
    </w:p>
    <w:p w14:paraId="14DCED0C" w14:textId="4D46EFAA" w:rsidR="009E4316" w:rsidRPr="009E4316" w:rsidRDefault="009E4316" w:rsidP="00213145">
      <w:pPr>
        <w:jc w:val="both"/>
        <w:rPr>
          <w:color w:val="C00000"/>
        </w:rPr>
      </w:pPr>
      <w:r w:rsidRPr="009E4316">
        <w:rPr>
          <w:color w:val="C00000"/>
        </w:rPr>
        <w:t>7. Văn bản chấp thuận của Ngân hàng Nhà nước Việt Nam về đề nghị tăng vốn điều lệ theo quy định của pháp luật về các tổ chức tín dụng đối với việc phát hành cổ phiếu của tổ chức tín dụng hoặc văn bản chấp thuận của Bộ Tài chính về việc tăng vốn điều lệ theo quy định của pháp luật về kinh doanh bảo hiểm đối với việc phát hành cổ phiếu của tổ chức kinh doanh bảo hiểm.</w:t>
      </w:r>
    </w:p>
    <w:p w14:paraId="568F2E26" w14:textId="77777777" w:rsidR="00C362BD" w:rsidRDefault="00C362BD" w:rsidP="00213145">
      <w:pPr>
        <w:jc w:val="both"/>
        <w:rPr>
          <w:b/>
          <w:bCs/>
        </w:rPr>
      </w:pPr>
      <w:r w:rsidRPr="00C362BD">
        <w:lastRenderedPageBreak/>
        <w:t>2. Quyết định của cấp có thẩm quyền của công ty con thông qua việc phân phối lợi nhuận, sao kê có xác nhận của ngân hàng chứng minh việc đã điều chuyển lợi nhuận từ các công ty con về công ty mẹ trong trường hợp công ty mẹ phát hành cổ phiếu để tăng vốn cổ phần từ nguồn lợi nhuận sau thuế chưa phân phối và nguồn vốn thực hiện thấp hơn lợi nhuận sau thuế chưa phân phối trên báo cáo tài chính hợp nhất, cao hơn mức lợi nhuận sau thuế chưa phân phối trên báo cáo tài chính riêng của công ty mẹ.</w:t>
      </w:r>
    </w:p>
    <w:p w14:paraId="3C3273C7" w14:textId="2892C568" w:rsidR="006B3BA6" w:rsidRDefault="006B3BA6">
      <w:pPr>
        <w:widowControl/>
        <w:spacing w:after="160" w:line="259" w:lineRule="auto"/>
        <w:rPr>
          <w:rFonts w:asciiTheme="majorHAnsi" w:eastAsiaTheme="majorEastAsia" w:hAnsiTheme="majorHAnsi" w:cstheme="majorBidi"/>
          <w:b/>
          <w:bCs/>
          <w:color w:val="2F5496" w:themeColor="accent1" w:themeShade="BF"/>
          <w:sz w:val="26"/>
          <w:szCs w:val="26"/>
        </w:rPr>
      </w:pPr>
    </w:p>
    <w:p w14:paraId="4319F029" w14:textId="66A8CF6B" w:rsidR="005C7E0C" w:rsidRPr="005C7E0C" w:rsidRDefault="005C7E0C" w:rsidP="00A63F91">
      <w:pPr>
        <w:pStyle w:val="Heading2"/>
      </w:pPr>
      <w:bookmarkStart w:id="131" w:name="_Toc204931437"/>
      <w:r w:rsidRPr="005C7E0C">
        <w:t>Điều 69</w:t>
      </w:r>
      <w:r w:rsidR="00A63F91">
        <w:t xml:space="preserve"> Nghị định 155</w:t>
      </w:r>
      <w:r w:rsidRPr="005C7E0C">
        <w:t>. Trình tự, thủ tục phát hành cổ phiếu để trả cổ tức, phát hành cổ phiếu để tăng vốn cổ phần từ nguồn vốn chủ sở hữu, phát hành cổ phiếu theo chương trình lựa chọn cho người lao động</w:t>
      </w:r>
      <w:bookmarkEnd w:id="131"/>
    </w:p>
    <w:p w14:paraId="28E90D1E" w14:textId="77777777" w:rsidR="005C7E0C" w:rsidRPr="005C7E0C" w:rsidRDefault="005C7E0C" w:rsidP="005C7E0C">
      <w:r w:rsidRPr="005C7E0C">
        <w:t>1. Tổ chức phát hành phải gửi tài liệu báo cáo phát hành cổ phiếu quy định tại Điều 61</w:t>
      </w:r>
      <w:r w:rsidRPr="00364805">
        <w:rPr>
          <w:highlight w:val="yellow"/>
        </w:rPr>
        <w:t>, Điều 63</w:t>
      </w:r>
      <w:r w:rsidRPr="005C7E0C">
        <w:t>, Điều 65 Nghị định này cho Ủy ban Chứng khoán Nhà nước.</w:t>
      </w:r>
    </w:p>
    <w:p w14:paraId="600CA004" w14:textId="77777777" w:rsidR="005C7E0C" w:rsidRPr="005C7E0C" w:rsidRDefault="005C7E0C" w:rsidP="005C7E0C">
      <w:r w:rsidRPr="005C7E0C">
        <w:t>2. Trong thời hạn 07 ngày làm việc kể từ ngày nhận được tài liệu báo cáo phát hành đầy đủ và hợp lệ, Ủy ban Chứng khoán Nhà nước thông báo bằng văn bản cho tổ chức phát hành và đăng tải trên trang thông tin điện tử của Ủy ban Chứng khoán Nhà nước về việc nhận đầy đủ tài liệu báo cáo phát hành của tổ chức phát hành; trường hợp từ chối, phải trả lời bằng văn bản và nêu rõ lý do.</w:t>
      </w:r>
    </w:p>
    <w:p w14:paraId="0E802319" w14:textId="77777777" w:rsidR="005C7E0C" w:rsidRPr="005C7E0C" w:rsidRDefault="005C7E0C" w:rsidP="005C7E0C">
      <w:r w:rsidRPr="005C7E0C">
        <w:t>3. Trong thời hạn 07 ngày làm việc kể từ ngày Ủy ban Chứng khoán Nhà nước thông báo về việc nhận được đầy đủ tài liệu báo cáo phát hành, tổ chức phát hành phải công bố Bản thông báo phát hành trên trang thông tin điện tử của tổ chức phát hành, Sở giao dịch chứng khoán. Việc công bố thông tin trên phải được thực hiện ít nhất 07 ngày làm việc trước ngày kết thúc đợt phát hành.</w:t>
      </w:r>
    </w:p>
    <w:p w14:paraId="7929D3C0" w14:textId="77777777" w:rsidR="005C7E0C" w:rsidRPr="005C7E0C" w:rsidRDefault="005C7E0C" w:rsidP="005C7E0C">
      <w:r w:rsidRPr="005C7E0C">
        <w:t>4. Ngày kết thúc đợt phát hành không được quá 45 ngày kể từ ngày Ủy ban Chứng khoán Nhà nước thông báo về việc nhận được đầy đủ tài liệu báo cáo.</w:t>
      </w:r>
    </w:p>
    <w:p w14:paraId="19AD1BAC" w14:textId="77777777" w:rsidR="005C7E0C" w:rsidRPr="005C7E0C" w:rsidRDefault="005C7E0C" w:rsidP="005C7E0C">
      <w:r w:rsidRPr="005C7E0C">
        <w:t>5. Trong quá trình phát hành cổ phiếu để trả cổ tức hoặc phát hành cổ phiếu để tăng vốn cổ phần từ nguồn vốn chủ sở hữu, trường hợp phát sinh cổ phiếu lẻ, công ty được mua lại cổ phiếu lẻ làm cổ phiếu quỹ theo phương án đã được Đại hội đồng cổ đông thông qua hoặc ủy quyền cho Hội đồng quản trị thông qua. Số cổ phiếu được công ty mua lại này được xử lý theo quy định tại khoản 7 Điều 36 Luật Chứng khoán và các quy định có liên quan.</w:t>
      </w:r>
    </w:p>
    <w:p w14:paraId="4B1FDE56" w14:textId="77777777" w:rsidR="005C7E0C" w:rsidRPr="005C7E0C" w:rsidRDefault="005C7E0C" w:rsidP="005C7E0C">
      <w:r w:rsidRPr="005C7E0C">
        <w:t>6. Trong thời hạn 15 ngày kể từ ngày kết thúc đợt phát hành, tổ chức phát hành phải gửi Báo cáo kết quả đợt phát hành cho Ủy ban Chứng khoán Nhà nước và công bố thông tin trên trang thông tin điện tử của tổ chức phát hành, Sở giao dịch chứng khoán về kết quả đợt phát hành. Đối với trường hợp phát hành cổ phiếu theo chương trình lựa chọn cho người lao động, tài liệu báo cáo kết quả đợt phát hành gửi Ủy ban Chứng khoán Nhà nước kèm theo:</w:t>
      </w:r>
    </w:p>
    <w:p w14:paraId="6D17AF21" w14:textId="77777777" w:rsidR="005C7E0C" w:rsidRPr="005C7E0C" w:rsidRDefault="005C7E0C" w:rsidP="005C7E0C">
      <w:r w:rsidRPr="005C7E0C">
        <w:t>a) Danh sách người lao động tham gia chương trình trong đó nêu cụ thể về số lượng cổ phiếu của từng người lao động đã nộp tiền mua hoặc được phân phối (đối với trường hợp phát hành cổ phiếu thưởng cho người lao động);</w:t>
      </w:r>
    </w:p>
    <w:p w14:paraId="4FE31407" w14:textId="77777777" w:rsidR="005C7E0C" w:rsidRPr="005C7E0C" w:rsidRDefault="005C7E0C" w:rsidP="005C7E0C">
      <w:r w:rsidRPr="005C7E0C">
        <w:t>b) Văn bản xác nhận của ngân hàng, chi nhánh ngân hàng nước ngoài nơi mở tài khoản phong tỏa về số tiền thu được từ đợt phát hành, trừ trường hợp phát hành cổ phiếu thưởng cho người lao động.</w:t>
      </w:r>
    </w:p>
    <w:p w14:paraId="499FEBAE" w14:textId="77777777" w:rsidR="005C7E0C" w:rsidRPr="005C7E0C" w:rsidRDefault="005C7E0C" w:rsidP="005C7E0C">
      <w:r w:rsidRPr="005C7E0C">
        <w:t>7. Trong thời hạn 03 ngày làm việc kể từ ngày nhận được tài liệu báo cáo kết quả đợt phát hành đầy đủ và hợp lệ, Ủy ban Chứng khoán Nhà nước thông báo bằng văn bản về việc nhận được báo cáo kết quả đợt phát hành cho tổ chức phát hành đồng thời gửi cho Sở giao dịch chứng khoán, Tổng công ty lưu ký và bù trừ chứng khoán Việt Nam và đăng tải trên trang thông tin điện tử của Ủy ban Chứng khoán Nhà nước về việc nhận được báo cáo kết quả đợt phát hành.</w:t>
      </w:r>
    </w:p>
    <w:p w14:paraId="21ABE858" w14:textId="73444255" w:rsidR="005C7E0C" w:rsidRDefault="005C7E0C" w:rsidP="005C7E0C">
      <w:r w:rsidRPr="005C7E0C">
        <w:t>8. Sau khi có thông báo nhận được báo cáo kết quả đợt phát hành của Ủy ban Chứng khoán Nhà nước, tổ chức phát hành được yêu cầu chấm dứt phong tỏa số tiền thu được từ đợt phát hành đối với trường hợp phát hành cổ phiếu theo chương trình lựa chọn cho người lao động, trừ trường hợp phát hành cổ phiếu thưởng cho người lao động.</w:t>
      </w:r>
    </w:p>
    <w:p w14:paraId="42D96824" w14:textId="77777777" w:rsidR="005C7E0C" w:rsidRDefault="005C7E0C">
      <w:pPr>
        <w:widowControl/>
        <w:spacing w:after="160" w:line="259" w:lineRule="auto"/>
        <w:rPr>
          <w:rFonts w:asciiTheme="majorHAnsi" w:eastAsiaTheme="majorEastAsia" w:hAnsiTheme="majorHAnsi" w:cstheme="majorBidi"/>
          <w:b/>
          <w:bCs/>
          <w:color w:val="2F5496" w:themeColor="accent1" w:themeShade="BF"/>
          <w:sz w:val="26"/>
          <w:szCs w:val="26"/>
        </w:rPr>
      </w:pPr>
    </w:p>
    <w:p w14:paraId="022CB485" w14:textId="77777777" w:rsidR="006B3BA6" w:rsidRDefault="006B3BA6" w:rsidP="006B3BA6">
      <w:pPr>
        <w:pStyle w:val="Heading2"/>
      </w:pPr>
      <w:bookmarkStart w:id="132" w:name="_Toc204931438"/>
      <w:r>
        <w:t>Khoản 5 Điều 4 Thông tư 118/2020/TT-BTC</w:t>
      </w:r>
      <w:bookmarkEnd w:id="132"/>
    </w:p>
    <w:p w14:paraId="21C53C34" w14:textId="77777777" w:rsidR="006B3BA6" w:rsidRDefault="006B3BA6" w:rsidP="009B6238">
      <w:r>
        <w:t>Điều 4. Mẫu Bản thông báo chào bán, phát hành chứng khoán, chào mua công khai</w:t>
      </w:r>
    </w:p>
    <w:p w14:paraId="695AD6CF" w14:textId="77777777" w:rsidR="00E16157" w:rsidRDefault="006B3BA6" w:rsidP="006B3BA6">
      <w:r>
        <w:lastRenderedPageBreak/>
        <w:t>5. Bản thông báo phát hành cổ phiếu để trả cổ tức, phát hành cổ phiếu để tăng vốn cổ phần từ nguồn vốn chủ sở hữu theo Mẫu tại Phụ lục số 17 ban hành kèm theo Thông tư này;</w:t>
      </w:r>
    </w:p>
    <w:p w14:paraId="3304BA94" w14:textId="77777777" w:rsidR="00E16157" w:rsidRDefault="00E16157" w:rsidP="006B3BA6"/>
    <w:p w14:paraId="739763B1" w14:textId="77777777" w:rsidR="00E16157" w:rsidRDefault="00E16157" w:rsidP="00486733">
      <w:pPr>
        <w:pStyle w:val="Heading2"/>
      </w:pPr>
      <w:bookmarkStart w:id="133" w:name="_Toc204931439"/>
      <w:r>
        <w:t>Khoản 8 Điều 5 Thông tư 118/2020/TT-BTC</w:t>
      </w:r>
      <w:bookmarkEnd w:id="133"/>
    </w:p>
    <w:p w14:paraId="1B83F435" w14:textId="77777777" w:rsidR="00E16157" w:rsidRDefault="00E16157" w:rsidP="00E16157">
      <w:pPr>
        <w:rPr>
          <w:rFonts w:eastAsia="Times New Roman"/>
          <w:sz w:val="18"/>
          <w:szCs w:val="18"/>
          <w:lang w:eastAsia="en-US"/>
        </w:rPr>
      </w:pPr>
      <w:bookmarkStart w:id="134" w:name="dieu_5"/>
      <w:r>
        <w:t>Điều 5. Mẫu Báo cáo kết quả đợt chào bán, đợt phát hành chứng khoán, đợt chào mua công khai</w:t>
      </w:r>
      <w:bookmarkEnd w:id="134"/>
    </w:p>
    <w:p w14:paraId="0CD7027D" w14:textId="4CD394F6" w:rsidR="00634EBD" w:rsidRDefault="00E16157" w:rsidP="00E16157">
      <w:r>
        <w:t>8. Báo cáo kết quả đợt phát hành cổ phiếu để trả cổ tức, đợt phát hành cổ phiếu để tăng vốn cổ phần từ nguồn vốn chủ sở hữu theo Mẫu tại </w:t>
      </w:r>
      <w:bookmarkStart w:id="135" w:name="bieumau_pl_28"/>
      <w:r>
        <w:t>Phụ lục số 28</w:t>
      </w:r>
      <w:bookmarkEnd w:id="135"/>
      <w:r>
        <w:t> ban hành kèm theo Thông tư này;</w:t>
      </w:r>
    </w:p>
    <w:p w14:paraId="092BA954" w14:textId="26192318" w:rsidR="00B5634B" w:rsidRDefault="00B5634B">
      <w:pPr>
        <w:widowControl/>
        <w:spacing w:after="160" w:line="259" w:lineRule="auto"/>
      </w:pPr>
    </w:p>
    <w:p w14:paraId="0A44ED93" w14:textId="77777777" w:rsidR="00F54474" w:rsidRDefault="00F54474" w:rsidP="00F54474">
      <w:pPr>
        <w:pStyle w:val="Heading2"/>
      </w:pPr>
      <w:bookmarkStart w:id="136" w:name="_Toc204931440"/>
      <w:r>
        <w:t>Khoản 4 Điều 11 Thông tư 96/2020/TT-BTC. Công bố thông tin bất thường</w:t>
      </w:r>
      <w:bookmarkEnd w:id="136"/>
    </w:p>
    <w:p w14:paraId="115AC977" w14:textId="77777777" w:rsidR="00F54474" w:rsidRDefault="00F54474" w:rsidP="00F54474">
      <w:r>
        <w:t>4. Công bố thông tin liên quan đến ngày đăng ký cuối cùng thực hiện quyền cho cổ đông hiện hữu</w:t>
      </w:r>
    </w:p>
    <w:p w14:paraId="62EFA262" w14:textId="77777777" w:rsidR="00F54474" w:rsidRDefault="00F54474" w:rsidP="00F54474">
      <w:r>
        <w:t>a) Công ty đại chúng công bố thông tin về ngày đăng ký cuối cùng dự kiến thực hiện quyền cho cổ đông hiện hữu tối thiểu 10 ngày trước ngày đăng ký cuối cùng dự kiến, trừ trường hợp quy định tại điểm b khoản này;</w:t>
      </w:r>
    </w:p>
    <w:p w14:paraId="1E3586BC" w14:textId="77777777" w:rsidR="00F54474" w:rsidRDefault="00F54474" w:rsidP="00F54474">
      <w:r>
        <w:t>b) Công ty đại chúng công bố thông tin về ngày đăng ký cuối cùng dự kiến thực hiện quyền cho cổ đông hiện hữu để tham dự họp Đại hội đồng cổ đông tối thiểu 20 ngày trước ngày đăng ký cuối cùng dự kiến.</w:t>
      </w:r>
    </w:p>
    <w:p w14:paraId="2D642178" w14:textId="7564B296" w:rsidR="00F54474" w:rsidRDefault="00F54474">
      <w:pPr>
        <w:widowControl/>
        <w:spacing w:after="160" w:line="259" w:lineRule="auto"/>
      </w:pPr>
    </w:p>
    <w:p w14:paraId="5F1F2A0B" w14:textId="77777777" w:rsidR="00F54474" w:rsidRDefault="00F54474" w:rsidP="00F54474">
      <w:pPr>
        <w:pStyle w:val="Heading2"/>
      </w:pPr>
      <w:bookmarkStart w:id="137" w:name="_Toc204931441"/>
      <w:r>
        <w:t>Điều 7 QĐ38/QĐ-HĐTV. Thông báo thực hiện quyền</w:t>
      </w:r>
      <w:bookmarkEnd w:id="137"/>
    </w:p>
    <w:p w14:paraId="499CCAD4" w14:textId="77777777" w:rsidR="00F54474" w:rsidRDefault="00F54474" w:rsidP="00F54474">
      <w:r>
        <w:t>1. Quy định chung</w:t>
      </w:r>
    </w:p>
    <w:p w14:paraId="1F1DF0E6" w14:textId="77777777" w:rsidR="00F54474" w:rsidRDefault="00F54474" w:rsidP="00F54474">
      <w:r>
        <w:t>TCĐKCK phải gửi hồ sơ thông báo thực hiện quyền hợp lệ theo quy định tại Khoản 2 Điều này đến VSDC chậm nhất 08 ngày làm việc liền trước ngày đăng ký cuối cùng.</w:t>
      </w:r>
    </w:p>
    <w:p w14:paraId="5AAF5EC7" w14:textId="77777777" w:rsidR="00F54474" w:rsidRDefault="00F54474" w:rsidP="00F54474">
      <w:r>
        <w:t>2. Hồ sơ thông báo thực hiện quyền</w:t>
      </w:r>
    </w:p>
    <w:p w14:paraId="14D3CD1D" w14:textId="77777777" w:rsidR="00F54474" w:rsidRDefault="00F54474" w:rsidP="00F54474">
      <w:r>
        <w:t>TCĐKCK gửi cho VSDC hồ sơ thông báo thực hiện quyền, bao gồm:</w:t>
      </w:r>
    </w:p>
    <w:p w14:paraId="1C709CB1" w14:textId="77777777" w:rsidR="00F54474" w:rsidRDefault="00F54474" w:rsidP="00F54474">
      <w:r>
        <w:t>2.1. Thông báo về ngày đăng ký cuối cùng theo Mẫu 01/THQ ban hành kèm theo Quy chế này;</w:t>
      </w:r>
    </w:p>
    <w:p w14:paraId="2737ECE6" w14:textId="77777777" w:rsidR="00F54474" w:rsidRDefault="00F54474" w:rsidP="00F54474">
      <w:r>
        <w:t xml:space="preserve">2.2. Bản sao tài liệu chứng minh TCĐKCK đã công bố thông tin về ngày đăng ký cuối cùng thực hiện quyền cho cổ đông hiện hữu tối thiểu 10 ngày trước ngày đăng ký cuối cùng </w:t>
      </w:r>
      <w:r w:rsidRPr="006E0259">
        <w:rPr>
          <w:strike/>
        </w:rPr>
        <w:t>(ngoại trừ trường hợp thực hiện quyền cho cổ đông hiện hữu để tham dự họp Đại hội đồng cổ đông thì phải gửi bản sao tài liệu chứng minh đã công bố thông tin về ngày đăng ký cuối cùng tối thiểu 20 ngày trước ngày đăng ký cuối cùng) (áp dụng đối với TCĐKCK là công ty đại chúng)</w:t>
      </w:r>
      <w:r>
        <w:t>;</w:t>
      </w:r>
    </w:p>
    <w:p w14:paraId="2787E8AE" w14:textId="77777777" w:rsidR="00F54474" w:rsidRPr="00F6556C" w:rsidRDefault="00F54474" w:rsidP="00F54474">
      <w:pPr>
        <w:rPr>
          <w:strike/>
        </w:rPr>
      </w:pPr>
      <w:r w:rsidRPr="00F6556C">
        <w:rPr>
          <w:strike/>
        </w:rPr>
        <w:t>2.3. Văn bản của TCĐKCK xác nhận chưa là công ty đại chúng và cam kết thực hiện quyền cho người sở hữu chứng khoán theo quy định của Luật Doanh nghiệp (áp dụng đối với trường hợp TCĐKCK là doanh nghiệp cổ phần hóa không phải là công ty đại chúng);</w:t>
      </w:r>
    </w:p>
    <w:p w14:paraId="23F62CBC" w14:textId="77777777" w:rsidR="00F54474" w:rsidRDefault="00F54474" w:rsidP="00F54474">
      <w:r>
        <w:t>2.4. Các tài liệu kèm theo đối với từng trường hợp thực hiện quyền như sau:</w:t>
      </w:r>
    </w:p>
    <w:p w14:paraId="361EF3C0" w14:textId="77777777" w:rsidR="00F54474" w:rsidRDefault="00F54474" w:rsidP="00F54474">
      <w:r>
        <w:t>…</w:t>
      </w:r>
    </w:p>
    <w:p w14:paraId="5C79E337" w14:textId="77777777" w:rsidR="00F54474" w:rsidRDefault="00F54474" w:rsidP="00F54474">
      <w:r>
        <w:t>c) Trường hợp thực hiện quyền nhận cổ tức bằng cổ phiếu, nhận cổ phiếu phát hành để tăng vốn cổ phần từ nguồn vốn chủ sở hữu:</w:t>
      </w:r>
    </w:p>
    <w:p w14:paraId="4B0EA659" w14:textId="77777777" w:rsidR="00F54474" w:rsidRDefault="00F54474" w:rsidP="00F54474">
      <w:r>
        <w:t>- Bản sao văn bản của UBCKNN thông báo về việc nhận đầy đủ tài liệu báo cáo phát hành để trả cổ tức bằng cổ phiếu, phát hành cổ phiếu để tăng vốn cổ phần từ nguồn vốn chủ sở hữu và các tài liệu nêu tại văn bản này (áp dụng đối với trường hợp TCĐKCK là công ty đại chúng);</w:t>
      </w:r>
    </w:p>
    <w:p w14:paraId="0C10775B" w14:textId="77777777" w:rsidR="00F54474" w:rsidRDefault="00F54474" w:rsidP="00F54474">
      <w:r>
        <w:t>- Bản sao văn bản của cơ quan nhà nước có thẩm quyền theo quy định của pháp luật chuyên ngành về việc phát hành thêm cổ phiếu để trả cổ tức bằng cổ phiếu, phát hành cổ phiếu để tăng vốn cổ phần từ nguồn vốn chủ sở hữu (nếu có);</w:t>
      </w:r>
    </w:p>
    <w:p w14:paraId="332414F6" w14:textId="6EBF9B6C" w:rsidR="00F54474" w:rsidRDefault="00F54474" w:rsidP="00F54474">
      <w:pPr>
        <w:widowControl/>
        <w:spacing w:after="160" w:line="259" w:lineRule="auto"/>
      </w:pPr>
      <w:r>
        <w:t>- Bản sao Nghị quyết Đại hội đồng cổ đông, Nghị quyết Hội đồng quản trị trong đó có thông qua phương án phát hành thêm cổ phiếu để trả cổ tức bằng cổ phiếu, phát hành cổ phiếu để tăng vốn cổ phần từ nguồn vốn chủ sở hữu và phương án xử lý cổ phiếu (nếu có phát sinh cổ phiếu lẻ) (áp dụng đối với trường hợp TCĐKCK là doanh nghiệp cổ phần hóa không phải là công ty đại chúng).</w:t>
      </w:r>
    </w:p>
    <w:p w14:paraId="1E8C1CE1" w14:textId="4F8CC8C0" w:rsidR="00F8287F" w:rsidRDefault="00F8287F" w:rsidP="00F8287F">
      <w:pPr>
        <w:pStyle w:val="Heading2"/>
      </w:pPr>
      <w:bookmarkStart w:id="138" w:name="_Toc204931442"/>
      <w:r>
        <w:t>Điều 10. Thực hiện quyền nhận cổ tức bằng cổ phiếu, lợi tức bằng chứng chỉ quỹ, nhận cổ phiếu phát hành để tăng vốn cổ phần từ nguồn vốn chủ sở hữu</w:t>
      </w:r>
      <w:bookmarkEnd w:id="138"/>
    </w:p>
    <w:p w14:paraId="330B61EA" w14:textId="1914D71A" w:rsidR="00F8287F" w:rsidRDefault="00F8287F" w:rsidP="00F8287F">
      <w:r>
        <w:t xml:space="preserve">1. Trong vòng 01 ngày làm việc kể từ ngày đăng ký cuối cùng, VSDC gửi cho TVLK điện nghiệp </w:t>
      </w:r>
      <w:r>
        <w:lastRenderedPageBreak/>
        <w:t>vụ MT596 kèm theo file dữ liệu Danh sách người sở hữu chứng khoán lưu ký nhận phân bổ quyền và điện nghiệp vụ MT598 - yêu cầu TVLK xác nhận Danh sách người sở hữu chứng khoán lưu ký được phân bổ quyền.</w:t>
      </w:r>
    </w:p>
    <w:p w14:paraId="72BAE5EE" w14:textId="28B0936F" w:rsidR="00F8287F" w:rsidRDefault="00F8287F" w:rsidP="00F8287F">
      <w:r>
        <w:t>2. TVLK có trách nhiệm:</w:t>
      </w:r>
    </w:p>
    <w:p w14:paraId="1D86159C" w14:textId="26FBE5EE" w:rsidR="00F8287F" w:rsidRDefault="00F8287F" w:rsidP="00F8287F">
      <w:r>
        <w:t>- Đối chiếu thông tin người sở hữu chứng khoán trong Danh sách do VSDC cung cấp với thông tin do TVLK đang quản lý.</w:t>
      </w:r>
    </w:p>
    <w:p w14:paraId="2D8AAF53" w14:textId="7AE7BAF3" w:rsidR="00F8287F" w:rsidRDefault="00F8287F" w:rsidP="00F8287F">
      <w:r>
        <w:t>- Gửi xác nhận thông qua điện nghiệp vụ MT595 chậm nhất vào 10h30 ngày làm việc thứ hai kể từ ngày đăng ký cuối cùng để xác nhận đồng ý các thông tin trong Danh sách.</w:t>
      </w:r>
    </w:p>
    <w:p w14:paraId="696038AD" w14:textId="12D7C686" w:rsidR="00F8287F" w:rsidRDefault="00F8287F" w:rsidP="00F8287F">
      <w:r>
        <w:t>- Trường hợp không đồng ý do có sai sót hoặc sai lệch số liệu về số lượng quyền phân bổ, TVLK phải gửi văn bản cho VSDC để phối hợp điều chỉnh, trong đó nêu rõ các thông tin sai sót hoặc sai lệch.</w:t>
      </w:r>
    </w:p>
    <w:p w14:paraId="4CB7FBBB" w14:textId="05CC8A06" w:rsidR="00F8287F" w:rsidRDefault="00F8287F" w:rsidP="00F8287F">
      <w:r>
        <w:t>Ngay sau khi điều chỉnh, VSDC gửi lại cho TVLK điện nghiệp vụ MT596 kèm theo file dữ liệu về người sở hữu chứng khoán lưu ký được phân bổ quyền liên quan đã hiệu chỉnh.</w:t>
      </w:r>
    </w:p>
    <w:p w14:paraId="615362EB" w14:textId="4A965F22" w:rsidR="00F8287F" w:rsidRDefault="00F8287F" w:rsidP="00F8287F">
      <w:r>
        <w:t>3. Trong vòng 02 ngày làm việc kể từ ngày đăng ký cuối cùng, VSDC gửi TCĐKCK Danh sách tổng hợp người sở hữu nhận cổ tức bằng cổ phiếu, lợi tức bằng chứng chỉ quỹ, nhận cổ phiếu phát hành để tăng vốn cổ phần từ nguồn vốn chủ sở hữu (Mẫu 15/THQ ban hành kèm theo Quy chế này) thông qua ICOSY.</w:t>
      </w:r>
    </w:p>
    <w:p w14:paraId="36A39FA0" w14:textId="5700890B" w:rsidR="00F8287F" w:rsidRDefault="00F8287F" w:rsidP="00F8287F">
      <w:r>
        <w:t>4. Trường hợp không đồng ý thông tin trong Danh sách, TCĐKCK phải gửi văn bản thông báo cho VSDC trong vòng 08 ngày làm việc kể từ ngày đăng ký cuối cùng và nêu rõ lý do.</w:t>
      </w:r>
    </w:p>
    <w:p w14:paraId="418BC13E" w14:textId="46877E2E" w:rsidR="00F8287F" w:rsidRDefault="00F8287F" w:rsidP="00F8287F">
      <w:r>
        <w:t>5. TCĐKCK nộp hồ sơ điều chỉnh thông tin số lượng cổ phiếu, chứng chỉ quỹ theo quy định tại Quy chế về hoạt động đăng ký và chuyển quyền sở hữu chứng khoán của VSDC.</w:t>
      </w:r>
    </w:p>
    <w:p w14:paraId="5BBBA0BA" w14:textId="58657006" w:rsidR="00F8287F" w:rsidRDefault="00F8287F" w:rsidP="00F8287F">
      <w:r>
        <w:t>6. Vào ngày VSDC thông báo thực hiện điều chỉnh thông tin số lượng chứng khoán đăng ký tại VSDC, phần chứng khoán phát hành thêm được phân bổ như sau:</w:t>
      </w:r>
    </w:p>
    <w:p w14:paraId="726C24AE" w14:textId="5A8FC42A" w:rsidR="00F8287F" w:rsidRDefault="00F8287F" w:rsidP="00F8287F">
      <w:r>
        <w:t>a) Đối với chứng khoán lưu ký: VSDC phân bổ chứng khoán vào tài khoản lưu ký của nhà đầu tư tại TVLK, đồng thời gửi cho TVLK liên quan điện nghiệp vụ MT596 kèm theo file dữ liệu Danh sách người sở hữu chứng khoán lưu ký thực hiện quyền nhận cổ tức bằng cổ phiếu, lợi tức bằng chứng chỉ quỹ, nhận cổ phiếu phát hành để tăng vốn cổ phần từ nguồn vốn chủ sở hữu cuối cùng trong đó đã cập nhật các thay đổi thông tin quyền phân bổ trong thời gian thực hiện quyền (nếu có).</w:t>
      </w:r>
    </w:p>
    <w:p w14:paraId="4E60820B" w14:textId="29847BD8" w:rsidR="00F8287F" w:rsidRDefault="00F8287F" w:rsidP="00F8287F">
      <w:r>
        <w:t>b) Đối với chứng khoán chưa lưu ký: TCĐKCK chịu trách nhiệm cấp Sổ, Giấy chứng nhận sở hữu chứng khoán cho người sở hữu chứng khoán chưa lưu ký.</w:t>
      </w:r>
    </w:p>
    <w:p w14:paraId="1AD9B884" w14:textId="61891031" w:rsidR="00F8287F" w:rsidRDefault="00F8287F" w:rsidP="00F8287F">
      <w:r>
        <w:t>7. TCĐKCK chịu trách nhiệm thanh toán tiền cổ phiếu, chứng chỉ quỹ lẻ (nếu có thanh toán tiền cổ phiếu, chứng chỉ quỹ lẻ) của người sở hữu chứng khoán.</w:t>
      </w:r>
    </w:p>
    <w:p w14:paraId="623F17E4" w14:textId="77777777" w:rsidR="00F8287F" w:rsidRPr="00F8287F" w:rsidRDefault="00F8287F" w:rsidP="00F8287F"/>
    <w:p w14:paraId="5976302D" w14:textId="4FC38532" w:rsidR="00C0619A" w:rsidRDefault="00C0619A" w:rsidP="00C0619A">
      <w:pPr>
        <w:pStyle w:val="Heading2"/>
      </w:pPr>
      <w:bookmarkStart w:id="139" w:name="_Toc204931443"/>
      <w:r>
        <w:t xml:space="preserve">Điều 13 </w:t>
      </w:r>
      <w:r w:rsidRPr="00C0619A">
        <w:t>37/QĐ-HĐTV</w:t>
      </w:r>
      <w:r>
        <w:t>. Hồ sơ điều chỉnh thông tin số lượng chứng khoán đăng ký</w:t>
      </w:r>
      <w:bookmarkEnd w:id="139"/>
    </w:p>
    <w:p w14:paraId="29656675" w14:textId="222AB9A2" w:rsidR="00C0619A" w:rsidRDefault="00C0619A" w:rsidP="00EF30A6">
      <w:pPr>
        <w:widowControl/>
        <w:spacing w:after="160" w:line="259" w:lineRule="auto"/>
        <w:jc w:val="both"/>
      </w:pPr>
      <w:r>
        <w:t>1. Hồ sơ điều chỉnh tăng số lượng chứng khoán đối với cổ phiếu, trái phiếu doanh nghiệp và chứng chỉ quỹ đóng</w:t>
      </w:r>
    </w:p>
    <w:p w14:paraId="698D2BD6" w14:textId="712E8ED7" w:rsidR="00C0619A" w:rsidRDefault="00C0619A" w:rsidP="00EF30A6">
      <w:pPr>
        <w:widowControl/>
        <w:spacing w:after="160" w:line="259" w:lineRule="auto"/>
        <w:jc w:val="both"/>
      </w:pPr>
      <w:r>
        <w:t>a) Giấy đề nghị điều chỉnh thông tin số lượng chứng khoán đăng ký theo Mẫu 05B/ĐKCK ban hành kèm theo Quy chế này;</w:t>
      </w:r>
    </w:p>
    <w:p w14:paraId="54CF3213" w14:textId="0008EB11" w:rsidR="00C0619A" w:rsidRDefault="00C0619A" w:rsidP="00EF30A6">
      <w:pPr>
        <w:widowControl/>
        <w:spacing w:after="160" w:line="259" w:lineRule="auto"/>
        <w:jc w:val="both"/>
      </w:pPr>
      <w:r>
        <w:t>b) Danh sách người sở hữu chứng khoán đối với chứng khoán điều chỉnh tăng chưa lưu ký (bản gốc và file mềm theo định dạng do VSDC quy định) theo Mẫu 02A/ĐKCK ban hành kèm theo Quy chế này đối với cổ phiếu (không áp dụng đối với trường hợp chứng khoán điều chỉnh tăng do TCĐKCK thực hiện phát hành cổ phiếu để trả cổ tức, phát hành cổ phiếu để tăng vốn cổ phần từ nguồn vốn chủ sở hữu, hoán đổi cổ phiếu, chuyển đổi toàn bộ trái phiếu chuyển đổi một lần thành cổ phiếu do đến hạn chuyển đổi đối với trường hợp cổ phiếu đã được đăng ký tập trung tại VSDC); Mẫu 02B, 02C/ĐKCK ban hành kèm theo Quy chế này;</w:t>
      </w:r>
    </w:p>
    <w:p w14:paraId="208AFA94" w14:textId="5B7DB155" w:rsidR="00C0619A" w:rsidRDefault="00C0619A" w:rsidP="00EF30A6">
      <w:pPr>
        <w:widowControl/>
        <w:spacing w:after="160" w:line="259" w:lineRule="auto"/>
        <w:jc w:val="both"/>
      </w:pPr>
      <w:r>
        <w:t>c) Mẫu Sổ hoặc Giấy chứng nhận sở hữu chứng khoán có chữ ký của người có thẩm quyền và đóng dấu của TCĐKCK (đối với trường hợp Mẫu khác so với Mẫu đã đăng ký với VSDC trước đây);</w:t>
      </w:r>
    </w:p>
    <w:p w14:paraId="530E953A" w14:textId="44ADD2D3" w:rsidR="00C0619A" w:rsidRDefault="00C0619A" w:rsidP="00EF30A6">
      <w:pPr>
        <w:widowControl/>
        <w:spacing w:after="160" w:line="259" w:lineRule="auto"/>
        <w:jc w:val="both"/>
      </w:pPr>
      <w:r>
        <w:lastRenderedPageBreak/>
        <w:t>d) Danh sách người sở hữu chứng khoán hạn chế chuyển nhượng, trong đó ghi rõ thông tin về số lượng chứng khoán bị hạn chế chuyển nhượng, lý do và thời gian bị hạn chế chuyển nhượng theo từng người sở hữu (nếu có);</w:t>
      </w:r>
    </w:p>
    <w:p w14:paraId="4C2C01B6" w14:textId="5BD2E526" w:rsidR="00C0619A" w:rsidRDefault="00C0619A" w:rsidP="00EF30A6">
      <w:pPr>
        <w:widowControl/>
        <w:spacing w:after="160" w:line="259" w:lineRule="auto"/>
        <w:jc w:val="both"/>
      </w:pPr>
      <w:r>
        <w:t>đ) Bản sao văn bản của TCĐKCK báo cáo UBCKNN kết quả đợt chào bán, phát hành và văn bản thông báo của UBCKNN về việc nhận được báo cáo kết quả đợt chào bán, phát hành (áp dụng đối với trường hợp TCĐKCK là công ty đại chúng).</w:t>
      </w:r>
    </w:p>
    <w:p w14:paraId="760AA74C" w14:textId="24152FAE" w:rsidR="00C0619A" w:rsidRDefault="00C0619A" w:rsidP="00EF30A6">
      <w:pPr>
        <w:widowControl/>
        <w:spacing w:after="160" w:line="259" w:lineRule="auto"/>
        <w:jc w:val="both"/>
      </w:pPr>
      <w:r>
        <w:t>e) Bản sao hợp lệ Giấy chứng nhận đăng ký doanh nghiệp ghi nhận số lượng cổ phần mới sau khi hoàn thành đợt phát hành và văn bản của TCĐKCK xác nhận chưa là công ty đại chúng (áp dụng đối với trường hợp TCĐKCK là doanh nghiệp cổ phần hóa chưa phải công ty đại chúng); Giấy chứng nhận đăng ký lập quỹ điều chỉnh do UBCKNN cấp (áp dụng trường hợp chứng chỉ quỹ đóng);</w:t>
      </w:r>
    </w:p>
    <w:p w14:paraId="3342F743" w14:textId="27167863" w:rsidR="00C0619A" w:rsidRDefault="00C0619A" w:rsidP="00EF30A6">
      <w:pPr>
        <w:widowControl/>
        <w:spacing w:after="160" w:line="259" w:lineRule="auto"/>
        <w:jc w:val="both"/>
      </w:pPr>
      <w:r>
        <w:t>g) Bản sao văn bản của các tổ chức thực hiện đấu giá xác nhận kết quả đấu giá, trong đó nêu rõ tổng số lượng cổ phần bán được (áp dụng với trường hợp bán đấu giá cổ phần).</w:t>
      </w:r>
    </w:p>
    <w:p w14:paraId="515C572F" w14:textId="4E3A2125" w:rsidR="00C0619A" w:rsidRDefault="00C0619A" w:rsidP="00EF30A6">
      <w:pPr>
        <w:widowControl/>
        <w:spacing w:after="160" w:line="259" w:lineRule="auto"/>
        <w:jc w:val="both"/>
      </w:pPr>
      <w:r>
        <w:t>2. Hồ sơ điều chỉnh tăng số lượng chứng khoán đối với các công cụ nợ niêm yết và giao dịch trên SGDCK:</w:t>
      </w:r>
    </w:p>
    <w:p w14:paraId="5CEB9AF2" w14:textId="04A1CCCA" w:rsidR="00C0619A" w:rsidRDefault="00C0619A" w:rsidP="00EF30A6">
      <w:pPr>
        <w:widowControl/>
        <w:spacing w:after="160" w:line="259" w:lineRule="auto"/>
        <w:jc w:val="both"/>
      </w:pPr>
      <w:r>
        <w:t>a) Văn bản đề nghị đăng ký, lưu ký công cụ nợ của TCĐKCK;</w:t>
      </w:r>
    </w:p>
    <w:p w14:paraId="12678C01" w14:textId="1DB35A74" w:rsidR="00C0619A" w:rsidRDefault="00C0619A" w:rsidP="00EF30A6">
      <w:pPr>
        <w:widowControl/>
        <w:spacing w:after="160" w:line="259" w:lineRule="auto"/>
        <w:jc w:val="both"/>
      </w:pPr>
      <w:r>
        <w:t>b) Thông báo kết quả đấu thầu; Danh sách các nhà đầu tư trúng thầu, trong đó nêu rõ số tài khoản lưu ký và nơi mở tài khoản lưu ký (trường hợp phát hành qua đấu thầu);</w:t>
      </w:r>
    </w:p>
    <w:p w14:paraId="30CAE9E0" w14:textId="56A54776" w:rsidR="00C0619A" w:rsidRDefault="00C0619A" w:rsidP="00EF30A6">
      <w:pPr>
        <w:widowControl/>
        <w:spacing w:after="160" w:line="259" w:lineRule="auto"/>
        <w:jc w:val="both"/>
      </w:pPr>
      <w:r>
        <w:t>c) Danh sách chủ sở hữu công cụ nợ trong đó nêu rõ số tài khoản lưu ký và nơi mở tài khoản lưu ký (trường hợp phát hành qua bảo lãnh, riêng lẻ).</w:t>
      </w:r>
    </w:p>
    <w:p w14:paraId="4EC5F238" w14:textId="5ADC75EF" w:rsidR="00C0619A" w:rsidRPr="00BB7075" w:rsidRDefault="00C0619A" w:rsidP="00C0619A">
      <w:pPr>
        <w:widowControl/>
        <w:spacing w:after="160" w:line="259" w:lineRule="auto"/>
        <w:rPr>
          <w:strike/>
        </w:rPr>
      </w:pPr>
      <w:r w:rsidRPr="00BB7075">
        <w:rPr>
          <w:strike/>
        </w:rPr>
        <w:t>3. Hồ sơ điều chỉnh tăng số lượng chứng khoán đối với các công cụ nợ niêm yết và giao dịch trên SGDCK trong trường hợp hoán đổi công cụ nợ:</w:t>
      </w:r>
    </w:p>
    <w:p w14:paraId="2408E544" w14:textId="332CDB0E" w:rsidR="00C0619A" w:rsidRPr="00BB7075" w:rsidRDefault="00C0619A" w:rsidP="00C0619A">
      <w:pPr>
        <w:widowControl/>
        <w:spacing w:after="160" w:line="259" w:lineRule="auto"/>
        <w:rPr>
          <w:strike/>
        </w:rPr>
      </w:pPr>
      <w:r w:rsidRPr="00BB7075">
        <w:rPr>
          <w:strike/>
        </w:rPr>
        <w:t>a) Văn bản của TCĐKCK thông báo về việc tổ chức đợt hoán đổi công cụ nợ;</w:t>
      </w:r>
    </w:p>
    <w:p w14:paraId="11B07BB6" w14:textId="797FB417" w:rsidR="00C0619A" w:rsidRPr="00BB7075" w:rsidRDefault="00C0619A" w:rsidP="00C0619A">
      <w:pPr>
        <w:widowControl/>
        <w:spacing w:after="160" w:line="259" w:lineRule="auto"/>
        <w:rPr>
          <w:strike/>
        </w:rPr>
      </w:pPr>
      <w:r w:rsidRPr="00BB7075">
        <w:rPr>
          <w:strike/>
        </w:rPr>
        <w:t>b) Văn bản thông báo về kết quả hoán đổi công cụ nợ và đề nghị hủy đăng ký đối với công cụ nợ bị hoán đổi và đăng ký, lưu ký đối với công cụ nợ được hoán đổi của TCĐKCK;</w:t>
      </w:r>
    </w:p>
    <w:p w14:paraId="5AFEA0E4" w14:textId="27260AF9" w:rsidR="00C0619A" w:rsidRPr="00BB7075" w:rsidRDefault="00C0619A" w:rsidP="00C0619A">
      <w:pPr>
        <w:widowControl/>
        <w:spacing w:after="160" w:line="259" w:lineRule="auto"/>
        <w:rPr>
          <w:strike/>
        </w:rPr>
      </w:pPr>
      <w:r w:rsidRPr="00BB7075">
        <w:rPr>
          <w:strike/>
        </w:rPr>
        <w:t>c) Danh sách chủ sở hữu công cụ nợ được hoán đổi công cụ nợ, trong đó nêu rõ số tài khoản lưu ký và nơi mở tài khoản lưu ký;</w:t>
      </w:r>
    </w:p>
    <w:p w14:paraId="43CD4692" w14:textId="2358F7C5" w:rsidR="00C0619A" w:rsidRPr="00BB7075" w:rsidRDefault="00C0619A" w:rsidP="00C0619A">
      <w:pPr>
        <w:widowControl/>
        <w:spacing w:after="160" w:line="259" w:lineRule="auto"/>
        <w:rPr>
          <w:strike/>
        </w:rPr>
      </w:pPr>
      <w:r w:rsidRPr="00BB7075">
        <w:rPr>
          <w:strike/>
        </w:rPr>
        <w:t>d) Danh sách chủ sở hữu công cụ nợ bị hoán đổi, trong đó nêu rõ số tài khoản lưu ký và nơi mở tài khoản lưu ký.</w:t>
      </w:r>
    </w:p>
    <w:p w14:paraId="1F25A9BA" w14:textId="4BF8D039" w:rsidR="00C0619A" w:rsidRPr="00BB7075" w:rsidRDefault="00C0619A" w:rsidP="00C0619A">
      <w:pPr>
        <w:widowControl/>
        <w:spacing w:after="160" w:line="259" w:lineRule="auto"/>
        <w:rPr>
          <w:strike/>
        </w:rPr>
      </w:pPr>
      <w:r w:rsidRPr="00BB7075">
        <w:rPr>
          <w:strike/>
        </w:rPr>
        <w:t>4. Hồ sơ điều chỉnh tăng số lượng chứng khoán đối với công cụ nợ phát hành để đảm bảo thanh khoản theo đề nghị của Kho bạc Nhà nước:</w:t>
      </w:r>
    </w:p>
    <w:p w14:paraId="5902E9E0" w14:textId="388E73AF" w:rsidR="00C0619A" w:rsidRPr="00BB7075" w:rsidRDefault="00C0619A" w:rsidP="00C0619A">
      <w:pPr>
        <w:widowControl/>
        <w:spacing w:after="160" w:line="259" w:lineRule="auto"/>
        <w:rPr>
          <w:strike/>
        </w:rPr>
      </w:pPr>
      <w:r w:rsidRPr="00BB7075">
        <w:rPr>
          <w:strike/>
        </w:rPr>
        <w:t>a) Văn bản của Kho bạc Nhà nước đề nghị đăng ký, lưu ký công cụ nợ;</w:t>
      </w:r>
    </w:p>
    <w:p w14:paraId="3E80FDE6" w14:textId="28434A84" w:rsidR="00C0619A" w:rsidRPr="00BB7075" w:rsidRDefault="00C0619A" w:rsidP="00C0619A">
      <w:pPr>
        <w:widowControl/>
        <w:spacing w:after="160" w:line="259" w:lineRule="auto"/>
        <w:rPr>
          <w:strike/>
        </w:rPr>
      </w:pPr>
      <w:r w:rsidRPr="00BB7075">
        <w:rPr>
          <w:strike/>
        </w:rPr>
        <w:t>b) Danh sách chủ sở hữu công cụ nợ trong đó nêu rõ số tài khoản lưu ký và nơi mở tài khoản lưu ký.</w:t>
      </w:r>
    </w:p>
    <w:p w14:paraId="110BF5C2" w14:textId="340E6B9E" w:rsidR="00C0619A" w:rsidRPr="00BB7075" w:rsidRDefault="00C0619A" w:rsidP="00C0619A">
      <w:pPr>
        <w:widowControl/>
        <w:spacing w:after="160" w:line="259" w:lineRule="auto"/>
        <w:rPr>
          <w:strike/>
        </w:rPr>
      </w:pPr>
      <w:r w:rsidRPr="00BB7075">
        <w:rPr>
          <w:strike/>
        </w:rPr>
        <w:t>5. Hồ sơ điều chỉnh giảm số lượng chứng khoán (ngoại trừ các trường hợp hủy đăng ký chứng khoán quy định tại Điều 7, Điều 8 Quy chế này)</w:t>
      </w:r>
    </w:p>
    <w:p w14:paraId="2C92DF51" w14:textId="7153B9DE" w:rsidR="00C0619A" w:rsidRPr="00BB7075" w:rsidRDefault="00C0619A" w:rsidP="00C0619A">
      <w:pPr>
        <w:widowControl/>
        <w:spacing w:after="160" w:line="259" w:lineRule="auto"/>
        <w:rPr>
          <w:strike/>
        </w:rPr>
      </w:pPr>
      <w:r w:rsidRPr="00BB7075">
        <w:rPr>
          <w:strike/>
        </w:rPr>
        <w:t>a) Giấy đề nghị điều chỉnh thông tin số lượng chứng khoán đăng ký theo Mẫu 05C/ĐKCK ban hành kèm theo Quy chế này;</w:t>
      </w:r>
    </w:p>
    <w:p w14:paraId="748266D8" w14:textId="7CD4231B" w:rsidR="00C0619A" w:rsidRPr="00BB7075" w:rsidRDefault="00C0619A" w:rsidP="00C0619A">
      <w:pPr>
        <w:widowControl/>
        <w:spacing w:after="160" w:line="259" w:lineRule="auto"/>
        <w:rPr>
          <w:strike/>
        </w:rPr>
      </w:pPr>
      <w:r w:rsidRPr="00BB7075">
        <w:rPr>
          <w:strike/>
        </w:rPr>
        <w:t>b) Tài liệu của tổ chức/cơ quan có thẩm quyền về việc điều chỉnh giảm số lượng chứng khoán đăng ký (trường hợp điều chỉnh giảm theo yêu cầu của tổ chức/cơ quan có thẩm quyền);</w:t>
      </w:r>
    </w:p>
    <w:p w14:paraId="0C2403D4" w14:textId="197D73E7" w:rsidR="00C0619A" w:rsidRPr="00BB7075" w:rsidRDefault="00C0619A" w:rsidP="00C0619A">
      <w:pPr>
        <w:widowControl/>
        <w:spacing w:after="160" w:line="259" w:lineRule="auto"/>
        <w:rPr>
          <w:strike/>
        </w:rPr>
      </w:pPr>
      <w:r w:rsidRPr="00BB7075">
        <w:rPr>
          <w:strike/>
        </w:rPr>
        <w:lastRenderedPageBreak/>
        <w:t>c) Giấy chứng nhận đăng ký doanh nghiệp ghi nhận số lượng cổ phần mới sau khi giảm (nếu có) (áp dụng đối với cổ phiếu);</w:t>
      </w:r>
    </w:p>
    <w:p w14:paraId="6DDCDA3B" w14:textId="183A8E9A" w:rsidR="00C0619A" w:rsidRPr="00BB7075" w:rsidRDefault="00C0619A" w:rsidP="00C0619A">
      <w:pPr>
        <w:widowControl/>
        <w:spacing w:after="160" w:line="259" w:lineRule="auto"/>
        <w:rPr>
          <w:strike/>
        </w:rPr>
      </w:pPr>
      <w:r w:rsidRPr="00BB7075">
        <w:rPr>
          <w:strike/>
        </w:rPr>
        <w:t>d) Danh sách người sở hữu chứng khoán bị điều chỉnh giảm số lượng chứng khoán đăng ký theo Mẫu 03/ĐKCK ban hành kèm theo Quy chế này;</w:t>
      </w:r>
    </w:p>
    <w:p w14:paraId="22078A0A" w14:textId="6DF9839A" w:rsidR="00C0619A" w:rsidRPr="00BB7075" w:rsidRDefault="00C0619A" w:rsidP="00C0619A">
      <w:pPr>
        <w:widowControl/>
        <w:spacing w:after="160" w:line="259" w:lineRule="auto"/>
        <w:rPr>
          <w:strike/>
        </w:rPr>
      </w:pPr>
      <w:r w:rsidRPr="00BB7075">
        <w:rPr>
          <w:strike/>
        </w:rPr>
        <w:t>đ) Bản sao tài liệu của SGDCK có nội dung về việc tạm ngừng giao dịch (nếu có) (áp dụng đối với cổ phiếu);</w:t>
      </w:r>
    </w:p>
    <w:p w14:paraId="4D7E57F8" w14:textId="59D5BA69" w:rsidR="00C0619A" w:rsidRPr="00BB7075" w:rsidRDefault="00C0619A" w:rsidP="00C0619A">
      <w:pPr>
        <w:widowControl/>
        <w:spacing w:after="160" w:line="259" w:lineRule="auto"/>
        <w:rPr>
          <w:strike/>
        </w:rPr>
      </w:pPr>
      <w:r w:rsidRPr="00BB7075">
        <w:rPr>
          <w:strike/>
        </w:rPr>
        <w:t>e) Các tài liệu có liên quan khác.</w:t>
      </w:r>
    </w:p>
    <w:p w14:paraId="775D352B" w14:textId="77777777" w:rsidR="00C0619A" w:rsidRDefault="00C0619A" w:rsidP="00C0619A">
      <w:pPr>
        <w:widowControl/>
        <w:spacing w:after="160" w:line="259" w:lineRule="auto"/>
      </w:pPr>
    </w:p>
    <w:p w14:paraId="6E947B81" w14:textId="2E654B3F" w:rsidR="00C0619A" w:rsidRDefault="00C0619A" w:rsidP="00C0619A">
      <w:pPr>
        <w:pStyle w:val="Heading2"/>
      </w:pPr>
      <w:bookmarkStart w:id="140" w:name="_Toc204931444"/>
      <w:r>
        <w:t xml:space="preserve">Điều 14 </w:t>
      </w:r>
      <w:r w:rsidRPr="00C0619A">
        <w:t>37/QĐ-HĐTV</w:t>
      </w:r>
      <w:r>
        <w:t>. Xử lý hồ sơ điều chỉnh thông tin số lượng chứng khoán đăng ký</w:t>
      </w:r>
      <w:bookmarkEnd w:id="140"/>
    </w:p>
    <w:p w14:paraId="778B1789" w14:textId="2970A21E" w:rsidR="00C0619A" w:rsidRDefault="00C0619A" w:rsidP="00C0619A">
      <w:pPr>
        <w:widowControl/>
        <w:spacing w:after="160" w:line="259" w:lineRule="auto"/>
      </w:pPr>
      <w:r>
        <w:t>1. Thời gian xử lý</w:t>
      </w:r>
    </w:p>
    <w:p w14:paraId="26049759" w14:textId="73875263" w:rsidR="00C0619A" w:rsidRDefault="00C0619A" w:rsidP="00C0619A">
      <w:pPr>
        <w:widowControl/>
        <w:spacing w:after="160" w:line="259" w:lineRule="auto"/>
      </w:pPr>
      <w:r>
        <w:t>a) Đối với trường hợp quy định tại khoản 1, khoản 5 Điều 13 Quy chế này, VSDC xử lý hồ sơ trong vòng 05 ngày làm việc kể từ ngày VSDC nhận được hồ sơ của TCĐKCK.</w:t>
      </w:r>
    </w:p>
    <w:p w14:paraId="3720C9F7" w14:textId="72063760" w:rsidR="00C0619A" w:rsidRDefault="00C0619A" w:rsidP="00C0619A">
      <w:pPr>
        <w:widowControl/>
        <w:spacing w:after="160" w:line="259" w:lineRule="auto"/>
      </w:pPr>
      <w:r>
        <w:t>b) Đối với trường hợp quy định tại khoản 2, 3 và 4 Điều 13 Quy chế này, VSDC xử lý hồ sơ trong vòng 01 ngày làm việc kể từ ngày VSDC nhận được hồ sơ của TCĐKCK.</w:t>
      </w:r>
    </w:p>
    <w:p w14:paraId="588C9D10" w14:textId="01FD6B33" w:rsidR="00C0619A" w:rsidRDefault="00C0619A" w:rsidP="00C0619A">
      <w:pPr>
        <w:widowControl/>
        <w:spacing w:after="160" w:line="259" w:lineRule="auto"/>
      </w:pPr>
      <w:r>
        <w:t>2. Trường hợp hồ sơ hợp lệ, VSDC thực hiện:</w:t>
      </w:r>
    </w:p>
    <w:p w14:paraId="2C4E80DC" w14:textId="1C5EF583" w:rsidR="00C0619A" w:rsidRDefault="00C0619A" w:rsidP="00C0619A">
      <w:pPr>
        <w:widowControl/>
        <w:spacing w:after="160" w:line="259" w:lineRule="auto"/>
      </w:pPr>
      <w:r>
        <w:t>- Đối với trường hợp điều chỉnh thông tin tăng số lượng chứng khoán, VSDC gửi:</w:t>
      </w:r>
    </w:p>
    <w:p w14:paraId="029EDE0E" w14:textId="1CD116A8" w:rsidR="00C0619A" w:rsidRDefault="00C0619A" w:rsidP="00C0619A">
      <w:pPr>
        <w:widowControl/>
        <w:spacing w:after="160" w:line="259" w:lineRule="auto"/>
      </w:pPr>
      <w:r>
        <w:t>+ Văn bản chứng nhận điều chỉnh thông tin số lượng chứng khoán đăng ký cho TCĐKCK, SGDCK liên quan và các TVLK;</w:t>
      </w:r>
    </w:p>
    <w:p w14:paraId="1C6CCFFD" w14:textId="20454768" w:rsidR="00C0619A" w:rsidRDefault="00C0619A" w:rsidP="00C0619A">
      <w:pPr>
        <w:widowControl/>
        <w:spacing w:after="160" w:line="259" w:lineRule="auto"/>
      </w:pPr>
      <w:r>
        <w:t>+ Điện nghiệp vụ MT501 - Thông báo đăng ký chứng khoán cho các TVLK; MT596 kèm theo file dữ liệu thông báo hạch toán chứng khoán cho TVLK liên quan;</w:t>
      </w:r>
    </w:p>
    <w:p w14:paraId="1A6F70B6" w14:textId="0F3FDE71" w:rsidR="00C0619A" w:rsidRDefault="00C0619A" w:rsidP="00C0619A">
      <w:pPr>
        <w:widowControl/>
        <w:spacing w:after="160" w:line="259" w:lineRule="auto"/>
      </w:pPr>
      <w:r>
        <w:t>+ Danh sách thông báo số SID của người sở hữu chứng khoán đã được tạo ra trên hệ thống lưu ký cho TCĐKCK dưới dạng chứng từ điện tử qua ICOSY (áp dụng đối với trường hợp TCĐKCK gửi Danh sách nêu tại điểm b khoản 1 Điều 13 Quy chế này).</w:t>
      </w:r>
    </w:p>
    <w:p w14:paraId="0290F292" w14:textId="4EAAF32D" w:rsidR="00C0619A" w:rsidRDefault="00C0619A" w:rsidP="00C0619A">
      <w:pPr>
        <w:widowControl/>
        <w:spacing w:after="160" w:line="259" w:lineRule="auto"/>
      </w:pPr>
      <w:r>
        <w:t>- Đối với trường hợp điều chỉnh giảm số lượng chứng khoán, VSDC gửi:</w:t>
      </w:r>
    </w:p>
    <w:p w14:paraId="2D233F80" w14:textId="21FBA9B9" w:rsidR="00C0619A" w:rsidRDefault="00C0619A" w:rsidP="00C0619A">
      <w:pPr>
        <w:widowControl/>
        <w:spacing w:after="160" w:line="259" w:lineRule="auto"/>
      </w:pPr>
      <w:r>
        <w:t>+ Văn bản chứng nhận điều chỉnh thông tin số lượng chứng khoán đăng ký cho TCĐKCK, SGDCK liên quan và các TVLK;</w:t>
      </w:r>
    </w:p>
    <w:p w14:paraId="2B1F9CAE" w14:textId="52DA765D" w:rsidR="00C0619A" w:rsidRDefault="00C0619A" w:rsidP="00C0619A">
      <w:pPr>
        <w:widowControl/>
        <w:spacing w:after="160" w:line="259" w:lineRule="auto"/>
      </w:pPr>
      <w:r>
        <w:t>+ MT596 kèm theo file dữ liệu thông báo hạch toán chứng khoán cho TVLK liên quan vào ngày hiệu lực điều chỉnh giảm.</w:t>
      </w:r>
    </w:p>
    <w:p w14:paraId="6C067F40" w14:textId="76CA8843" w:rsidR="00634EBD" w:rsidRDefault="00C0619A" w:rsidP="00C0619A">
      <w:pPr>
        <w:widowControl/>
        <w:spacing w:after="160" w:line="259" w:lineRule="auto"/>
      </w:pPr>
      <w:r>
        <w:t>3. Trường hợp hồ sơ chưa hợp lệ, VSDC gửi văn bản thông báo cho TCĐKCK và nêu rõ lý do chưa thực hiện điều chỉnh thông tin số lượng chứng khoán đăng ký.</w:t>
      </w:r>
      <w:r w:rsidR="00634EBD">
        <w:br w:type="page"/>
      </w:r>
    </w:p>
    <w:p w14:paraId="76844EE5" w14:textId="77777777" w:rsidR="00E16157" w:rsidRDefault="00E16157" w:rsidP="00E16157"/>
    <w:bookmarkEnd w:id="126"/>
    <w:p w14:paraId="00CA6AC5" w14:textId="18F98E5E" w:rsidR="005C7E0C" w:rsidRDefault="005C7E0C" w:rsidP="00E16157"/>
    <w:p w14:paraId="38D77E6C" w14:textId="77777777" w:rsidR="005C7E0C" w:rsidRDefault="005C7E0C" w:rsidP="00E16157">
      <w:pPr>
        <w:rPr>
          <w:sz w:val="18"/>
          <w:szCs w:val="18"/>
        </w:rPr>
      </w:pPr>
    </w:p>
    <w:p w14:paraId="5C8D84E1" w14:textId="0E3DFF76" w:rsidR="00106D6E" w:rsidRPr="00106D6E" w:rsidRDefault="00634EBD" w:rsidP="00634EBD">
      <w:pPr>
        <w:pStyle w:val="Heading1"/>
      </w:pPr>
      <w:bookmarkStart w:id="141" w:name="_Toc204931445"/>
      <w:r>
        <w:t>PHÁT HÀNH CỔ PHIẾU ĐỂ TRẢ CỔ TỨC</w:t>
      </w:r>
      <w:bookmarkEnd w:id="141"/>
    </w:p>
    <w:p w14:paraId="4A83F098" w14:textId="77777777" w:rsidR="00106D6E" w:rsidRDefault="00106D6E" w:rsidP="00106D6E">
      <w:pPr>
        <w:pStyle w:val="Heading2"/>
        <w:rPr>
          <w:rFonts w:eastAsia="Times New Roman"/>
          <w:sz w:val="18"/>
          <w:szCs w:val="18"/>
          <w:lang w:eastAsia="en-US"/>
        </w:rPr>
      </w:pPr>
      <w:bookmarkStart w:id="142" w:name="dieu_60"/>
      <w:bookmarkStart w:id="143" w:name="_Toc204931446"/>
      <w:r>
        <w:t>Điều 60. Điều kiện công ty đại chúng phát hành cổ phiếu để trả cổ tức</w:t>
      </w:r>
      <w:bookmarkEnd w:id="142"/>
      <w:bookmarkEnd w:id="143"/>
    </w:p>
    <w:p w14:paraId="42B1D6AD" w14:textId="77777777" w:rsidR="00106D6E" w:rsidRDefault="00106D6E" w:rsidP="00106D6E">
      <w:pPr>
        <w:rPr>
          <w:sz w:val="18"/>
          <w:szCs w:val="18"/>
        </w:rPr>
      </w:pPr>
      <w:r>
        <w:t xml:space="preserve">1. Có phương án phát hành cổ phiếu để trả cổ tức được </w:t>
      </w:r>
      <w:r w:rsidRPr="00106D6E">
        <w:rPr>
          <w:highlight w:val="yellow"/>
        </w:rPr>
        <w:t>Đại hội đồng cổ đông thông qua</w:t>
      </w:r>
      <w:r>
        <w:t>.</w:t>
      </w:r>
    </w:p>
    <w:p w14:paraId="3B85946C" w14:textId="77777777" w:rsidR="00106D6E" w:rsidRDefault="00106D6E" w:rsidP="00106D6E">
      <w:pPr>
        <w:rPr>
          <w:sz w:val="18"/>
          <w:szCs w:val="18"/>
        </w:rPr>
      </w:pPr>
      <w:r>
        <w:t xml:space="preserve">2. Có lợi nhuận sau thuế chưa phân phối căn cứ báo cáo tài chính năm gần nhất được kiểm toán bởi tổ chức kiểm toán được chấp thuận đủ để trả cổ tức. Trường hợp công ty đại chúng là công ty mẹ phát hành cổ phiếu để trả cổ tức, lợi nhuận quyết định phân phối không được vượt quá mức lợi nhuận sau thuế chưa phân phối trên báo cáo tài chính hợp nhất được kiểm toán. Trường hợp lợi nhuận quyết định phân phối thấp hơn lợi nhuận sau thuế chưa phân phối trên báo cáo tài chính hợp nhất và cao hơn mức lợi nhuận sau thuế chưa phân phối trên báo cáo tài chính riêng của công ty mẹ, </w:t>
      </w:r>
      <w:r w:rsidRPr="00AE27E0">
        <w:rPr>
          <w:highlight w:val="yellow"/>
        </w:rPr>
        <w:t>công ty chỉ được thực hiện việc phân phối sau khi đã điều chuyển lợi nhuận từ các công ty con về công ty mẹ</w:t>
      </w:r>
      <w:r>
        <w:t>.</w:t>
      </w:r>
    </w:p>
    <w:p w14:paraId="0E9BCA74" w14:textId="77777777" w:rsidR="00106D6E" w:rsidRDefault="00106D6E" w:rsidP="00106D6E">
      <w:pPr>
        <w:rPr>
          <w:sz w:val="18"/>
          <w:szCs w:val="18"/>
        </w:rPr>
      </w:pPr>
      <w:r>
        <w:t>3. Có phương án xử lý phần lẻ cổ phần, cổ phiếu lẻ (nếu có) được Đại hội đồng cổ đông hoặc Hội đồng quản trị thông qua.</w:t>
      </w:r>
    </w:p>
    <w:p w14:paraId="09B2881B" w14:textId="77777777" w:rsidR="00106D6E" w:rsidRPr="00B744BE" w:rsidRDefault="00106D6E" w:rsidP="00106D6E">
      <w:pPr>
        <w:rPr>
          <w:strike/>
          <w:sz w:val="18"/>
          <w:szCs w:val="18"/>
        </w:rPr>
      </w:pPr>
      <w:r w:rsidRPr="00B744BE">
        <w:rPr>
          <w:strike/>
        </w:rPr>
        <w:t>4. Được Ngân hàng Nhà nước Việt Nam chấp thuận về đề nghị tăng vốn điều lệ </w:t>
      </w:r>
      <w:r w:rsidRPr="00B744BE">
        <w:rPr>
          <w:strike/>
          <w:lang w:val="de-DE"/>
        </w:rPr>
        <w:t>theo quy định của pháp luật về các tổ chức tín dụng </w:t>
      </w:r>
      <w:r w:rsidRPr="00B744BE">
        <w:rPr>
          <w:strike/>
        </w:rPr>
        <w:t>đối với việc phát hành cổ phiếu của tổ chức tín dụng hoặc được Bộ Tài chính chấp thuận việc tăng vốn điều lệ theo quy định của pháp luật về kinh doanh bảo hiểm đối với việc phát hành cổ phiếu của tổ chức kinh doanh bảo hiểm.</w:t>
      </w:r>
    </w:p>
    <w:p w14:paraId="5D157907" w14:textId="77777777" w:rsidR="00B744BE" w:rsidRDefault="00B744BE" w:rsidP="00AE27E0"/>
    <w:p w14:paraId="1F1148FF" w14:textId="77777777" w:rsidR="00B744BE" w:rsidRDefault="00B744BE" w:rsidP="00B744BE">
      <w:pPr>
        <w:pStyle w:val="Heading2"/>
        <w:rPr>
          <w:rFonts w:eastAsia="Times New Roman"/>
          <w:sz w:val="18"/>
          <w:szCs w:val="18"/>
          <w:lang w:eastAsia="en-US"/>
        </w:rPr>
      </w:pPr>
      <w:bookmarkStart w:id="144" w:name="dieu_61"/>
      <w:bookmarkStart w:id="145" w:name="_Toc204931447"/>
      <w:r>
        <w:t>Điều 61. Tài liệu báo cáo phát hành cổ phiếu để trả cổ tức của công ty đại chúng</w:t>
      </w:r>
      <w:bookmarkEnd w:id="144"/>
      <w:bookmarkEnd w:id="145"/>
    </w:p>
    <w:p w14:paraId="752A3181" w14:textId="77777777" w:rsidR="00B744BE" w:rsidRDefault="00B744BE" w:rsidP="00B744BE">
      <w:pPr>
        <w:rPr>
          <w:sz w:val="18"/>
          <w:szCs w:val="18"/>
        </w:rPr>
      </w:pPr>
      <w:r>
        <w:t>1. Báo cáo phát hành theo </w:t>
      </w:r>
      <w:bookmarkStart w:id="146" w:name="bieumau_ms_16"/>
      <w:r>
        <w:t>Mẫu số 16</w:t>
      </w:r>
      <w:bookmarkEnd w:id="146"/>
      <w:r>
        <w:t> Phụ lục ban hành kèm theo Nghị định này.</w:t>
      </w:r>
    </w:p>
    <w:p w14:paraId="6EBA1E04" w14:textId="77777777" w:rsidR="00B744BE" w:rsidRDefault="00B744BE" w:rsidP="00B744BE">
      <w:pPr>
        <w:rPr>
          <w:sz w:val="18"/>
          <w:szCs w:val="18"/>
        </w:rPr>
      </w:pPr>
      <w:r>
        <w:t>2. Quyết định của Đại hội đồng cổ đông thông qua phương án phát hành.</w:t>
      </w:r>
    </w:p>
    <w:p w14:paraId="751E7EE7" w14:textId="77777777" w:rsidR="00B744BE" w:rsidRDefault="00B744BE" w:rsidP="00B744BE">
      <w:pPr>
        <w:rPr>
          <w:sz w:val="18"/>
          <w:szCs w:val="18"/>
        </w:rPr>
      </w:pPr>
      <w:r>
        <w:t>3. Quyết định của Hội đồng quản trị thông qua việc triển khai phương án phát hành.</w:t>
      </w:r>
    </w:p>
    <w:p w14:paraId="2DF76313" w14:textId="77777777" w:rsidR="00B744BE" w:rsidRDefault="00B744BE" w:rsidP="00B744BE">
      <w:pPr>
        <w:rPr>
          <w:sz w:val="18"/>
          <w:szCs w:val="18"/>
        </w:rPr>
      </w:pPr>
      <w:r>
        <w:t>4. Báo cáo tài chính năm gần nhất được kiểm toán bởi tổ chức kiểm toán được chấp thuận.</w:t>
      </w:r>
    </w:p>
    <w:p w14:paraId="06A08CD3" w14:textId="77777777" w:rsidR="00B744BE" w:rsidRDefault="00B744BE" w:rsidP="00B744BE">
      <w:pPr>
        <w:rPr>
          <w:sz w:val="18"/>
          <w:szCs w:val="18"/>
        </w:rPr>
      </w:pPr>
      <w:r>
        <w:t>5. Quyết định của cấp có thẩm quyền của công ty con thông qua việc phân phối lợi nhuận, sao kê có xác nhận của ngân hàng chứng minh việc đã điều chuyển lợi nhuận từ các công ty con về công ty mẹ trong trường hợp lợi nhuận quyết định phân phối thấp hơn lợi nhuận sau thuế chưa phân phối trên báo cáo tài chính hợp nhất và cao hơn mức lợi nhuận sau thuế chưa phân phối trên báo cáo tài chính riêng của công ty mẹ.</w:t>
      </w:r>
    </w:p>
    <w:p w14:paraId="5847219D" w14:textId="77777777" w:rsidR="00B744BE" w:rsidRDefault="00B744BE" w:rsidP="00B744BE">
      <w:pPr>
        <w:rPr>
          <w:sz w:val="18"/>
          <w:szCs w:val="18"/>
        </w:rPr>
      </w:pPr>
      <w:r>
        <w:t>6. Quyết định của Đại hội đồng cổ đông hoặc Hội đồng quản trị thông qua phương án xử lý phần lẻ cổ phần, cổ phiếu lẻ (nếu có).</w:t>
      </w:r>
    </w:p>
    <w:p w14:paraId="3BE16F42" w14:textId="3B5EFF26" w:rsidR="00B744BE" w:rsidRDefault="00B744BE" w:rsidP="00B744BE">
      <w:r>
        <w:t>7. Văn bản chấp thuận của Ngân hàng Nhà nước Việt Nam về đề nghị tăng vốn điều lệ </w:t>
      </w:r>
      <w:r>
        <w:rPr>
          <w:lang w:val="de-DE"/>
        </w:rPr>
        <w:t>theo </w:t>
      </w:r>
      <w:r>
        <w:t>quy</w:t>
      </w:r>
      <w:r>
        <w:rPr>
          <w:lang w:val="de-DE"/>
        </w:rPr>
        <w:t> định của pháp luật về các tổ chức tín dụng </w:t>
      </w:r>
      <w:r>
        <w:t>đối với việc phát hành cổ phiếu của tổ chức tín dụng hoặc văn bản chấp thuận của Bộ Tài chính về việc tăng vốn điều lệ theo quy định của pháp luật về kinh doanh bảo hiểm đối với việc phát hành cổ phiếu của tổ chức kinh doanh bảo hiểm.</w:t>
      </w:r>
    </w:p>
    <w:p w14:paraId="466F164B" w14:textId="2EB70BA5" w:rsidR="00B95AE3" w:rsidRDefault="00B95AE3" w:rsidP="00B744BE"/>
    <w:p w14:paraId="10E73AED" w14:textId="77777777" w:rsidR="00B95AE3" w:rsidRDefault="00B95AE3" w:rsidP="00B95AE3">
      <w:pPr>
        <w:pStyle w:val="Heading2"/>
      </w:pPr>
      <w:bookmarkStart w:id="147" w:name="_Toc204931448"/>
      <w:r>
        <w:t>Khoản 5 Điều 4 Thông tư 118/2020/TT-BTC</w:t>
      </w:r>
      <w:bookmarkEnd w:id="147"/>
    </w:p>
    <w:p w14:paraId="11CC5B7C" w14:textId="77777777" w:rsidR="00B95AE3" w:rsidRDefault="00B95AE3" w:rsidP="00B95AE3">
      <w:r>
        <w:t>Điều 4. Mẫu Bản thông báo chào bán, phát hành chứng khoán, chào mua công khai</w:t>
      </w:r>
    </w:p>
    <w:p w14:paraId="67DE5F2A" w14:textId="77777777" w:rsidR="00B95AE3" w:rsidRDefault="00B95AE3" w:rsidP="00B95AE3">
      <w:r>
        <w:t>5. Bản thông báo phát hành cổ phiếu để trả cổ tức, phát hành cổ phiếu để tăng vốn cổ phần từ nguồn vốn chủ sở hữu theo Mẫu tại Phụ lục số 17 ban hành kèm theo Thông tư này;</w:t>
      </w:r>
    </w:p>
    <w:p w14:paraId="58F5B429" w14:textId="77777777" w:rsidR="00B95AE3" w:rsidRDefault="00B95AE3" w:rsidP="00B95AE3"/>
    <w:p w14:paraId="650D63EE" w14:textId="77777777" w:rsidR="00B95AE3" w:rsidRDefault="00B95AE3" w:rsidP="00B95AE3">
      <w:pPr>
        <w:pStyle w:val="Heading2"/>
      </w:pPr>
      <w:bookmarkStart w:id="148" w:name="_Toc204931449"/>
      <w:r>
        <w:t>Khoản 8 Điều 5 Thông tư 118/2020/TT-BTC</w:t>
      </w:r>
      <w:bookmarkEnd w:id="148"/>
    </w:p>
    <w:p w14:paraId="4DBF95E6" w14:textId="77777777" w:rsidR="00B95AE3" w:rsidRDefault="00B95AE3" w:rsidP="00B95AE3">
      <w:pPr>
        <w:rPr>
          <w:rFonts w:eastAsia="Times New Roman"/>
          <w:sz w:val="18"/>
          <w:szCs w:val="18"/>
          <w:lang w:eastAsia="en-US"/>
        </w:rPr>
      </w:pPr>
      <w:r>
        <w:t>Điều 5. Mẫu Báo cáo kết quả đợt chào bán, đợt phát hành chứng khoán, đợt chào mua công khai</w:t>
      </w:r>
    </w:p>
    <w:p w14:paraId="49E67CBC" w14:textId="77777777" w:rsidR="00B95AE3" w:rsidRDefault="00B95AE3" w:rsidP="00B95AE3">
      <w:r>
        <w:t>8. Báo cáo kết quả đợt phát hành cổ phiếu để trả cổ tức, đợt phát hành cổ phiếu để tăng vốn cổ phần từ nguồn vốn chủ sở hữu theo Mẫu tại Phụ lục số 28 ban hành kèm theo Thông tư này;</w:t>
      </w:r>
    </w:p>
    <w:p w14:paraId="3F468EF6" w14:textId="616A508F" w:rsidR="00B95AE3" w:rsidRDefault="00B95AE3" w:rsidP="00B744BE">
      <w:pPr>
        <w:rPr>
          <w:sz w:val="18"/>
          <w:szCs w:val="18"/>
        </w:rPr>
      </w:pPr>
    </w:p>
    <w:p w14:paraId="3E13FBBA" w14:textId="77777777" w:rsidR="002F0B59" w:rsidRPr="005C7E0C" w:rsidRDefault="002F0B59" w:rsidP="002F0B59">
      <w:pPr>
        <w:pStyle w:val="Heading2"/>
      </w:pPr>
      <w:bookmarkStart w:id="149" w:name="_Toc204931450"/>
      <w:r w:rsidRPr="005C7E0C">
        <w:lastRenderedPageBreak/>
        <w:t>Điều 69</w:t>
      </w:r>
      <w:r>
        <w:t xml:space="preserve"> Nghị định 155</w:t>
      </w:r>
      <w:r w:rsidRPr="005C7E0C">
        <w:t>. Trình tự, thủ tục phát hành cổ phiếu để trả cổ tức, phát hành cổ phiếu để tăng vốn cổ phần từ nguồn vốn chủ sở hữu, phát hành cổ phiếu theo chương trình lựa chọn cho người lao động</w:t>
      </w:r>
      <w:bookmarkEnd w:id="149"/>
    </w:p>
    <w:p w14:paraId="1FACEF61" w14:textId="77777777" w:rsidR="002F0B59" w:rsidRPr="005C7E0C" w:rsidRDefault="002F0B59" w:rsidP="002F0B59">
      <w:r w:rsidRPr="005C7E0C">
        <w:t>1. Tổ chức phát hành phải gửi tài liệu báo cáo phát hành cổ phiếu quy định tại Điều 61</w:t>
      </w:r>
      <w:r w:rsidRPr="00364805">
        <w:rPr>
          <w:highlight w:val="yellow"/>
        </w:rPr>
        <w:t>, Điều 63</w:t>
      </w:r>
      <w:r w:rsidRPr="005C7E0C">
        <w:t>, Điều 65 Nghị định này cho Ủy ban Chứng khoán Nhà nước.</w:t>
      </w:r>
    </w:p>
    <w:p w14:paraId="486829CA" w14:textId="77777777" w:rsidR="002F0B59" w:rsidRPr="005C7E0C" w:rsidRDefault="002F0B59" w:rsidP="002F0B59">
      <w:r w:rsidRPr="005C7E0C">
        <w:t>2. Trong thời hạn 07 ngày làm việc kể từ ngày nhận được tài liệu báo cáo phát hành đầy đủ và hợp lệ, Ủy ban Chứng khoán Nhà nước thông báo bằng văn bản cho tổ chức phát hành và đăng tải trên trang thông tin điện tử của Ủy ban Chứng khoán Nhà nước về việc nhận đầy đủ tài liệu báo cáo phát hành của tổ chức phát hành; trường hợp từ chối, phải trả lời bằng văn bản và nêu rõ lý do.</w:t>
      </w:r>
    </w:p>
    <w:p w14:paraId="5F180425" w14:textId="77777777" w:rsidR="002F0B59" w:rsidRPr="005C7E0C" w:rsidRDefault="002F0B59" w:rsidP="002F0B59">
      <w:r w:rsidRPr="005C7E0C">
        <w:t>3. Trong thời hạn 07 ngày làm việc kể từ ngày Ủy ban Chứng khoán Nhà nước thông báo về việc nhận được đầy đủ tài liệu báo cáo phát hành, tổ chức phát hành phải công bố Bản thông báo phát hành trên trang thông tin điện tử của tổ chức phát hành, Sở giao dịch chứng khoán. Việc công bố thông tin trên phải được thực hiện ít nhất 07 ngày làm việc trước ngày kết thúc đợt phát hành.</w:t>
      </w:r>
    </w:p>
    <w:p w14:paraId="3763F082" w14:textId="77777777" w:rsidR="002F0B59" w:rsidRPr="005C7E0C" w:rsidRDefault="002F0B59" w:rsidP="002F0B59">
      <w:r w:rsidRPr="005C7E0C">
        <w:t>4. Ngày kết thúc đợt phát hành không được quá 45 ngày kể từ ngày Ủy ban Chứng khoán Nhà nước thông báo về việc nhận được đầy đủ tài liệu báo cáo.</w:t>
      </w:r>
    </w:p>
    <w:p w14:paraId="100E88BE" w14:textId="77777777" w:rsidR="002F0B59" w:rsidRPr="005C7E0C" w:rsidRDefault="002F0B59" w:rsidP="002F0B59">
      <w:r w:rsidRPr="005C7E0C">
        <w:t>5. Trong quá trình phát hành cổ phiếu để trả cổ tức hoặc phát hành cổ phiếu để tăng vốn cổ phần từ nguồn vốn chủ sở hữu, trường hợp phát sinh cổ phiếu lẻ, công ty được mua lại cổ phiếu lẻ làm cổ phiếu quỹ theo phương án đã được Đại hội đồng cổ đông thông qua hoặc ủy quyền cho Hội đồng quản trị thông qua. Số cổ phiếu được công ty mua lại này được xử lý theo quy định tại khoản 7 Điều 36 Luật Chứng khoán và các quy định có liên quan.</w:t>
      </w:r>
    </w:p>
    <w:p w14:paraId="18A08883" w14:textId="77777777" w:rsidR="002F0B59" w:rsidRPr="005C7E0C" w:rsidRDefault="002F0B59" w:rsidP="002F0B59">
      <w:r w:rsidRPr="005C7E0C">
        <w:t>6. Trong thời hạn 15 ngày kể từ ngày kết thúc đợt phát hành, tổ chức phát hành phải gửi Báo cáo kết quả đợt phát hành cho Ủy ban Chứng khoán Nhà nước và công bố thông tin trên trang thông tin điện tử của tổ chức phát hành, Sở giao dịch chứng khoán về kết quả đợt phát hành. Đối với trường hợp phát hành cổ phiếu theo chương trình lựa chọn cho người lao động, tài liệu báo cáo kết quả đợt phát hành gửi Ủy ban Chứng khoán Nhà nước kèm theo:</w:t>
      </w:r>
    </w:p>
    <w:p w14:paraId="61A1D8DD" w14:textId="77777777" w:rsidR="002F0B59" w:rsidRPr="005C7E0C" w:rsidRDefault="002F0B59" w:rsidP="002F0B59">
      <w:r w:rsidRPr="005C7E0C">
        <w:t>a) Danh sách người lao động tham gia chương trình trong đó nêu cụ thể về số lượng cổ phiếu của từng người lao động đã nộp tiền mua hoặc được phân phối (đối với trường hợp phát hành cổ phiếu thưởng cho người lao động);</w:t>
      </w:r>
    </w:p>
    <w:p w14:paraId="190976DF" w14:textId="77777777" w:rsidR="002F0B59" w:rsidRPr="005C7E0C" w:rsidRDefault="002F0B59" w:rsidP="002F0B59">
      <w:r w:rsidRPr="005C7E0C">
        <w:t>b) Văn bản xác nhận của ngân hàng, chi nhánh ngân hàng nước ngoài nơi mở tài khoản phong tỏa về số tiền thu được từ đợt phát hành, trừ trường hợp phát hành cổ phiếu thưởng cho người lao động.</w:t>
      </w:r>
    </w:p>
    <w:p w14:paraId="1B2201A9" w14:textId="77777777" w:rsidR="002F0B59" w:rsidRPr="005C7E0C" w:rsidRDefault="002F0B59" w:rsidP="002F0B59">
      <w:r w:rsidRPr="005C7E0C">
        <w:t>7. Trong thời hạn 03 ngày làm việc kể từ ngày nhận được tài liệu báo cáo kết quả đợt phát hành đầy đủ và hợp lệ, Ủy ban Chứng khoán Nhà nước thông báo bằng văn bản về việc nhận được báo cáo kết quả đợt phát hành cho tổ chức phát hành đồng thời gửi cho Sở giao dịch chứng khoán, Tổng công ty lưu ký và bù trừ chứng khoán Việt Nam và đăng tải trên trang thông tin điện tử của Ủy ban Chứng khoán Nhà nước về việc nhận được báo cáo kết quả đợt phát hành.</w:t>
      </w:r>
    </w:p>
    <w:p w14:paraId="02A6702A" w14:textId="77777777" w:rsidR="002F0B59" w:rsidRDefault="002F0B59" w:rsidP="002F0B59">
      <w:r w:rsidRPr="005C7E0C">
        <w:t>8. Sau khi có thông báo nhận được báo cáo kết quả đợt phát hành của Ủy ban Chứng khoán Nhà nước, tổ chức phát hành được yêu cầu chấm dứt phong tỏa số tiền thu được từ đợt phát hành đối với trường hợp phát hành cổ phiếu theo chương trình lựa chọn cho người lao động, trừ trường hợp phát hành cổ phiếu thưởng cho người lao động.</w:t>
      </w:r>
    </w:p>
    <w:p w14:paraId="4EAF81D1" w14:textId="07992E8F" w:rsidR="002F0B59" w:rsidRDefault="002F0B59" w:rsidP="009725C5">
      <w:pPr>
        <w:pStyle w:val="Heading2"/>
      </w:pPr>
    </w:p>
    <w:p w14:paraId="35225F4D" w14:textId="1F4A6907" w:rsidR="0019105E" w:rsidRDefault="0019105E" w:rsidP="0019105E">
      <w:pPr>
        <w:pStyle w:val="Heading2"/>
      </w:pPr>
      <w:bookmarkStart w:id="150" w:name="_Toc204931451"/>
      <w:r>
        <w:t>Khoản 4 Điều 11 Thông tư 96/2020/TT-BTC. Công bố thông tin bất thường</w:t>
      </w:r>
      <w:bookmarkEnd w:id="150"/>
    </w:p>
    <w:p w14:paraId="75C99276" w14:textId="4124BE84" w:rsidR="0019105E" w:rsidRDefault="0019105E" w:rsidP="0019105E">
      <w:r>
        <w:t>4. Công bố thông tin liên quan đến ngày đăng ký cuối cùng thực hiện quyền cho cổ đông hiện hữu</w:t>
      </w:r>
    </w:p>
    <w:p w14:paraId="39A4E2AC" w14:textId="4C9311F5" w:rsidR="0019105E" w:rsidRDefault="0019105E" w:rsidP="0019105E">
      <w:r>
        <w:t>a) Công ty đại chúng công bố thông tin về ngày đăng ký cuối cùng dự kiến thực hiện quyền cho cổ đông hiện hữu tối thiểu 10 ngày trước ngày đăng ký cuối cùng dự kiến, trừ trường hợp quy định tại điểm b khoản này;</w:t>
      </w:r>
    </w:p>
    <w:p w14:paraId="1A9BDE65" w14:textId="0598A8DE" w:rsidR="0019105E" w:rsidRDefault="0019105E" w:rsidP="0019105E">
      <w:r>
        <w:t>b) Công ty đại chúng công bố thông tin về ngày đăng ký cuối cùng dự kiến thực hiện quyền cho cổ đông hiện hữu để tham dự họp Đại hội đồng cổ đông tối thiểu 20 ngày trước ngày đăng ký cuối cùng dự kiến.</w:t>
      </w:r>
    </w:p>
    <w:p w14:paraId="3323A24A" w14:textId="58AA77B2" w:rsidR="0019105E" w:rsidRDefault="0019105E" w:rsidP="0019105E"/>
    <w:p w14:paraId="1EBECB19" w14:textId="188232FC" w:rsidR="00F6556C" w:rsidRDefault="00F6556C" w:rsidP="0019105E"/>
    <w:p w14:paraId="5B71CC20" w14:textId="1F3E5181" w:rsidR="00F6556C" w:rsidRDefault="00F6556C" w:rsidP="00F6556C">
      <w:pPr>
        <w:pStyle w:val="Heading2"/>
      </w:pPr>
      <w:bookmarkStart w:id="151" w:name="_Toc204931452"/>
      <w:r>
        <w:lastRenderedPageBreak/>
        <w:t>Điều 7 QĐ38/QĐ-HĐTV. Thông báo thực hiện quyền</w:t>
      </w:r>
      <w:bookmarkEnd w:id="151"/>
    </w:p>
    <w:p w14:paraId="12E3C4F1" w14:textId="7CDAF043" w:rsidR="00F6556C" w:rsidRDefault="00F6556C" w:rsidP="00F6556C">
      <w:r>
        <w:t>1. Quy định chung</w:t>
      </w:r>
    </w:p>
    <w:p w14:paraId="7278794D" w14:textId="1FF1085F" w:rsidR="00F6556C" w:rsidRDefault="00F6556C" w:rsidP="00F6556C">
      <w:r>
        <w:t>TCĐKCK phải gửi hồ sơ thông báo thực hiện quyền hợp lệ theo quy định tại Khoản 2 Điều này đến VSDC chậm nhất 08 ngày làm việc liền trước ngày đăng ký cuối cùng.</w:t>
      </w:r>
    </w:p>
    <w:p w14:paraId="2CC25CFF" w14:textId="4E229669" w:rsidR="00F6556C" w:rsidRDefault="00F6556C" w:rsidP="00F6556C">
      <w:r>
        <w:t>2. Hồ sơ thông báo thực hiện quyền</w:t>
      </w:r>
    </w:p>
    <w:p w14:paraId="576CC7AC" w14:textId="686036C8" w:rsidR="00F6556C" w:rsidRDefault="00F6556C" w:rsidP="00F6556C">
      <w:r>
        <w:t>TCĐKCK gửi cho VSDC hồ sơ thông báo thực hiện quyền, bao gồm:</w:t>
      </w:r>
    </w:p>
    <w:p w14:paraId="226AE759" w14:textId="4496CDC1" w:rsidR="00F6556C" w:rsidRDefault="00F6556C" w:rsidP="00F6556C">
      <w:r>
        <w:t>2.1. Thông báo về ngày đăng ký cuối cùng theo Mẫu 01/THQ ban hành kèm theo Quy chế này;</w:t>
      </w:r>
    </w:p>
    <w:p w14:paraId="21317B2C" w14:textId="174170F3" w:rsidR="00F6556C" w:rsidRDefault="00F6556C" w:rsidP="00F6556C">
      <w:r>
        <w:t>2.2. Bản sao tài liệu chứng minh TCĐKCK đã công bố thông tin về ngày đăng ký cuối cùng thực hiện quyền cho cổ đông hiện hữu tối thiểu 10 ngày trước ngày đăng ký cuối cùng (ngoại trừ trường hợp thực hiện quyền cho cổ đông hiện hữu để tham dự họp Đại hội đồng cổ đông thì phải gửi bản sao tài liệu chứng minh đã công bố thông tin về ngày đăng ký cuối cùng tối thiểu 20 ngày trước ngày đăng ký cuối cùng) (áp dụng đối với TCĐKCK là công ty đại chúng);</w:t>
      </w:r>
    </w:p>
    <w:p w14:paraId="2CB73DD9" w14:textId="5DAD7314" w:rsidR="00F6556C" w:rsidRPr="00F6556C" w:rsidRDefault="00F6556C" w:rsidP="00F6556C">
      <w:pPr>
        <w:rPr>
          <w:strike/>
        </w:rPr>
      </w:pPr>
      <w:r w:rsidRPr="00F6556C">
        <w:rPr>
          <w:strike/>
        </w:rPr>
        <w:t>2.3. Văn bản của TCĐKCK xác nhận chưa là công ty đại chúng và cam kết thực hiện quyền cho người sở hữu chứng khoán theo quy định của Luật Doanh nghiệp (áp dụng đối với trường hợp TCĐKCK là doanh nghiệp cổ phần hóa không phải là công ty đại chúng);</w:t>
      </w:r>
    </w:p>
    <w:p w14:paraId="0CCC8009" w14:textId="7DA3B646" w:rsidR="00F6556C" w:rsidRDefault="00F6556C" w:rsidP="00F6556C">
      <w:r>
        <w:t>2.4. Các tài liệu kèm theo đối với từng trường hợp thực hiện quyền như sau:</w:t>
      </w:r>
    </w:p>
    <w:p w14:paraId="0C948562" w14:textId="1DF51182" w:rsidR="00F6556C" w:rsidRDefault="00F6556C" w:rsidP="00F6556C">
      <w:r>
        <w:t>…</w:t>
      </w:r>
    </w:p>
    <w:p w14:paraId="57E31361" w14:textId="77777777" w:rsidR="00F6556C" w:rsidRDefault="00F6556C" w:rsidP="00F6556C">
      <w:r>
        <w:t>c) Trường hợp thực hiện quyền nhận cổ tức bằng cổ phiếu, nhận cổ phiếu phát hành để tăng vốn cổ phần từ nguồn vốn chủ sở hữu:</w:t>
      </w:r>
    </w:p>
    <w:p w14:paraId="571CDD69" w14:textId="77777777" w:rsidR="00F6556C" w:rsidRDefault="00F6556C" w:rsidP="00F6556C">
      <w:r>
        <w:t>- Bản sao văn bản của UBCKNN thông báo về việc nhận đầy đủ tài liệu báo cáo phát hành để trả cổ tức bằng cổ phiếu, phát hành cổ phiếu để tăng vốn cổ phần từ nguồn vốn chủ sở hữu và các tài liệu nêu tại văn bản này (áp dụng đối với trường hợp TCĐKCK là công ty đại chúng);</w:t>
      </w:r>
    </w:p>
    <w:p w14:paraId="4E7BED91" w14:textId="77777777" w:rsidR="00F6556C" w:rsidRDefault="00F6556C" w:rsidP="00F6556C">
      <w:r>
        <w:t>- Bản sao văn bản của cơ quan nhà nước có thẩm quyền theo quy định của pháp luật chuyên ngành về việc phát hành thêm cổ phiếu để trả cổ tức bằng cổ phiếu, phát hành cổ phiếu để tăng vốn cổ phần từ nguồn vốn chủ sở hữu (nếu có);</w:t>
      </w:r>
    </w:p>
    <w:p w14:paraId="55EAAA2A" w14:textId="09530E1A" w:rsidR="00F6556C" w:rsidRDefault="00F6556C" w:rsidP="00F6556C">
      <w:r>
        <w:t>- Bản sao Nghị quyết Đại hội đồng cổ đông, Nghị quyết Hội đồng quản trị trong đó có thông qua phương án phát hành thêm cổ phiếu để trả cổ tức bằng cổ phiếu, phát hành cổ phiếu để tăng vốn cổ phần từ nguồn vốn chủ sở hữu và phương án xử lý cổ phiếu (nếu có phát sinh cổ phiếu lẻ) (áp dụng đối với trường hợp TCĐKCK là doanh nghiệp cổ phần hóa không phải là công ty đại chúng).</w:t>
      </w:r>
    </w:p>
    <w:p w14:paraId="5BF46951" w14:textId="77777777" w:rsidR="00F6556C" w:rsidRPr="0019105E" w:rsidRDefault="00F6556C" w:rsidP="0019105E"/>
    <w:p w14:paraId="74E170E3" w14:textId="77777777" w:rsidR="00F54474" w:rsidRDefault="00F54474" w:rsidP="00F54474">
      <w:pPr>
        <w:pStyle w:val="Heading2"/>
      </w:pPr>
      <w:bookmarkStart w:id="152" w:name="_Toc204931453"/>
      <w:r>
        <w:t xml:space="preserve">Điều 13 </w:t>
      </w:r>
      <w:r w:rsidRPr="00C0619A">
        <w:t>37/QĐ-HĐTV</w:t>
      </w:r>
      <w:r>
        <w:t>. Hồ sơ điều chỉnh thông tin số lượng chứng khoán đăng ký</w:t>
      </w:r>
      <w:bookmarkEnd w:id="152"/>
    </w:p>
    <w:p w14:paraId="07B49C52" w14:textId="77777777" w:rsidR="00F54474" w:rsidRDefault="00F54474" w:rsidP="00F54474">
      <w:pPr>
        <w:widowControl/>
        <w:spacing w:after="160" w:line="259" w:lineRule="auto"/>
        <w:jc w:val="both"/>
      </w:pPr>
      <w:r>
        <w:t>1. Hồ sơ điều chỉnh tăng số lượng chứng khoán đối với cổ phiếu, trái phiếu doanh nghiệp và chứng chỉ quỹ đóng</w:t>
      </w:r>
    </w:p>
    <w:p w14:paraId="36DD9FF9" w14:textId="77777777" w:rsidR="00F54474" w:rsidRDefault="00F54474" w:rsidP="00F54474">
      <w:pPr>
        <w:widowControl/>
        <w:spacing w:after="160" w:line="259" w:lineRule="auto"/>
        <w:jc w:val="both"/>
      </w:pPr>
      <w:r>
        <w:t>a) Giấy đề nghị điều chỉnh thông tin số lượng chứng khoán đăng ký theo Mẫu 05B/ĐKCK ban hành kèm theo Quy chế này;</w:t>
      </w:r>
    </w:p>
    <w:p w14:paraId="6F4EF769" w14:textId="77777777" w:rsidR="00F54474" w:rsidRDefault="00F54474" w:rsidP="00F54474">
      <w:pPr>
        <w:widowControl/>
        <w:spacing w:after="160" w:line="259" w:lineRule="auto"/>
        <w:jc w:val="both"/>
      </w:pPr>
      <w:r>
        <w:t>b) Danh sách người sở hữu chứng khoán đối với chứng khoán điều chỉnh tăng chưa lưu ký (bản gốc và file mềm theo định dạng do VSDC quy định) theo Mẫu 02A/ĐKCK ban hành kèm theo Quy chế này đối với cổ phiếu (không áp dụng đối với trường hợp chứng khoán điều chỉnh tăng do TCĐKCK thực hiện phát hành cổ phiếu để trả cổ tức, phát hành cổ phiếu để tăng vốn cổ phần từ nguồn vốn chủ sở hữu, hoán đổi cổ phiếu, chuyển đổi toàn bộ trái phiếu chuyển đổi một lần thành cổ phiếu do đến hạn chuyển đổi đối với trường hợp cổ phiếu đã được đăng ký tập trung tại VSDC); Mẫu 02B, 02C/ĐKCK ban hành kèm theo Quy chế này;</w:t>
      </w:r>
    </w:p>
    <w:p w14:paraId="43765CD3" w14:textId="77777777" w:rsidR="00F54474" w:rsidRDefault="00F54474" w:rsidP="00F54474">
      <w:pPr>
        <w:widowControl/>
        <w:spacing w:after="160" w:line="259" w:lineRule="auto"/>
        <w:jc w:val="both"/>
      </w:pPr>
      <w:r>
        <w:t>c) Mẫu Sổ hoặc Giấy chứng nhận sở hữu chứng khoán có chữ ký của người có thẩm quyền và đóng dấu của TCĐKCK (đối với trường hợp Mẫu khác so với Mẫu đã đăng ký với VSDC trước đây);</w:t>
      </w:r>
    </w:p>
    <w:p w14:paraId="2ED3D0DD" w14:textId="77777777" w:rsidR="00F54474" w:rsidRDefault="00F54474" w:rsidP="00F54474">
      <w:pPr>
        <w:widowControl/>
        <w:spacing w:after="160" w:line="259" w:lineRule="auto"/>
        <w:jc w:val="both"/>
      </w:pPr>
      <w:r>
        <w:t>d) Danh sách người sở hữu chứng khoán hạn chế chuyển nhượng, trong đó ghi rõ thông tin về số lượng chứng khoán bị hạn chế chuyển nhượng, lý do và thời gian bị hạn chế chuyển nhượng theo từng người sở hữu (nếu có);</w:t>
      </w:r>
    </w:p>
    <w:p w14:paraId="0F006955" w14:textId="77777777" w:rsidR="00F54474" w:rsidRDefault="00F54474" w:rsidP="00F54474">
      <w:pPr>
        <w:widowControl/>
        <w:spacing w:after="160" w:line="259" w:lineRule="auto"/>
        <w:jc w:val="both"/>
      </w:pPr>
      <w:r>
        <w:lastRenderedPageBreak/>
        <w:t>đ) Bản sao văn bản của TCĐKCK báo cáo UBCKNN kết quả đợt chào bán, phát hành và văn bản thông báo của UBCKNN về việc nhận được báo cáo kết quả đợt chào bán, phát hành (áp dụng đối với trường hợp TCĐKCK là công ty đại chúng).</w:t>
      </w:r>
    </w:p>
    <w:p w14:paraId="1DD59A74" w14:textId="77777777" w:rsidR="00F54474" w:rsidRDefault="00F54474" w:rsidP="00F54474">
      <w:pPr>
        <w:widowControl/>
        <w:spacing w:after="160" w:line="259" w:lineRule="auto"/>
        <w:jc w:val="both"/>
      </w:pPr>
      <w:r>
        <w:t>e) Bản sao hợp lệ Giấy chứng nhận đăng ký doanh nghiệp ghi nhận số lượng cổ phần mới sau khi hoàn thành đợt phát hành và văn bản của TCĐKCK xác nhận chưa là công ty đại chúng (áp dụng đối với trường hợp TCĐKCK là doanh nghiệp cổ phần hóa chưa phải công ty đại chúng); Giấy chứng nhận đăng ký lập quỹ điều chỉnh do UBCKNN cấp (áp dụng trường hợp chứng chỉ quỹ đóng);</w:t>
      </w:r>
    </w:p>
    <w:p w14:paraId="26930CF0" w14:textId="77777777" w:rsidR="00F54474" w:rsidRDefault="00F54474" w:rsidP="00F54474">
      <w:pPr>
        <w:widowControl/>
        <w:spacing w:after="160" w:line="259" w:lineRule="auto"/>
        <w:jc w:val="both"/>
      </w:pPr>
      <w:r>
        <w:t>g) Bản sao văn bản của các tổ chức thực hiện đấu giá xác nhận kết quả đấu giá, trong đó nêu rõ tổng số lượng cổ phần bán được (áp dụng với trường hợp bán đấu giá cổ phần).</w:t>
      </w:r>
    </w:p>
    <w:p w14:paraId="726420E3" w14:textId="77777777" w:rsidR="00F54474" w:rsidRDefault="00F54474" w:rsidP="00F54474">
      <w:pPr>
        <w:widowControl/>
        <w:spacing w:after="160" w:line="259" w:lineRule="auto"/>
        <w:jc w:val="both"/>
      </w:pPr>
      <w:r>
        <w:t>2. Hồ sơ điều chỉnh tăng số lượng chứng khoán đối với các công cụ nợ niêm yết và giao dịch trên SGDCK:</w:t>
      </w:r>
    </w:p>
    <w:p w14:paraId="064E8C2B" w14:textId="77777777" w:rsidR="00F54474" w:rsidRDefault="00F54474" w:rsidP="00F54474">
      <w:pPr>
        <w:widowControl/>
        <w:spacing w:after="160" w:line="259" w:lineRule="auto"/>
        <w:jc w:val="both"/>
      </w:pPr>
      <w:r>
        <w:t>a) Văn bản đề nghị đăng ký, lưu ký công cụ nợ của TCĐKCK;</w:t>
      </w:r>
    </w:p>
    <w:p w14:paraId="0E641016" w14:textId="77777777" w:rsidR="00F54474" w:rsidRDefault="00F54474" w:rsidP="00F54474">
      <w:pPr>
        <w:widowControl/>
        <w:spacing w:after="160" w:line="259" w:lineRule="auto"/>
        <w:jc w:val="both"/>
      </w:pPr>
      <w:r>
        <w:t>b) Thông báo kết quả đấu thầu; Danh sách các nhà đầu tư trúng thầu, trong đó nêu rõ số tài khoản lưu ký và nơi mở tài khoản lưu ký (trường hợp phát hành qua đấu thầu);</w:t>
      </w:r>
    </w:p>
    <w:p w14:paraId="2FC9D3E4" w14:textId="77777777" w:rsidR="00F54474" w:rsidRDefault="00F54474" w:rsidP="00F54474">
      <w:pPr>
        <w:widowControl/>
        <w:spacing w:after="160" w:line="259" w:lineRule="auto"/>
        <w:jc w:val="both"/>
      </w:pPr>
      <w:r>
        <w:t>c) Danh sách chủ sở hữu công cụ nợ trong đó nêu rõ số tài khoản lưu ký và nơi mở tài khoản lưu ký (trường hợp phát hành qua bảo lãnh, riêng lẻ).</w:t>
      </w:r>
    </w:p>
    <w:p w14:paraId="6CD298A2" w14:textId="77777777" w:rsidR="00F54474" w:rsidRPr="00BB7075" w:rsidRDefault="00F54474" w:rsidP="00F54474">
      <w:pPr>
        <w:widowControl/>
        <w:spacing w:after="160" w:line="259" w:lineRule="auto"/>
        <w:rPr>
          <w:strike/>
        </w:rPr>
      </w:pPr>
      <w:r w:rsidRPr="00BB7075">
        <w:rPr>
          <w:strike/>
        </w:rPr>
        <w:t>3. Hồ sơ điều chỉnh tăng số lượng chứng khoán đối với các công cụ nợ niêm yết và giao dịch trên SGDCK trong trường hợp hoán đổi công cụ nợ:</w:t>
      </w:r>
    </w:p>
    <w:p w14:paraId="663671A4" w14:textId="77777777" w:rsidR="00F54474" w:rsidRPr="00BB7075" w:rsidRDefault="00F54474" w:rsidP="00F54474">
      <w:pPr>
        <w:widowControl/>
        <w:spacing w:after="160" w:line="259" w:lineRule="auto"/>
        <w:rPr>
          <w:strike/>
        </w:rPr>
      </w:pPr>
      <w:r w:rsidRPr="00BB7075">
        <w:rPr>
          <w:strike/>
        </w:rPr>
        <w:t>a) Văn bản của TCĐKCK thông báo về việc tổ chức đợt hoán đổi công cụ nợ;</w:t>
      </w:r>
    </w:p>
    <w:p w14:paraId="51B284E8" w14:textId="77777777" w:rsidR="00F54474" w:rsidRPr="00BB7075" w:rsidRDefault="00F54474" w:rsidP="00F54474">
      <w:pPr>
        <w:widowControl/>
        <w:spacing w:after="160" w:line="259" w:lineRule="auto"/>
        <w:rPr>
          <w:strike/>
        </w:rPr>
      </w:pPr>
      <w:r w:rsidRPr="00BB7075">
        <w:rPr>
          <w:strike/>
        </w:rPr>
        <w:t>b) Văn bản thông báo về kết quả hoán đổi công cụ nợ và đề nghị hủy đăng ký đối với công cụ nợ bị hoán đổi và đăng ký, lưu ký đối với công cụ nợ được hoán đổi của TCĐKCK;</w:t>
      </w:r>
    </w:p>
    <w:p w14:paraId="48A19A70" w14:textId="77777777" w:rsidR="00F54474" w:rsidRPr="00BB7075" w:rsidRDefault="00F54474" w:rsidP="00F54474">
      <w:pPr>
        <w:widowControl/>
        <w:spacing w:after="160" w:line="259" w:lineRule="auto"/>
        <w:rPr>
          <w:strike/>
        </w:rPr>
      </w:pPr>
      <w:r w:rsidRPr="00BB7075">
        <w:rPr>
          <w:strike/>
        </w:rPr>
        <w:t>c) Danh sách chủ sở hữu công cụ nợ được hoán đổi công cụ nợ, trong đó nêu rõ số tài khoản lưu ký và nơi mở tài khoản lưu ký;</w:t>
      </w:r>
    </w:p>
    <w:p w14:paraId="7AAE9293" w14:textId="77777777" w:rsidR="00F54474" w:rsidRPr="00BB7075" w:rsidRDefault="00F54474" w:rsidP="00F54474">
      <w:pPr>
        <w:widowControl/>
        <w:spacing w:after="160" w:line="259" w:lineRule="auto"/>
        <w:rPr>
          <w:strike/>
        </w:rPr>
      </w:pPr>
      <w:r w:rsidRPr="00BB7075">
        <w:rPr>
          <w:strike/>
        </w:rPr>
        <w:t>d) Danh sách chủ sở hữu công cụ nợ bị hoán đổi, trong đó nêu rõ số tài khoản lưu ký và nơi mở tài khoản lưu ký.</w:t>
      </w:r>
    </w:p>
    <w:p w14:paraId="163A1415" w14:textId="77777777" w:rsidR="00F54474" w:rsidRPr="00BB7075" w:rsidRDefault="00F54474" w:rsidP="00F54474">
      <w:pPr>
        <w:widowControl/>
        <w:spacing w:after="160" w:line="259" w:lineRule="auto"/>
        <w:rPr>
          <w:strike/>
        </w:rPr>
      </w:pPr>
      <w:r w:rsidRPr="00BB7075">
        <w:rPr>
          <w:strike/>
        </w:rPr>
        <w:t>4. Hồ sơ điều chỉnh tăng số lượng chứng khoán đối với công cụ nợ phát hành để đảm bảo thanh khoản theo đề nghị của Kho bạc Nhà nước:</w:t>
      </w:r>
    </w:p>
    <w:p w14:paraId="4D2114B6" w14:textId="77777777" w:rsidR="00F54474" w:rsidRPr="00BB7075" w:rsidRDefault="00F54474" w:rsidP="00F54474">
      <w:pPr>
        <w:widowControl/>
        <w:spacing w:after="160" w:line="259" w:lineRule="auto"/>
        <w:rPr>
          <w:strike/>
        </w:rPr>
      </w:pPr>
      <w:r w:rsidRPr="00BB7075">
        <w:rPr>
          <w:strike/>
        </w:rPr>
        <w:t>a) Văn bản của Kho bạc Nhà nước đề nghị đăng ký, lưu ký công cụ nợ;</w:t>
      </w:r>
    </w:p>
    <w:p w14:paraId="092474F8" w14:textId="77777777" w:rsidR="00F54474" w:rsidRPr="00BB7075" w:rsidRDefault="00F54474" w:rsidP="00F54474">
      <w:pPr>
        <w:widowControl/>
        <w:spacing w:after="160" w:line="259" w:lineRule="auto"/>
        <w:rPr>
          <w:strike/>
        </w:rPr>
      </w:pPr>
      <w:r w:rsidRPr="00BB7075">
        <w:rPr>
          <w:strike/>
        </w:rPr>
        <w:t>b) Danh sách chủ sở hữu công cụ nợ trong đó nêu rõ số tài khoản lưu ký và nơi mở tài khoản lưu ký.</w:t>
      </w:r>
    </w:p>
    <w:p w14:paraId="56A80251" w14:textId="77777777" w:rsidR="00F54474" w:rsidRPr="00BB7075" w:rsidRDefault="00F54474" w:rsidP="00F54474">
      <w:pPr>
        <w:widowControl/>
        <w:spacing w:after="160" w:line="259" w:lineRule="auto"/>
        <w:rPr>
          <w:strike/>
        </w:rPr>
      </w:pPr>
      <w:r w:rsidRPr="00BB7075">
        <w:rPr>
          <w:strike/>
        </w:rPr>
        <w:t>5. Hồ sơ điều chỉnh giảm số lượng chứng khoán (ngoại trừ các trường hợp hủy đăng ký chứng khoán quy định tại Điều 7, Điều 8 Quy chế này)</w:t>
      </w:r>
    </w:p>
    <w:p w14:paraId="066DCE6C" w14:textId="77777777" w:rsidR="00F54474" w:rsidRPr="00BB7075" w:rsidRDefault="00F54474" w:rsidP="00F54474">
      <w:pPr>
        <w:widowControl/>
        <w:spacing w:after="160" w:line="259" w:lineRule="auto"/>
        <w:rPr>
          <w:strike/>
        </w:rPr>
      </w:pPr>
      <w:r w:rsidRPr="00BB7075">
        <w:rPr>
          <w:strike/>
        </w:rPr>
        <w:t>a) Giấy đề nghị điều chỉnh thông tin số lượng chứng khoán đăng ký theo Mẫu 05C/ĐKCK ban hành kèm theo Quy chế này;</w:t>
      </w:r>
    </w:p>
    <w:p w14:paraId="3D94B56A" w14:textId="77777777" w:rsidR="00F54474" w:rsidRPr="00BB7075" w:rsidRDefault="00F54474" w:rsidP="00F54474">
      <w:pPr>
        <w:widowControl/>
        <w:spacing w:after="160" w:line="259" w:lineRule="auto"/>
        <w:rPr>
          <w:strike/>
        </w:rPr>
      </w:pPr>
      <w:r w:rsidRPr="00BB7075">
        <w:rPr>
          <w:strike/>
        </w:rPr>
        <w:t>b) Tài liệu của tổ chức/cơ quan có thẩm quyền về việc điều chỉnh giảm số lượng chứng khoán đăng ký (trường hợp điều chỉnh giảm theo yêu cầu của tổ chức/cơ quan có thẩm quyền);</w:t>
      </w:r>
    </w:p>
    <w:p w14:paraId="0D00757C" w14:textId="77777777" w:rsidR="00F54474" w:rsidRPr="00BB7075" w:rsidRDefault="00F54474" w:rsidP="00F54474">
      <w:pPr>
        <w:widowControl/>
        <w:spacing w:after="160" w:line="259" w:lineRule="auto"/>
        <w:rPr>
          <w:strike/>
        </w:rPr>
      </w:pPr>
      <w:r w:rsidRPr="00BB7075">
        <w:rPr>
          <w:strike/>
        </w:rPr>
        <w:t>c) Giấy chứng nhận đăng ký doanh nghiệp ghi nhận số lượng cổ phần mới sau khi giảm (nếu có) (áp dụng đối với cổ phiếu);</w:t>
      </w:r>
    </w:p>
    <w:p w14:paraId="65A7BE95" w14:textId="77777777" w:rsidR="00F54474" w:rsidRPr="00BB7075" w:rsidRDefault="00F54474" w:rsidP="00F54474">
      <w:pPr>
        <w:widowControl/>
        <w:spacing w:after="160" w:line="259" w:lineRule="auto"/>
        <w:rPr>
          <w:strike/>
        </w:rPr>
      </w:pPr>
      <w:r w:rsidRPr="00BB7075">
        <w:rPr>
          <w:strike/>
        </w:rPr>
        <w:lastRenderedPageBreak/>
        <w:t>d) Danh sách người sở hữu chứng khoán bị điều chỉnh giảm số lượng chứng khoán đăng ký theo Mẫu 03/ĐKCK ban hành kèm theo Quy chế này;</w:t>
      </w:r>
    </w:p>
    <w:p w14:paraId="6F473E3B" w14:textId="77777777" w:rsidR="00F54474" w:rsidRPr="00BB7075" w:rsidRDefault="00F54474" w:rsidP="00F54474">
      <w:pPr>
        <w:widowControl/>
        <w:spacing w:after="160" w:line="259" w:lineRule="auto"/>
        <w:rPr>
          <w:strike/>
        </w:rPr>
      </w:pPr>
      <w:r w:rsidRPr="00BB7075">
        <w:rPr>
          <w:strike/>
        </w:rPr>
        <w:t>đ) Bản sao tài liệu của SGDCK có nội dung về việc tạm ngừng giao dịch (nếu có) (áp dụng đối với cổ phiếu);</w:t>
      </w:r>
    </w:p>
    <w:p w14:paraId="32122DA3" w14:textId="1B2B510D" w:rsidR="00F54474" w:rsidRPr="00160FC1" w:rsidRDefault="00F54474" w:rsidP="00160FC1">
      <w:pPr>
        <w:rPr>
          <w:strike/>
        </w:rPr>
      </w:pPr>
      <w:r w:rsidRPr="00160FC1">
        <w:rPr>
          <w:strike/>
        </w:rPr>
        <w:t>e) Các tài liệu có liên quan khác.</w:t>
      </w:r>
    </w:p>
    <w:p w14:paraId="4CE47ECE" w14:textId="77777777" w:rsidR="00F54474" w:rsidRDefault="00F54474" w:rsidP="009725C5">
      <w:pPr>
        <w:pStyle w:val="Heading2"/>
      </w:pPr>
    </w:p>
    <w:p w14:paraId="36F73C18" w14:textId="7E6D9470" w:rsidR="009725C5" w:rsidRDefault="009725C5" w:rsidP="009725C5">
      <w:pPr>
        <w:pStyle w:val="Heading2"/>
      </w:pPr>
      <w:bookmarkStart w:id="153" w:name="_Toc204931454"/>
      <w:r>
        <w:t xml:space="preserve">Điều 14 </w:t>
      </w:r>
      <w:r w:rsidRPr="00C0619A">
        <w:t>37/QĐ-HĐTV</w:t>
      </w:r>
      <w:r>
        <w:t>. Xử lý hồ sơ điều chỉnh thông tin số lượng chứng khoán đăng ký</w:t>
      </w:r>
      <w:bookmarkEnd w:id="153"/>
    </w:p>
    <w:p w14:paraId="45C9411B" w14:textId="77777777" w:rsidR="009725C5" w:rsidRDefault="009725C5" w:rsidP="009725C5">
      <w:pPr>
        <w:widowControl/>
        <w:spacing w:after="160" w:line="259" w:lineRule="auto"/>
      </w:pPr>
      <w:r>
        <w:t>1. Thời gian xử lý</w:t>
      </w:r>
    </w:p>
    <w:p w14:paraId="54D38139" w14:textId="77777777" w:rsidR="009725C5" w:rsidRDefault="009725C5" w:rsidP="009725C5">
      <w:pPr>
        <w:widowControl/>
        <w:spacing w:after="160" w:line="259" w:lineRule="auto"/>
      </w:pPr>
      <w:r>
        <w:t>a) Đối với trường hợp quy định tại khoản 1, khoản 5 Điều 13 Quy chế này, VSDC xử lý hồ sơ trong vòng 05 ngày làm việc kể từ ngày VSDC nhận được hồ sơ của TCĐKCK.</w:t>
      </w:r>
    </w:p>
    <w:p w14:paraId="51114E6F" w14:textId="77777777" w:rsidR="009725C5" w:rsidRDefault="009725C5" w:rsidP="009725C5">
      <w:pPr>
        <w:widowControl/>
        <w:spacing w:after="160" w:line="259" w:lineRule="auto"/>
      </w:pPr>
      <w:r>
        <w:t>b) Đối với trường hợp quy định tại khoản 2, 3 và 4 Điều 13 Quy chế này, VSDC xử lý hồ sơ trong vòng 01 ngày làm việc kể từ ngày VSDC nhận được hồ sơ của TCĐKCK.</w:t>
      </w:r>
    </w:p>
    <w:p w14:paraId="1FFAD34A" w14:textId="77777777" w:rsidR="009725C5" w:rsidRDefault="009725C5" w:rsidP="009725C5">
      <w:pPr>
        <w:widowControl/>
        <w:spacing w:after="160" w:line="259" w:lineRule="auto"/>
      </w:pPr>
      <w:r>
        <w:t>2. Trường hợp hồ sơ hợp lệ, VSDC thực hiện:</w:t>
      </w:r>
    </w:p>
    <w:p w14:paraId="748884FD" w14:textId="77777777" w:rsidR="009725C5" w:rsidRDefault="009725C5" w:rsidP="009725C5">
      <w:pPr>
        <w:widowControl/>
        <w:spacing w:after="160" w:line="259" w:lineRule="auto"/>
      </w:pPr>
      <w:r>
        <w:t>- Đối với trường hợp điều chỉnh thông tin tăng số lượng chứng khoán, VSDC gửi:</w:t>
      </w:r>
    </w:p>
    <w:p w14:paraId="3462C636" w14:textId="77777777" w:rsidR="009725C5" w:rsidRDefault="009725C5" w:rsidP="009725C5">
      <w:pPr>
        <w:widowControl/>
        <w:spacing w:after="160" w:line="259" w:lineRule="auto"/>
      </w:pPr>
      <w:r>
        <w:t>+ Văn bản chứng nhận điều chỉnh thông tin số lượng chứng khoán đăng ký cho TCĐKCK, SGDCK liên quan và các TVLK;</w:t>
      </w:r>
    </w:p>
    <w:p w14:paraId="4C5AD976" w14:textId="77777777" w:rsidR="009725C5" w:rsidRDefault="009725C5" w:rsidP="009725C5">
      <w:pPr>
        <w:widowControl/>
        <w:spacing w:after="160" w:line="259" w:lineRule="auto"/>
      </w:pPr>
      <w:r>
        <w:t>+ Điện nghiệp vụ MT501 - Thông báo đăng ký chứng khoán cho các TVLK; MT596 kèm theo file dữ liệu thông báo hạch toán chứng khoán cho TVLK liên quan;</w:t>
      </w:r>
    </w:p>
    <w:p w14:paraId="54556785" w14:textId="77777777" w:rsidR="009725C5" w:rsidRDefault="009725C5" w:rsidP="009725C5">
      <w:pPr>
        <w:widowControl/>
        <w:spacing w:after="160" w:line="259" w:lineRule="auto"/>
      </w:pPr>
      <w:r>
        <w:t>+ Danh sách thông báo số SID của người sở hữu chứng khoán đã được tạo ra trên hệ thống lưu ký cho TCĐKCK dưới dạng chứng từ điện tử qua ICOSY (áp dụng đối với trường hợp TCĐKCK gửi Danh sách nêu tại điểm b khoản 1 Điều 13 Quy chế này).</w:t>
      </w:r>
    </w:p>
    <w:p w14:paraId="6B71497B" w14:textId="77777777" w:rsidR="009725C5" w:rsidRDefault="009725C5" w:rsidP="009725C5">
      <w:pPr>
        <w:widowControl/>
        <w:spacing w:after="160" w:line="259" w:lineRule="auto"/>
      </w:pPr>
      <w:r>
        <w:t>- Đối với trường hợp điều chỉnh giảm số lượng chứng khoán, VSDC gửi:</w:t>
      </w:r>
    </w:p>
    <w:p w14:paraId="741CF0A9" w14:textId="77777777" w:rsidR="009725C5" w:rsidRDefault="009725C5" w:rsidP="009725C5">
      <w:pPr>
        <w:widowControl/>
        <w:spacing w:after="160" w:line="259" w:lineRule="auto"/>
      </w:pPr>
      <w:r>
        <w:t>+ Văn bản chứng nhận điều chỉnh thông tin số lượng chứng khoán đăng ký cho TCĐKCK, SGDCK liên quan và các TVLK;</w:t>
      </w:r>
    </w:p>
    <w:p w14:paraId="154982B3" w14:textId="77777777" w:rsidR="009725C5" w:rsidRDefault="009725C5" w:rsidP="009725C5">
      <w:pPr>
        <w:widowControl/>
        <w:spacing w:after="160" w:line="259" w:lineRule="auto"/>
      </w:pPr>
      <w:r>
        <w:t>+ MT596 kèm theo file dữ liệu thông báo hạch toán chứng khoán cho TVLK liên quan vào ngày hiệu lực điều chỉnh giảm.</w:t>
      </w:r>
    </w:p>
    <w:p w14:paraId="46A1613B" w14:textId="4027D7E2" w:rsidR="009725C5" w:rsidRDefault="009725C5" w:rsidP="009725C5">
      <w:pPr>
        <w:rPr>
          <w:sz w:val="18"/>
          <w:szCs w:val="18"/>
        </w:rPr>
      </w:pPr>
      <w:r>
        <w:t>3. Trường hợp hồ sơ chưa hợp lệ, VSDC gửi văn bản thông báo cho TCĐKCK và nêu rõ lý do chưa thực hiện điều chỉnh thông tin số lượng chứng khoán đăng ký.</w:t>
      </w:r>
    </w:p>
    <w:p w14:paraId="322F62B9" w14:textId="20BF11AA" w:rsidR="00C362BD" w:rsidRDefault="00C362BD" w:rsidP="00634EBD">
      <w:pPr>
        <w:pStyle w:val="Heading1"/>
        <w:rPr>
          <w:rFonts w:eastAsiaTheme="majorEastAsia"/>
        </w:rPr>
      </w:pPr>
      <w:r>
        <w:rPr>
          <w:rFonts w:eastAsiaTheme="majorEastAsia"/>
        </w:rPr>
        <w:br w:type="page"/>
      </w:r>
    </w:p>
    <w:p w14:paraId="79B9A205" w14:textId="4DEA5799" w:rsidR="00552A95" w:rsidRDefault="00943901" w:rsidP="00C362BD">
      <w:pPr>
        <w:pStyle w:val="Heading1"/>
      </w:pPr>
      <w:bookmarkStart w:id="154" w:name="_Toc204931455"/>
      <w:r>
        <w:lastRenderedPageBreak/>
        <w:t>CHÀO BÁN TRÁI PHIẾU CÔNG CHÚNG</w:t>
      </w:r>
      <w:bookmarkEnd w:id="154"/>
    </w:p>
    <w:p w14:paraId="1CF8ECB9" w14:textId="77777777" w:rsidR="0089362F" w:rsidRPr="0089362F" w:rsidRDefault="0089362F" w:rsidP="00B400C3"/>
    <w:p w14:paraId="40E1E4DD" w14:textId="48E1F68D" w:rsidR="00943901" w:rsidRPr="0089362F" w:rsidRDefault="0089362F" w:rsidP="00B400C3">
      <w:pPr>
        <w:pStyle w:val="Heading2"/>
      </w:pPr>
      <w:bookmarkStart w:id="155" w:name="_Toc204931456"/>
      <w:r w:rsidRPr="0089362F">
        <w:t>Khoản 3 Điều 15 Luật Chứng khoán 2019</w:t>
      </w:r>
      <w:bookmarkEnd w:id="155"/>
    </w:p>
    <w:p w14:paraId="02260243" w14:textId="704846BB" w:rsidR="0089362F" w:rsidRPr="0089362F" w:rsidRDefault="0089362F" w:rsidP="00B400C3">
      <w:r w:rsidRPr="0089362F">
        <w:t>3. Điều kiện chào bán trái phiếu ra công chúng bao gồm:</w:t>
      </w:r>
    </w:p>
    <w:p w14:paraId="0F9AA0EE" w14:textId="1FCE5DA9" w:rsidR="0089362F" w:rsidRPr="0089362F" w:rsidRDefault="0089362F" w:rsidP="00B400C3">
      <w:r w:rsidRPr="0089362F">
        <w:t>a) Doanh nghiệp có mức vốn điều lệ đã góp tại thời điểm đăng ký chào bán từ 30 tỷ đồng trở lên tính theo giá trị ghi trên sổ kế toán;</w:t>
      </w:r>
    </w:p>
    <w:p w14:paraId="7517535A" w14:textId="4AEBDB42" w:rsidR="0089362F" w:rsidRPr="0089362F" w:rsidRDefault="0089362F" w:rsidP="00B400C3">
      <w:r w:rsidRPr="0089362F">
        <w:t>b) Hoạt động kinh doanh của năm liền trước năm đăng ký chào bán phải có lãi, đồng thời không có lỗ lũy kế tính đến năm đăng ký chào bán; không có các khoản nợ phải trả quá hạn trên 01 năm;</w:t>
      </w:r>
    </w:p>
    <w:p w14:paraId="75E4AAD9" w14:textId="55475C06" w:rsidR="0089362F" w:rsidRPr="0089362F" w:rsidRDefault="0089362F" w:rsidP="00B400C3">
      <w:r w:rsidRPr="0089362F">
        <w:t>c) Có phương án phát hành, phương án sử dụng và trả nợ vốn thu được từ đợt chào bán được Đại hội đồng cổ đông hoặc Hội đồng quản trị hoặc Hội đồng thành viên hoặc chủ sở hữu công ty thông qua;</w:t>
      </w:r>
    </w:p>
    <w:p w14:paraId="74AE9299" w14:textId="2DA24559" w:rsidR="0089362F" w:rsidRPr="0089362F" w:rsidRDefault="0089362F" w:rsidP="00B400C3">
      <w:r w:rsidRPr="0089362F">
        <w:t>d) Có cam kết thực hiện nghĩa vụ của tổ chức phát hành đối với nhà đầu tư về điều kiện phát hành, thanh toán, bảo đảm quyền và lợi ích hợp pháp của nhà đầu tư và các điều kiện khác;</w:t>
      </w:r>
    </w:p>
    <w:p w14:paraId="3618F02F" w14:textId="454B21C7" w:rsidR="0089362F" w:rsidRPr="0089362F" w:rsidRDefault="0089362F" w:rsidP="00B400C3">
      <w:r w:rsidRPr="0089362F">
        <w:t>đ) Có công ty chứng khoán tư vấn hồ sơ đăng ký chào bán trái phiếu ra công chúng, trừ trường hợp tổ chức phát hành là công ty chứng khoán;</w:t>
      </w:r>
    </w:p>
    <w:p w14:paraId="555CE554" w14:textId="3246A0BC" w:rsidR="0089362F" w:rsidRDefault="0089362F" w:rsidP="00B400C3">
      <w:r w:rsidRPr="0089362F">
        <w:t>e) Đáp ứng quy định tại điểm e khoản 1 Điều này;</w:t>
      </w:r>
      <w:r w:rsidR="007000C5">
        <w:t xml:space="preserve"> </w:t>
      </w:r>
    </w:p>
    <w:p w14:paraId="5A911F9E" w14:textId="41F73C54" w:rsidR="007000C5" w:rsidRPr="007000C5" w:rsidRDefault="007000C5" w:rsidP="00B400C3">
      <w:r w:rsidRPr="007000C5">
        <w:t>e) Tổ chức phát hành không thuộc trường hợp đang bị truy cứu trách nhiệm hình sự hoặc đã bị kết án về một trong các tội xâm phạm trật tự quản lý kinh tế mà chưa được xóa án tích;</w:t>
      </w:r>
    </w:p>
    <w:p w14:paraId="328E13FD" w14:textId="1DBB20D4" w:rsidR="0089362F" w:rsidRPr="007000C5" w:rsidRDefault="0089362F" w:rsidP="00B400C3">
      <w:r w:rsidRPr="007000C5">
        <w:t xml:space="preserve">g) </w:t>
      </w:r>
      <w:r w:rsidR="00A60E27" w:rsidRPr="007000C5">
        <w:rPr>
          <w:lang w:val="nl-NL" w:eastAsia="en-US"/>
        </w:rPr>
        <w:t>Đáp ứng quy định của Chính phủ về đại diện người sở hữu trái phiếu, hệ số nợ, giá trị phát hành trên vốn chủ sở hữu và xếp hạng tín nhiệm</w:t>
      </w:r>
      <w:r w:rsidRPr="007000C5">
        <w:t>;</w:t>
      </w:r>
    </w:p>
    <w:p w14:paraId="43FE8904" w14:textId="5CEC9CA6" w:rsidR="0089362F" w:rsidRPr="0089362F" w:rsidRDefault="0089362F" w:rsidP="00B400C3">
      <w:r w:rsidRPr="0089362F">
        <w:t>h) Tổ chức phát hành phải mở tài khoản phong tỏa nhận tiền mua trái phiếu của đợt chào bán;</w:t>
      </w:r>
    </w:p>
    <w:p w14:paraId="1FBC6008" w14:textId="149E454F" w:rsidR="0089362F" w:rsidRDefault="0089362F" w:rsidP="00B400C3">
      <w:r w:rsidRPr="0089362F">
        <w:t>i) Tổ chức phát hành có cam kết và phải thực hiện niêm yết trái phiếu trên hệ thống giao dịch chứng khoán sau khi kết thúc đợt chào bán.</w:t>
      </w:r>
    </w:p>
    <w:p w14:paraId="1BDE8038" w14:textId="41E9A3E2" w:rsidR="0089362F" w:rsidRDefault="0089362F" w:rsidP="00B400C3"/>
    <w:p w14:paraId="4435EB16" w14:textId="5D421264" w:rsidR="0089362F" w:rsidRPr="0089362F" w:rsidRDefault="0089362F" w:rsidP="00B400C3">
      <w:pPr>
        <w:pStyle w:val="Heading2"/>
      </w:pPr>
      <w:bookmarkStart w:id="156" w:name="_Toc204931457"/>
      <w:r w:rsidRPr="0089362F">
        <w:t>Điều 19. Điều kiện chào bán trái phiếu ra công chúng</w:t>
      </w:r>
      <w:bookmarkEnd w:id="156"/>
    </w:p>
    <w:p w14:paraId="09849839" w14:textId="79F23E04" w:rsidR="0089362F" w:rsidRPr="0089362F" w:rsidRDefault="0089362F" w:rsidP="00B400C3">
      <w:r w:rsidRPr="0089362F">
        <w:t>1. Các điều kiện quy định tại khoản 3 Điều 15 Luật Chứng khoán.</w:t>
      </w:r>
    </w:p>
    <w:p w14:paraId="606962B1" w14:textId="52F7728C" w:rsidR="0089362F" w:rsidRPr="0089362F" w:rsidRDefault="0089362F" w:rsidP="00B400C3">
      <w:r w:rsidRPr="0089362F">
        <w:t>2. Tổ chức phát hành hoặc trái phiếu đăng ký chào bán phải được xếp hạng tín nhiệm bởi tổ chức xếp hạng tín nhiệm được Bộ Tài chính cấp Giấy chứng nhận đủ điều kiện kinh doanh trong các trường hợp sau:</w:t>
      </w:r>
    </w:p>
    <w:p w14:paraId="6EC3883B" w14:textId="008394FE" w:rsidR="0089362F" w:rsidRPr="0089362F" w:rsidRDefault="0089362F" w:rsidP="00B400C3">
      <w:r w:rsidRPr="0089362F">
        <w:t>a) Tổng giá trị trái phiếu theo mệnh giá huy động trong mỗi 12 tháng lớn hơn 500 tỷ đồng và lớn hơn 50% vốn chủ sở hữu căn cứ trên báo cáo tài chính kỳ gần nhất trong các báo cáo sau: báo cáo tài chính năm gần nhất được kiểm toán hoặc báo cáo tài chính bán niên gần nhất được soát xét (trường hợp tổ chức phát hành là đối tượng phải công bố báo cáo tài chính bán niên được soát xét) bởi tổ chức kiểm toán được chấp thuận; hoặc</w:t>
      </w:r>
    </w:p>
    <w:p w14:paraId="5E4E2EB3" w14:textId="77777777" w:rsidR="0089362F" w:rsidRPr="0089362F" w:rsidRDefault="0089362F" w:rsidP="00B400C3">
      <w:r w:rsidRPr="0089362F">
        <w:t>b) Tổng dư nợ trái phiếu theo mệnh giá tính đến thời điểm đăng ký chào bán lớn hơn 100% vốn chủ sở hữu căn cứ trên báo cáo tài chính kỳ gần nhất trong các báo cáo sau: báo cáo tài chính năm gần nhất được kiểm toán hoặc báo cáo tài chính bán niên gần nhất được soát xét (trường hợp tổ chức phát hành là đối tượng phải công bố báo cáo tài chính bán niên được soát xét) bởi tổ chức kiểm toán được chấp thuận.</w:t>
      </w:r>
    </w:p>
    <w:p w14:paraId="78627F30" w14:textId="77777777" w:rsidR="0089362F" w:rsidRPr="0089362F" w:rsidRDefault="0089362F" w:rsidP="00B400C3"/>
    <w:p w14:paraId="6BAC6DD9" w14:textId="021526F1" w:rsidR="0089362F" w:rsidRPr="0089362F" w:rsidRDefault="0089362F" w:rsidP="00B400C3">
      <w:pPr>
        <w:pStyle w:val="Heading2"/>
      </w:pPr>
      <w:bookmarkStart w:id="157" w:name="_Toc204931458"/>
      <w:r w:rsidRPr="0089362F">
        <w:t>Điều 20. Hồ sơ đăng ký chào bán trái phiếu ra công chúng</w:t>
      </w:r>
      <w:bookmarkEnd w:id="157"/>
    </w:p>
    <w:p w14:paraId="62AF395D" w14:textId="3460D697" w:rsidR="0089362F" w:rsidRPr="0089362F" w:rsidRDefault="0089362F" w:rsidP="00B400C3">
      <w:r w:rsidRPr="0089362F">
        <w:t>1. Giấy đăng ký chào bán theo Mẫu số 07 Phụ lục ban hành kèm theo Nghị định này.</w:t>
      </w:r>
    </w:p>
    <w:p w14:paraId="514F8467" w14:textId="0E5A2C44" w:rsidR="0089362F" w:rsidRPr="0089362F" w:rsidRDefault="0089362F" w:rsidP="00B400C3">
      <w:r w:rsidRPr="0089362F">
        <w:t>2. Bản cáo bạch theo quy định tại Điều 19 Luật Chứng khoán.</w:t>
      </w:r>
    </w:p>
    <w:p w14:paraId="30B98BC5" w14:textId="71F63B9F" w:rsidR="0089362F" w:rsidRPr="0089362F" w:rsidRDefault="0089362F" w:rsidP="00B400C3">
      <w:r w:rsidRPr="0089362F">
        <w:t>3. Quyết định của Đại hội đồng cổ đông hoặc Hội đồng quản trị hoặc Hội đồng thành viên hoặc chủ sở hữu công ty thông qua phương án phát hành, phương án sử dụng và trả nợ vốn thu được từ đợt chào bán trái phiếu ra công chúng, thông qua việc niêm yết trái phiếu trên hệ thống giao dịch chứng khoán, trong đó:</w:t>
      </w:r>
    </w:p>
    <w:p w14:paraId="31E8BB7F" w14:textId="1DA58544" w:rsidR="0089362F" w:rsidRPr="0089362F" w:rsidRDefault="0089362F" w:rsidP="00B400C3">
      <w:r w:rsidRPr="0089362F">
        <w:t>a) Phương án phát hành phải nêu rõ: loại trái phiếu chào bán, số lượng trái phiếu từng loại chào bán, lãi suất trái phiếu hoặc nguyên tắc xác định lãi suất trái phiếu; kỳ hạn trái phiếu;</w:t>
      </w:r>
    </w:p>
    <w:p w14:paraId="338A4B73" w14:textId="3EF6D065" w:rsidR="0089362F" w:rsidRPr="0089362F" w:rsidRDefault="0089362F" w:rsidP="00B400C3">
      <w:r w:rsidRPr="0089362F">
        <w:t xml:space="preserve">b) Trường hợp đợt chào bán nhằm mục đích huy động phần vốn để thực hiện dự án, phương án sử dụng vốn phải bao gồm nội dung về phương án bù đắp phần thiếu hụt vốn dự kiến huy động từ đợt </w:t>
      </w:r>
      <w:r w:rsidRPr="0089362F">
        <w:lastRenderedPageBreak/>
        <w:t>chào bán để thực hiện dự án.</w:t>
      </w:r>
    </w:p>
    <w:p w14:paraId="6E303097" w14:textId="3B86D71A" w:rsidR="0089362F" w:rsidRPr="0089362F" w:rsidRDefault="0089362F" w:rsidP="00B400C3">
      <w:r w:rsidRPr="0089362F">
        <w:t>4. Báo cáo tài chính của tổ chức phát hành trong 02 năm gần nhất phải đáp ứng quy định tại Điều 20 Luật Chứng khoán, trong đó: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 trường hợp tổ chức phát hành hoàn thiện hồ sơ sau 90 ngày kể từ ngày kết thúc kỳ kế toán năm, tổ chức phát hành phải bổ sung báo cáo tài chính năm gần nhất được kiểm toán.</w:t>
      </w:r>
    </w:p>
    <w:p w14:paraId="27070B64" w14:textId="0C8092A7" w:rsidR="0089362F" w:rsidRPr="0089362F" w:rsidRDefault="0089362F" w:rsidP="00B400C3">
      <w:r w:rsidRPr="0089362F">
        <w:t>5. Hợp đồng tư vấn hồ sơ đăng ký chào bán trái phiếu ra công chúng với công ty chứng khoán, trừ trường hợp tổ chức phát hành là công ty chứng khoán.</w:t>
      </w:r>
    </w:p>
    <w:p w14:paraId="1D95BE1B" w14:textId="3E884309" w:rsidR="0089362F" w:rsidRPr="0089362F" w:rsidRDefault="0089362F" w:rsidP="00B400C3">
      <w:r w:rsidRPr="0089362F">
        <w:t>6. Cam kết bảo lãnh phát hành (nếu có) bao gồm các nội dung tối thiểu theo Mẫu số 08 Phụ lục ban hành kèm theo Nghị định này. Trường hợp có tổ hợp bảo lãnh phát hành, cam kết bảo lãnh phát hành của tổ chức bảo lãnh phát hành chính phải kèm theo hợp đồng giữa các tổ chức bảo lãnh phát hành. Các tài liệu này phải được gửi đến Ủy ban Chứng khoán Nhà nước trước ngày cấp Giấy chứng nhận đăng ký chào bán.</w:t>
      </w:r>
    </w:p>
    <w:p w14:paraId="7667F2CD" w14:textId="4B66B706" w:rsidR="0089362F" w:rsidRPr="0089362F" w:rsidRDefault="0089362F" w:rsidP="00B400C3">
      <w:r w:rsidRPr="0089362F">
        <w:t xml:space="preserve">7. Báo cáo kết quả xếp hạng tín nhiệm đối với tổ chức phát hành hoặc đối với trái phiếu đăng ký chào bán trong </w:t>
      </w:r>
      <w:r w:rsidRPr="00FE5CC3">
        <w:rPr>
          <w:color w:val="auto"/>
          <w:highlight w:val="yellow"/>
        </w:rPr>
        <w:t>thời hạn 12 tháng</w:t>
      </w:r>
      <w:r w:rsidRPr="00FE5CC3">
        <w:rPr>
          <w:color w:val="auto"/>
        </w:rPr>
        <w:t xml:space="preserve"> </w:t>
      </w:r>
      <w:r w:rsidRPr="0089362F">
        <w:t>tính đến ngày nộp hồ sơ đăng ký chào bán (nếu có).</w:t>
      </w:r>
    </w:p>
    <w:p w14:paraId="38B40EA3" w14:textId="28A48A9F" w:rsidR="0089362F" w:rsidRPr="0089362F" w:rsidRDefault="0089362F" w:rsidP="00B400C3">
      <w:r w:rsidRPr="0089362F">
        <w:t>8. Văn bản cam kết của Hội đồng quản trị hoặc Chủ tịch Hội đồng thành viên hoặc Chủ tịch công ty về việc triển khai niêm yết trái phiếu trên hệ thống giao dịch chứng khoán sau khi kết thúc đợt chào bán.</w:t>
      </w:r>
    </w:p>
    <w:p w14:paraId="6226FE4E" w14:textId="7585CA08" w:rsidR="0089362F" w:rsidRPr="0089362F" w:rsidRDefault="0089362F" w:rsidP="00B400C3">
      <w:r w:rsidRPr="0089362F">
        <w:t>9. Quyết định của Hội đồng quản trị hoặc Hội đồng thành viên hoặc chủ sở hữu công ty thông qua hồ sơ đăng ký chào bán trái phiếu ra công chúng. Đối với việc chào bán trái phiếu ra công chúng của tổ chức tín dụng, hồ sơ phải có văn bản chấp thuận của Ngân hàng Nhà nước Việt Nam về phương án phát hành trái phiếu ra công chúng theo quy định của pháp luật về các tổ chức tín dụng.</w:t>
      </w:r>
    </w:p>
    <w:p w14:paraId="3B40F024" w14:textId="51CD9E52" w:rsidR="0089362F" w:rsidRDefault="0089362F" w:rsidP="00B400C3">
      <w:r w:rsidRPr="0089362F">
        <w:t>10. Tài liệu quy định tại điểm c khoản 1, điểm d, g khoản 3 Điều 18 Luật Chứng khoán và văn bản cam kết đáp ứng quy định tại điểm e khoản 1 Điều 15 Luật Chứng khoán.</w:t>
      </w:r>
    </w:p>
    <w:p w14:paraId="583F916B" w14:textId="085966C8" w:rsidR="0019231A" w:rsidRDefault="0019231A" w:rsidP="00B400C3"/>
    <w:p w14:paraId="17604F94" w14:textId="019C54EF" w:rsidR="00206007" w:rsidRPr="00206007" w:rsidRDefault="00206007" w:rsidP="00B400C3">
      <w:pPr>
        <w:pStyle w:val="Heading2"/>
      </w:pPr>
      <w:bookmarkStart w:id="158" w:name="_Toc204931459"/>
      <w:r w:rsidRPr="00206007">
        <w:t>Điều 20. Báo cáo tài chính</w:t>
      </w:r>
      <w:bookmarkEnd w:id="158"/>
    </w:p>
    <w:p w14:paraId="0B077577" w14:textId="6572F3FE" w:rsidR="00206007" w:rsidRPr="00206007" w:rsidRDefault="00206007" w:rsidP="00B400C3">
      <w:r w:rsidRPr="00206007">
        <w:t>1. Báo cáo tài chính được lập theo quy định của pháp luật về kế toán.</w:t>
      </w:r>
    </w:p>
    <w:p w14:paraId="731591A3" w14:textId="060746B2" w:rsidR="00206007" w:rsidRPr="00206007" w:rsidRDefault="00206007" w:rsidP="00B400C3">
      <w:r w:rsidRPr="00206007">
        <w:t>2. Trường hợp tổ chức phát hành là công ty mẹ thì tổ chức phát hành phải nộp báo cáo tài chính hợp nhất theo quy định của pháp luật về kế toán.</w:t>
      </w:r>
    </w:p>
    <w:p w14:paraId="7CF36BC9" w14:textId="602FDD6C" w:rsidR="00206007" w:rsidRPr="00206007" w:rsidRDefault="00206007" w:rsidP="00B400C3">
      <w:r w:rsidRPr="00206007">
        <w:t>3. 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ý kiến chấp nhận toàn phần;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14:paraId="042A5D0B" w14:textId="274E725F" w:rsidR="00206007" w:rsidRPr="00206007" w:rsidRDefault="00206007" w:rsidP="00B400C3">
      <w:r w:rsidRPr="00206007">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14:paraId="68C8B7A8" w14:textId="684030C8" w:rsidR="00206007" w:rsidRDefault="00206007" w:rsidP="00B400C3">
      <w:r w:rsidRPr="00206007">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p>
    <w:p w14:paraId="4F5198A2" w14:textId="77777777" w:rsidR="00206007" w:rsidRDefault="00206007" w:rsidP="00B400C3"/>
    <w:p w14:paraId="4A14AF44" w14:textId="6C31DCE6" w:rsidR="0019231A" w:rsidRPr="0019231A" w:rsidRDefault="0019231A" w:rsidP="00B400C3">
      <w:pPr>
        <w:pStyle w:val="Heading2"/>
      </w:pPr>
      <w:bookmarkStart w:id="159" w:name="_Toc204931460"/>
      <w:r w:rsidRPr="0019231A">
        <w:t xml:space="preserve">Điểm </w:t>
      </w:r>
      <w:r>
        <w:t>b</w:t>
      </w:r>
      <w:r w:rsidRPr="0019231A">
        <w:t xml:space="preserve"> Khoản 6 Điều 1 Luật 56</w:t>
      </w:r>
      <w:bookmarkEnd w:id="159"/>
    </w:p>
    <w:p w14:paraId="17CBE126" w14:textId="3F03552F" w:rsidR="0019231A" w:rsidRPr="0019231A" w:rsidRDefault="0019231A" w:rsidP="00B400C3">
      <w:pPr>
        <w:rPr>
          <w:lang w:val="nl-NL" w:eastAsia="en-US"/>
        </w:rPr>
      </w:pPr>
      <w:r w:rsidRPr="0019231A">
        <w:rPr>
          <w:lang w:val="nl-NL" w:eastAsia="en-US"/>
        </w:rPr>
        <w:t>b) Sửa đổi, bổ sung điểm g khoản 3 như sau:</w:t>
      </w:r>
    </w:p>
    <w:p w14:paraId="290D7DEA" w14:textId="22E7E377" w:rsidR="0019231A" w:rsidRDefault="0019231A" w:rsidP="00B400C3">
      <w:pPr>
        <w:rPr>
          <w:lang w:val="nl-NL" w:eastAsia="en-US"/>
        </w:rPr>
      </w:pPr>
      <w:r w:rsidRPr="0019231A">
        <w:rPr>
          <w:lang w:val="nl-NL" w:eastAsia="en-US"/>
        </w:rPr>
        <w:t xml:space="preserve">“g) Đáp ứng quy định của Chính phủ về đại diện người sở hữu trái phiếu, hệ số nợ, </w:t>
      </w:r>
      <w:commentRangeStart w:id="160"/>
      <w:r w:rsidRPr="0019231A">
        <w:rPr>
          <w:lang w:val="nl-NL" w:eastAsia="en-US"/>
        </w:rPr>
        <w:t xml:space="preserve">giá trị phát hành trên vốn chủ sở hữu </w:t>
      </w:r>
      <w:commentRangeEnd w:id="160"/>
      <w:r w:rsidR="00E3130C">
        <w:rPr>
          <w:rStyle w:val="CommentReference"/>
        </w:rPr>
        <w:commentReference w:id="160"/>
      </w:r>
      <w:r w:rsidRPr="0019231A">
        <w:rPr>
          <w:lang w:val="nl-NL" w:eastAsia="en-US"/>
        </w:rPr>
        <w:t>và xếp hạng tín nhiệm;”.</w:t>
      </w:r>
    </w:p>
    <w:p w14:paraId="350E136A" w14:textId="77777777" w:rsidR="00610932" w:rsidRDefault="00610932" w:rsidP="00B400C3">
      <w:pPr>
        <w:rPr>
          <w:lang w:val="nl-NL" w:eastAsia="en-US"/>
        </w:rPr>
      </w:pPr>
    </w:p>
    <w:p w14:paraId="154F4166" w14:textId="59D61A47" w:rsidR="00610932" w:rsidRDefault="00610932" w:rsidP="00B400C3">
      <w:pPr>
        <w:rPr>
          <w:lang w:val="nl-NL" w:eastAsia="en-US"/>
        </w:rPr>
      </w:pPr>
    </w:p>
    <w:p w14:paraId="7CEE2F7E" w14:textId="369F936F" w:rsidR="00610932" w:rsidRPr="00610932" w:rsidRDefault="00610932" w:rsidP="00B400C3">
      <w:pPr>
        <w:pStyle w:val="Heading2"/>
        <w:rPr>
          <w:rFonts w:eastAsia="Times New Roman"/>
          <w:lang w:val="nl-NL" w:eastAsia="en-US"/>
        </w:rPr>
      </w:pPr>
      <w:bookmarkStart w:id="161" w:name="_Toc204931461"/>
      <w:r w:rsidRPr="00610932">
        <w:rPr>
          <w:rFonts w:eastAsia="Times New Roman"/>
          <w:lang w:val="nl-NL" w:eastAsia="en-US"/>
        </w:rPr>
        <w:t>Điều 24. Đại diện người sở hữu trái phiếu</w:t>
      </w:r>
      <w:bookmarkEnd w:id="161"/>
    </w:p>
    <w:p w14:paraId="32E5A0EE" w14:textId="79BF2FF4" w:rsidR="00610932" w:rsidRPr="00610932" w:rsidRDefault="00610932" w:rsidP="00B400C3">
      <w:pPr>
        <w:rPr>
          <w:lang w:val="nl-NL" w:eastAsia="en-US"/>
        </w:rPr>
      </w:pPr>
      <w:r w:rsidRPr="00610932">
        <w:rPr>
          <w:lang w:val="nl-NL" w:eastAsia="en-US"/>
        </w:rPr>
        <w:t xml:space="preserve">1. Trước khi trái phiếu được phát hành, Đại diện người sở hữu trái phiếu do tổ chức phát hành chỉ </w:t>
      </w:r>
      <w:r w:rsidRPr="00610932">
        <w:rPr>
          <w:lang w:val="nl-NL" w:eastAsia="en-US"/>
        </w:rPr>
        <w:lastRenderedPageBreak/>
        <w:t>định.</w:t>
      </w:r>
    </w:p>
    <w:p w14:paraId="09DDF0A0" w14:textId="635CCA06" w:rsidR="00610932" w:rsidRPr="00610932" w:rsidRDefault="00610932" w:rsidP="00B400C3">
      <w:pPr>
        <w:rPr>
          <w:lang w:val="nl-NL" w:eastAsia="en-US"/>
        </w:rPr>
      </w:pPr>
      <w:r w:rsidRPr="00610932">
        <w:rPr>
          <w:lang w:val="nl-NL" w:eastAsia="en-US"/>
        </w:rPr>
        <w:t>2. Đại diện người sở hữu trái phiếu không phải tổ chức bảo lãnh thanh toán của tổ chức phát hành, bên sở hữu tài sản bảo đảm của trái phiếu hoặc cổ đông lớn hoặc người có liên quan của tổ chức phát hành.</w:t>
      </w:r>
    </w:p>
    <w:p w14:paraId="14C6B567" w14:textId="127D135E" w:rsidR="00610932" w:rsidRPr="00610932" w:rsidRDefault="00610932" w:rsidP="00B400C3">
      <w:pPr>
        <w:rPr>
          <w:lang w:val="nl-NL" w:eastAsia="en-US"/>
        </w:rPr>
      </w:pPr>
      <w:r w:rsidRPr="00610932">
        <w:rPr>
          <w:lang w:val="nl-NL" w:eastAsia="en-US"/>
        </w:rPr>
        <w:t>3. Đại diện người sở hữu trái phiếu có tối thiểu các trách nhiệm sau:</w:t>
      </w:r>
    </w:p>
    <w:p w14:paraId="3054F726" w14:textId="3A3B5D75" w:rsidR="00610932" w:rsidRPr="00610932" w:rsidRDefault="00610932" w:rsidP="00B400C3">
      <w:pPr>
        <w:rPr>
          <w:lang w:val="nl-NL" w:eastAsia="en-US"/>
        </w:rPr>
      </w:pPr>
      <w:r w:rsidRPr="00610932">
        <w:rPr>
          <w:lang w:val="nl-NL" w:eastAsia="en-US"/>
        </w:rPr>
        <w:t>a) Giám sát việc tuân thủ các cam kết của tổ chức phát hành trong hồ sơ đăng ký chào bán trái phiếu;</w:t>
      </w:r>
    </w:p>
    <w:p w14:paraId="260B2B55" w14:textId="6B6FC73D" w:rsidR="00610932" w:rsidRPr="00610932" w:rsidRDefault="00610932" w:rsidP="00B400C3">
      <w:pPr>
        <w:rPr>
          <w:lang w:val="nl-NL" w:eastAsia="en-US"/>
        </w:rPr>
      </w:pPr>
      <w:r w:rsidRPr="00610932">
        <w:rPr>
          <w:lang w:val="nl-NL" w:eastAsia="en-US"/>
        </w:rPr>
        <w:t>b) Làm trung gian liên lạc giữa người sở hữu trái phiếu, tổ chức phát hành và các tổ chức có liên quan khác;</w:t>
      </w:r>
    </w:p>
    <w:p w14:paraId="7089990B" w14:textId="06D9C539" w:rsidR="00610932" w:rsidRPr="00610932" w:rsidRDefault="00610932" w:rsidP="00B400C3">
      <w:pPr>
        <w:rPr>
          <w:lang w:val="nl-NL" w:eastAsia="en-US"/>
        </w:rPr>
      </w:pPr>
      <w:r w:rsidRPr="00610932">
        <w:rPr>
          <w:lang w:val="nl-NL" w:eastAsia="en-US"/>
        </w:rPr>
        <w:t>c) Yêu cầu bên bảo lãnh thanh toán thực hiện nghĩa vụ bảo lãnh khi tổ chức phát hành không thực hiện hoặc thực hiện không đúng nghĩa vụ thanh toán gốc, lãi trái phiếu;</w:t>
      </w:r>
    </w:p>
    <w:p w14:paraId="307CB9BA" w14:textId="4F0ED3A2" w:rsidR="00610932" w:rsidRPr="00610932" w:rsidRDefault="00610932" w:rsidP="00B400C3">
      <w:pPr>
        <w:rPr>
          <w:lang w:val="nl-NL" w:eastAsia="en-US"/>
        </w:rPr>
      </w:pPr>
      <w:r w:rsidRPr="00610932">
        <w:rPr>
          <w:lang w:val="nl-NL" w:eastAsia="en-US"/>
        </w:rPr>
        <w:t>d) Trường hợp trái phiếu được bảo đảm thanh toán bằng phương thức bảo đảm bằng tài sản, Đại diện người sở hữu trái phiếu là tổ chức nhận và quản lý tài sản bảo đảm, thay mặt người sở hữu trái phiếu thực hiện các biện pháp xử lý tài sản bảo đảm theo đúng điều khoản hợp đồng đã ký kết và theo quy định pháp luật về các biện pháp bảo đảm thực hiện nghĩa vụ dân sự trừ trường hợp quy định tại điểm đ khoản này;</w:t>
      </w:r>
    </w:p>
    <w:p w14:paraId="310E2D42" w14:textId="4766D539" w:rsidR="00610932" w:rsidRPr="00610932" w:rsidRDefault="00610932" w:rsidP="00B400C3">
      <w:pPr>
        <w:rPr>
          <w:lang w:val="nl-NL" w:eastAsia="en-US"/>
        </w:rPr>
      </w:pPr>
      <w:r w:rsidRPr="00610932">
        <w:rPr>
          <w:lang w:val="nl-NL" w:eastAsia="en-US"/>
        </w:rPr>
        <w:t>đ) Trường hợp Đại diện người sở hữu trái phiếu không được nhận tài sản bảo đảm theo quy định của pháp luật chuyên ngành, Đại diện người sở hữu trái phiếu phải chỉ định bên thứ ba nhận tài sản bảo đảm. Tổ chức nhận tài sản bảo đảm có trách nhiệm phối hợp với Đại diện người sở hữu trái phiếu để quản lý và thực hiện các biện pháp xử lý tài sản bảo đảm theo điều khoản hợp đồng đã ký kết và theo quy định pháp luật về các biện pháp bảo đảm thực hiện nghĩa vụ dân sự;</w:t>
      </w:r>
    </w:p>
    <w:p w14:paraId="5FDD0CD9" w14:textId="22EBB40B" w:rsidR="00610932" w:rsidRPr="00610932" w:rsidRDefault="00610932" w:rsidP="00B400C3">
      <w:pPr>
        <w:rPr>
          <w:lang w:val="nl-NL" w:eastAsia="en-US"/>
        </w:rPr>
      </w:pPr>
      <w:r w:rsidRPr="00610932">
        <w:rPr>
          <w:lang w:val="nl-NL" w:eastAsia="en-US"/>
        </w:rPr>
        <w:t>e) Báo cáo Ủy ban Chứng khoán Nhà nước trong trường hợp phát hiện tổ chức phát hành có hành vi vi phạm ảnh hưởng đến quyền lợi của người sở hữu trái phiếu.</w:t>
      </w:r>
    </w:p>
    <w:p w14:paraId="05BAE96B" w14:textId="496FF637" w:rsidR="00610932" w:rsidRDefault="00610932" w:rsidP="00B400C3">
      <w:pPr>
        <w:rPr>
          <w:lang w:val="nl-NL" w:eastAsia="en-US"/>
        </w:rPr>
      </w:pPr>
      <w:r w:rsidRPr="00610932">
        <w:rPr>
          <w:lang w:val="nl-NL" w:eastAsia="en-US"/>
        </w:rPr>
        <w:t>4. Đại diện người sở hữu trái phiếu được thay đổi khi được số người sở hữu trái phiếu đại diện từ 65% tổng số trái phiếu cùng loại đang lưu hành trở lên chấp thuận. Trường hợp thay đổi các điều khoản khác tại Hợp đồng đại diện người sở hữu trái phiếu, việc thay đổi phải đồng thời được cấp có thẩm quyền của tổ chức phát hành thông qua</w:t>
      </w:r>
    </w:p>
    <w:p w14:paraId="67458660" w14:textId="33D451C6" w:rsidR="00610932" w:rsidRDefault="00610932" w:rsidP="00B400C3">
      <w:pPr>
        <w:rPr>
          <w:lang w:val="nl-NL" w:eastAsia="en-US"/>
        </w:rPr>
      </w:pPr>
    </w:p>
    <w:p w14:paraId="7351F371" w14:textId="77777777" w:rsidR="00610932" w:rsidRDefault="00610932" w:rsidP="00B400C3">
      <w:pPr>
        <w:rPr>
          <w:lang w:val="nl-NL" w:eastAsia="en-US"/>
        </w:rPr>
      </w:pPr>
    </w:p>
    <w:p w14:paraId="06C1FA8B" w14:textId="50842605" w:rsidR="00610932" w:rsidRPr="00610932" w:rsidRDefault="00610932" w:rsidP="00B400C3">
      <w:pPr>
        <w:pStyle w:val="Heading2"/>
        <w:rPr>
          <w:rFonts w:eastAsia="Times New Roman"/>
          <w:lang w:val="nl-NL" w:eastAsia="en-US"/>
        </w:rPr>
      </w:pPr>
      <w:bookmarkStart w:id="162" w:name="_Toc204931462"/>
      <w:r w:rsidRPr="00610932">
        <w:rPr>
          <w:rFonts w:eastAsia="Times New Roman"/>
          <w:lang w:val="nl-NL" w:eastAsia="en-US"/>
        </w:rPr>
        <w:t>Điều 25. Hồ sơ đăng ký chào bán trái phiếu có bảo đảm ra công chúng</w:t>
      </w:r>
      <w:bookmarkEnd w:id="162"/>
    </w:p>
    <w:p w14:paraId="7A327829" w14:textId="5885ACBC" w:rsidR="00610932" w:rsidRPr="00610932" w:rsidRDefault="00610932" w:rsidP="00B400C3">
      <w:pPr>
        <w:rPr>
          <w:lang w:val="nl-NL" w:eastAsia="en-US"/>
        </w:rPr>
      </w:pPr>
      <w:r w:rsidRPr="00610932">
        <w:rPr>
          <w:lang w:val="nl-NL" w:eastAsia="en-US"/>
        </w:rPr>
        <w:t>1. Các tài liệu quy định tại Điều 20 Nghị định này.</w:t>
      </w:r>
      <w:r>
        <w:rPr>
          <w:lang w:val="nl-NL" w:eastAsia="en-US"/>
        </w:rPr>
        <w:t xml:space="preserve"> (Ở trên)</w:t>
      </w:r>
    </w:p>
    <w:p w14:paraId="03DB03EC" w14:textId="1426BA85" w:rsidR="00610932" w:rsidRPr="00610932" w:rsidRDefault="00610932" w:rsidP="00B400C3">
      <w:pPr>
        <w:rPr>
          <w:lang w:val="nl-NL" w:eastAsia="en-US"/>
        </w:rPr>
      </w:pPr>
      <w:r w:rsidRPr="00610932">
        <w:rPr>
          <w:lang w:val="nl-NL" w:eastAsia="en-US"/>
        </w:rPr>
        <w:t xml:space="preserve">2. Văn bản cam kết bảo lãnh thanh toán của tổ chức tín dụng, chi nhánh ngân hàng nước ngoài trong </w:t>
      </w:r>
      <w:r w:rsidRPr="00610932">
        <w:rPr>
          <w:highlight w:val="yellow"/>
          <w:lang w:val="nl-NL" w:eastAsia="en-US"/>
        </w:rPr>
        <w:t>trường hợp trái phiếu được bảo đảm theo phương thức bảo lãnh thanh toán</w:t>
      </w:r>
      <w:r w:rsidRPr="00610932">
        <w:rPr>
          <w:lang w:val="nl-NL" w:eastAsia="en-US"/>
        </w:rPr>
        <w:t>.</w:t>
      </w:r>
    </w:p>
    <w:p w14:paraId="10A84F0A" w14:textId="2CCE31FF" w:rsidR="00610932" w:rsidRPr="00610932" w:rsidRDefault="00610932" w:rsidP="00B400C3">
      <w:pPr>
        <w:rPr>
          <w:lang w:val="nl-NL" w:eastAsia="en-US"/>
        </w:rPr>
      </w:pPr>
      <w:r w:rsidRPr="00610932">
        <w:rPr>
          <w:lang w:val="nl-NL" w:eastAsia="en-US"/>
        </w:rPr>
        <w:t xml:space="preserve">3. Đối với trường hợp </w:t>
      </w:r>
      <w:r w:rsidRPr="00610932">
        <w:rPr>
          <w:highlight w:val="yellow"/>
          <w:lang w:val="nl-NL" w:eastAsia="en-US"/>
        </w:rPr>
        <w:t>bảo đảm bằng tài sản</w:t>
      </w:r>
      <w:r w:rsidRPr="00610932">
        <w:rPr>
          <w:lang w:val="nl-NL" w:eastAsia="en-US"/>
        </w:rPr>
        <w:t>: tài liệu chứng minh quyền sở hữu đối với tài sản được dùng để bảo đảm thanh toán trái phiếu; cam kết của bên thứ ba sở hữu tài sản bảo đảm về việc dùng tài sản đó để bảo đảm thực hiện nghĩa vụ thanh toán trái phiếu (trường hợp bảo đảm bằng tài sản của bên thứ ba); hợp đồng có nghĩa vụ được bảo đảm giữa bên sở hữu tài sản bảo đảm, Đại diện người sở hữu trái phiếu, bên nhận tài sản bảo đảm khác (trường hợp Đại diện người sở hữu trái phiếu không được nhận tài sản bảo đảm) và tổ chức phát hành; hợp đồng bảo hiểm tài sản (nếu có) đối với các tài sản này; chứng thư thẩm định giá tài sản bảo đảm còn hiệu lực; văn bản xác nhận đã đăng ký biện pháp bảo đảm đối với tài sản được dùng để bảo đảm (nếu có). Văn bản xác nhận đã đăng ký biện pháp bảo đảm đối với tài sản được dùng để bảo đảm phải được gửi đến Ủy ban Chứng khoán Nhà nước trước ngày cấp Giấy chứng nhận đăng ký chào bán.</w:t>
      </w:r>
    </w:p>
    <w:p w14:paraId="67D18297" w14:textId="23ECDA6C" w:rsidR="00610932" w:rsidRDefault="00610932" w:rsidP="00B400C3">
      <w:pPr>
        <w:rPr>
          <w:lang w:val="nl-NL" w:eastAsia="en-US"/>
        </w:rPr>
      </w:pPr>
      <w:r w:rsidRPr="00610932">
        <w:rPr>
          <w:lang w:val="nl-NL" w:eastAsia="en-US"/>
        </w:rPr>
        <w:t>4. Hợp đồng đại diện người sở hữu trái phiếu giữa tổ chức phát hành với Đại diện người sở hữu trái phiếu.</w:t>
      </w:r>
    </w:p>
    <w:p w14:paraId="3043B25E" w14:textId="301E9CB0" w:rsidR="000B282B" w:rsidRDefault="000B282B" w:rsidP="00B400C3">
      <w:pPr>
        <w:rPr>
          <w:lang w:val="nl-NL" w:eastAsia="en-US"/>
        </w:rPr>
      </w:pPr>
    </w:p>
    <w:p w14:paraId="216DCBEE" w14:textId="142CAEA0" w:rsidR="000B282B" w:rsidRDefault="000B282B" w:rsidP="00B400C3">
      <w:pPr>
        <w:pStyle w:val="Heading2"/>
        <w:rPr>
          <w:rFonts w:eastAsia="Times New Roman"/>
          <w:lang w:val="nl-NL" w:eastAsia="en-US"/>
        </w:rPr>
      </w:pPr>
      <w:bookmarkStart w:id="163" w:name="_Toc204931463"/>
      <w:commentRangeStart w:id="164"/>
      <w:r>
        <w:rPr>
          <w:rFonts w:eastAsia="Times New Roman"/>
          <w:lang w:val="nl-NL" w:eastAsia="en-US"/>
        </w:rPr>
        <w:t>Điều 26 Thông tư 121/2020/TT-BTC</w:t>
      </w:r>
      <w:commentRangeEnd w:id="164"/>
      <w:r w:rsidR="00610932">
        <w:rPr>
          <w:rStyle w:val="CommentReference"/>
          <w:rFonts w:ascii="Tahoma" w:eastAsia="Tahoma" w:hAnsi="Tahoma" w:cs="Tahoma"/>
          <w:color w:val="000000"/>
        </w:rPr>
        <w:commentReference w:id="164"/>
      </w:r>
      <w:bookmarkEnd w:id="163"/>
    </w:p>
    <w:p w14:paraId="6541EB2E" w14:textId="1270D7E7" w:rsidR="000B282B" w:rsidRPr="000B282B" w:rsidRDefault="000B282B" w:rsidP="00B400C3">
      <w:r w:rsidRPr="000B282B">
        <w:t>Điều 26. Hạn chế vay nợ</w:t>
      </w:r>
    </w:p>
    <w:p w14:paraId="610FECE4" w14:textId="0E17625B" w:rsidR="000B282B" w:rsidRPr="000B282B" w:rsidRDefault="000B282B" w:rsidP="00B400C3">
      <w:r w:rsidRPr="000B282B">
        <w:t>1. Tỷ lệ tổng nợ trên vốn chủ sở hữu của công ty chứng khoán không được vượt quá 05 lần. Giá trị tổng nợ theo quy định này không bao gồm các khoản sau đây:</w:t>
      </w:r>
    </w:p>
    <w:p w14:paraId="03974EE1" w14:textId="322501B2" w:rsidR="000B282B" w:rsidRPr="000B282B" w:rsidRDefault="000B282B" w:rsidP="00B400C3">
      <w:r w:rsidRPr="000B282B">
        <w:t>a) Tiền gửi giao dịch chứng khoán của khách hàng;</w:t>
      </w:r>
    </w:p>
    <w:p w14:paraId="171F2DB1" w14:textId="50BECBD3" w:rsidR="000B282B" w:rsidRPr="000B282B" w:rsidRDefault="000B282B" w:rsidP="00B400C3">
      <w:r w:rsidRPr="000B282B">
        <w:t>b) Quỹ khen thưởng phúc lợi;</w:t>
      </w:r>
    </w:p>
    <w:p w14:paraId="08B3780E" w14:textId="429E4667" w:rsidR="000B282B" w:rsidRPr="000B282B" w:rsidRDefault="000B282B" w:rsidP="00B400C3">
      <w:r w:rsidRPr="000B282B">
        <w:lastRenderedPageBreak/>
        <w:t>c) Dự phòng trợ cấp mất việc làm;</w:t>
      </w:r>
    </w:p>
    <w:p w14:paraId="006821AD" w14:textId="4CFFB4B5" w:rsidR="000B282B" w:rsidRPr="000B282B" w:rsidRDefault="000B282B" w:rsidP="00B400C3">
      <w:r w:rsidRPr="000B282B">
        <w:t>d) Dự phòng bồi thường thiệt hại cho nhà đầu tư.</w:t>
      </w:r>
    </w:p>
    <w:p w14:paraId="03CF988A" w14:textId="08C4750D" w:rsidR="000B282B" w:rsidRPr="000B282B" w:rsidRDefault="000B282B" w:rsidP="00B400C3">
      <w:r w:rsidRPr="000B282B">
        <w:t>2. Nợ ngắn hạn của công ty chứng khoán tối đa bằng tài sản ngắn hạn.</w:t>
      </w:r>
    </w:p>
    <w:p w14:paraId="1133F43D" w14:textId="4E1B9004" w:rsidR="000B282B" w:rsidRPr="0089362F" w:rsidRDefault="000B282B" w:rsidP="00B400C3">
      <w:r w:rsidRPr="000B282B">
        <w:t>3. Công ty chứng khoán chào bán trái phiếu thực hiện theo quy định tại Điều 31 Luật Chứng khoán, Nghị định quy định chi tiết thi hành một số điều của Luật Chứng khoán, pháp luật về phát hành trái phiếu doanh nghiệp và phải đảm bảo tuân thủ tỷ lệ quy định tại Khoản 1 và 2 Điều này.</w:t>
      </w:r>
    </w:p>
    <w:sectPr w:rsidR="000B282B" w:rsidRPr="0089362F" w:rsidSect="00954501">
      <w:footerReference w:type="default" r:id="rId12"/>
      <w:pgSz w:w="11906" w:h="16838" w:code="9"/>
      <w:pgMar w:top="1134" w:right="991" w:bottom="1134" w:left="1418"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hminhnguyen53503@gmail.com" w:date="2025-04-01T15:52:00Z" w:initials="a">
    <w:p w14:paraId="68CD6503" w14:textId="41883414" w:rsidR="006B0772" w:rsidRPr="00F36838" w:rsidRDefault="006B0772" w:rsidP="00B400C3">
      <w:pPr>
        <w:pStyle w:val="CommentText"/>
      </w:pPr>
      <w:r>
        <w:rPr>
          <w:rStyle w:val="CommentReference"/>
        </w:rPr>
        <w:annotationRef/>
      </w:r>
      <w:r w:rsidR="00F36838">
        <w:rPr>
          <w:rStyle w:val="CommentReference"/>
        </w:rPr>
        <w:t>Nằm trong bản cáo bạch, yêu cầu phải có khi chào bán lần đầu</w:t>
      </w:r>
    </w:p>
  </w:comment>
  <w:comment w:id="64" w:author="anhminhnguyen53503@gmail.com" w:date="2025-05-14T15:08:00Z" w:initials="a">
    <w:p w14:paraId="6F8D64AD" w14:textId="17233B05" w:rsidR="00B400C3" w:rsidRPr="00B400C3" w:rsidRDefault="00B400C3" w:rsidP="00B400C3">
      <w:pPr>
        <w:pStyle w:val="CommentText"/>
      </w:pPr>
      <w:r>
        <w:rPr>
          <w:rStyle w:val="CommentReference"/>
        </w:rPr>
        <w:annotationRef/>
      </w:r>
      <w:r>
        <w:t>Tài liệu gồm có</w:t>
      </w:r>
    </w:p>
  </w:comment>
  <w:comment w:id="65" w:author="anhminhnguyen53503@gmail.com" w:date="2025-04-02T16:16:00Z" w:initials="a">
    <w:p w14:paraId="694E1736" w14:textId="73DD56A5" w:rsidR="00DE1B0D" w:rsidRDefault="00DE1B0D" w:rsidP="00B400C3">
      <w:pPr>
        <w:pStyle w:val="CommentText"/>
      </w:pPr>
      <w:r>
        <w:rPr>
          <w:rStyle w:val="CommentReference"/>
        </w:rPr>
        <w:annotationRef/>
      </w:r>
    </w:p>
  </w:comment>
  <w:comment w:id="120" w:author="anhminhnguyen53503@gmail.com" w:date="2025-07-31T17:02:00Z" w:initials="a">
    <w:p w14:paraId="00E1049F" w14:textId="3D039877" w:rsidR="00FC0AD2" w:rsidRDefault="00FC0AD2">
      <w:pPr>
        <w:pStyle w:val="CommentText"/>
      </w:pPr>
      <w:r>
        <w:rPr>
          <w:rStyle w:val="CommentReference"/>
        </w:rPr>
        <w:annotationRef/>
      </w:r>
      <w:r w:rsidR="006A6A96">
        <w:rPr>
          <w:noProof/>
        </w:rPr>
        <w:t>TnC</w:t>
      </w:r>
    </w:p>
  </w:comment>
  <w:comment w:id="160" w:author="anhminhnguyen53503@gmail.com" w:date="2025-05-07T15:59:00Z" w:initials="a">
    <w:p w14:paraId="63281200" w14:textId="7CBBDE45" w:rsidR="00E3130C" w:rsidRPr="00E3130C" w:rsidRDefault="00E3130C" w:rsidP="00B400C3">
      <w:pPr>
        <w:pStyle w:val="CommentText"/>
      </w:pPr>
      <w:r>
        <w:rPr>
          <w:rStyle w:val="CommentReference"/>
        </w:rPr>
        <w:annotationRef/>
      </w:r>
      <w:r>
        <w:t>Chưa có hướng dẫn</w:t>
      </w:r>
    </w:p>
  </w:comment>
  <w:comment w:id="164" w:author="anhminhnguyen53503@gmail.com" w:date="2025-05-09T09:08:00Z" w:initials="a">
    <w:p w14:paraId="780B9269" w14:textId="58C99BEF" w:rsidR="00610932" w:rsidRPr="00610932" w:rsidRDefault="00610932" w:rsidP="00B400C3">
      <w:pPr>
        <w:pStyle w:val="CommentText"/>
      </w:pPr>
      <w:r>
        <w:rPr>
          <w:rStyle w:val="CommentReference"/>
        </w:rPr>
        <w:annotationRef/>
      </w:r>
      <w:r>
        <w:rPr>
          <w:rStyle w:val="CommentReference"/>
        </w:rPr>
        <w:t>Thông tư về hoạt động của công ty chứng khoán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D6503" w15:done="0"/>
  <w15:commentEx w15:paraId="6F8D64AD" w15:done="0"/>
  <w15:commentEx w15:paraId="694E1736" w15:done="0"/>
  <w15:commentEx w15:paraId="00E1049F" w15:done="0"/>
  <w15:commentEx w15:paraId="63281200" w15:done="0"/>
  <w15:commentEx w15:paraId="780B9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8A59" w16cex:dateUtc="2025-04-01T08:52:00Z"/>
  <w16cex:commentExtensible w16cex:durableId="2BCF307A" w16cex:dateUtc="2025-05-14T08:08:00Z"/>
  <w16cex:commentExtensible w16cex:durableId="2B97E171" w16cex:dateUtc="2025-04-02T09:16:00Z"/>
  <w16cex:commentExtensible w16cex:durableId="2C362027" w16cex:dateUtc="2025-07-31T10:02:00Z"/>
  <w16cex:commentExtensible w16cex:durableId="2BC601DA" w16cex:dateUtc="2025-05-07T08:59:00Z"/>
  <w16cex:commentExtensible w16cex:durableId="2BC844A9" w16cex:dateUtc="2025-05-09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D6503" w16cid:durableId="2B968A59"/>
  <w16cid:commentId w16cid:paraId="6F8D64AD" w16cid:durableId="2BCF307A"/>
  <w16cid:commentId w16cid:paraId="694E1736" w16cid:durableId="2B97E171"/>
  <w16cid:commentId w16cid:paraId="00E1049F" w16cid:durableId="2C362027"/>
  <w16cid:commentId w16cid:paraId="63281200" w16cid:durableId="2BC601DA"/>
  <w16cid:commentId w16cid:paraId="780B9269" w16cid:durableId="2BC844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4906" w14:textId="77777777" w:rsidR="006A6A96" w:rsidRDefault="006A6A96" w:rsidP="00B400C3">
      <w:r>
        <w:separator/>
      </w:r>
    </w:p>
  </w:endnote>
  <w:endnote w:type="continuationSeparator" w:id="0">
    <w:p w14:paraId="79DB992C" w14:textId="77777777" w:rsidR="006A6A96" w:rsidRDefault="006A6A96" w:rsidP="00B4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25276"/>
      <w:docPartObj>
        <w:docPartGallery w:val="Page Numbers (Bottom of Page)"/>
        <w:docPartUnique/>
      </w:docPartObj>
    </w:sdtPr>
    <w:sdtEndPr>
      <w:rPr>
        <w:noProof/>
      </w:rPr>
    </w:sdtEndPr>
    <w:sdtContent>
      <w:p w14:paraId="5252AD11" w14:textId="522B282A" w:rsidR="00D578A8" w:rsidRPr="00513833" w:rsidRDefault="00D578A8" w:rsidP="00B400C3">
        <w:pPr>
          <w:pStyle w:val="Footer"/>
        </w:pPr>
        <w:r w:rsidRPr="00513833">
          <w:fldChar w:fldCharType="begin"/>
        </w:r>
        <w:r w:rsidRPr="00513833">
          <w:instrText xml:space="preserve"> PAGE   \* MERGEFORMAT </w:instrText>
        </w:r>
        <w:r w:rsidRPr="00513833">
          <w:fldChar w:fldCharType="separate"/>
        </w:r>
        <w:r w:rsidRPr="00513833">
          <w:rPr>
            <w:noProof/>
          </w:rPr>
          <w:t>2</w:t>
        </w:r>
        <w:r w:rsidRPr="0051383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93B6" w14:textId="77777777" w:rsidR="006A6A96" w:rsidRDefault="006A6A96" w:rsidP="00B400C3">
      <w:r>
        <w:separator/>
      </w:r>
    </w:p>
  </w:footnote>
  <w:footnote w:type="continuationSeparator" w:id="0">
    <w:p w14:paraId="6E4BF679" w14:textId="77777777" w:rsidR="006A6A96" w:rsidRDefault="006A6A96" w:rsidP="00B40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6AA"/>
    <w:multiLevelType w:val="hybridMultilevel"/>
    <w:tmpl w:val="E772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412CC"/>
    <w:multiLevelType w:val="hybridMultilevel"/>
    <w:tmpl w:val="C38A1602"/>
    <w:lvl w:ilvl="0" w:tplc="597ECEA6">
      <w:numFmt w:val="bullet"/>
      <w:lvlText w:val="-"/>
      <w:lvlJc w:val="left"/>
      <w:pPr>
        <w:ind w:left="790" w:hanging="360"/>
      </w:pPr>
      <w:rPr>
        <w:rFonts w:ascii="Times New Roman" w:eastAsia="Calibri" w:hAnsi="Times New Roman"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3BCC472F"/>
    <w:multiLevelType w:val="hybridMultilevel"/>
    <w:tmpl w:val="C2665424"/>
    <w:lvl w:ilvl="0" w:tplc="C9A666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CFD72EE"/>
    <w:multiLevelType w:val="hybridMultilevel"/>
    <w:tmpl w:val="E7D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hminhnguyen53503@gmail.com">
    <w15:presenceInfo w15:providerId="Windows Live" w15:userId="5078f6335aaae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97"/>
    <w:rsid w:val="00002E2C"/>
    <w:rsid w:val="0005791F"/>
    <w:rsid w:val="00063064"/>
    <w:rsid w:val="00065C1E"/>
    <w:rsid w:val="0007469D"/>
    <w:rsid w:val="00082DCF"/>
    <w:rsid w:val="00093D0A"/>
    <w:rsid w:val="000A4121"/>
    <w:rsid w:val="000A4DE8"/>
    <w:rsid w:val="000B282B"/>
    <w:rsid w:val="000D32E7"/>
    <w:rsid w:val="000D7941"/>
    <w:rsid w:val="000F5637"/>
    <w:rsid w:val="00106D6E"/>
    <w:rsid w:val="00132BED"/>
    <w:rsid w:val="00133BC1"/>
    <w:rsid w:val="00134BB1"/>
    <w:rsid w:val="0013504D"/>
    <w:rsid w:val="00137AA9"/>
    <w:rsid w:val="00160FC1"/>
    <w:rsid w:val="00175BC3"/>
    <w:rsid w:val="00183BEB"/>
    <w:rsid w:val="00187BBA"/>
    <w:rsid w:val="0019105E"/>
    <w:rsid w:val="0019231A"/>
    <w:rsid w:val="001A5DF1"/>
    <w:rsid w:val="001A6322"/>
    <w:rsid w:val="001B4E97"/>
    <w:rsid w:val="001D10F7"/>
    <w:rsid w:val="001E22EC"/>
    <w:rsid w:val="001F3331"/>
    <w:rsid w:val="001F4F2E"/>
    <w:rsid w:val="00201D68"/>
    <w:rsid w:val="00203A7E"/>
    <w:rsid w:val="00206007"/>
    <w:rsid w:val="00213145"/>
    <w:rsid w:val="00215A14"/>
    <w:rsid w:val="002248CB"/>
    <w:rsid w:val="00226544"/>
    <w:rsid w:val="002405B0"/>
    <w:rsid w:val="002434FE"/>
    <w:rsid w:val="00253A5B"/>
    <w:rsid w:val="00256147"/>
    <w:rsid w:val="00291E46"/>
    <w:rsid w:val="0029461C"/>
    <w:rsid w:val="002B1AA2"/>
    <w:rsid w:val="002B289D"/>
    <w:rsid w:val="002C475E"/>
    <w:rsid w:val="002E6B21"/>
    <w:rsid w:val="002F0B59"/>
    <w:rsid w:val="003025B2"/>
    <w:rsid w:val="0031078C"/>
    <w:rsid w:val="00311F81"/>
    <w:rsid w:val="00312326"/>
    <w:rsid w:val="003138E0"/>
    <w:rsid w:val="00326C10"/>
    <w:rsid w:val="003474E4"/>
    <w:rsid w:val="00354A0C"/>
    <w:rsid w:val="00364805"/>
    <w:rsid w:val="003912C0"/>
    <w:rsid w:val="00393E53"/>
    <w:rsid w:val="003A6128"/>
    <w:rsid w:val="003D3A10"/>
    <w:rsid w:val="00416EAA"/>
    <w:rsid w:val="004320F8"/>
    <w:rsid w:val="00440A66"/>
    <w:rsid w:val="0044325F"/>
    <w:rsid w:val="00462809"/>
    <w:rsid w:val="00486733"/>
    <w:rsid w:val="004905B3"/>
    <w:rsid w:val="004B36F4"/>
    <w:rsid w:val="004C3D5A"/>
    <w:rsid w:val="004C4065"/>
    <w:rsid w:val="004D7EB6"/>
    <w:rsid w:val="004E734F"/>
    <w:rsid w:val="00500E42"/>
    <w:rsid w:val="00501A76"/>
    <w:rsid w:val="00505333"/>
    <w:rsid w:val="00513833"/>
    <w:rsid w:val="005158BC"/>
    <w:rsid w:val="005177E9"/>
    <w:rsid w:val="00525BA6"/>
    <w:rsid w:val="00526BE1"/>
    <w:rsid w:val="00543A10"/>
    <w:rsid w:val="00551F72"/>
    <w:rsid w:val="00552A95"/>
    <w:rsid w:val="0056003A"/>
    <w:rsid w:val="00590BF4"/>
    <w:rsid w:val="00590EEB"/>
    <w:rsid w:val="0059342A"/>
    <w:rsid w:val="005C07C7"/>
    <w:rsid w:val="005C083F"/>
    <w:rsid w:val="005C7E0C"/>
    <w:rsid w:val="005F34B5"/>
    <w:rsid w:val="00600A4A"/>
    <w:rsid w:val="00610932"/>
    <w:rsid w:val="00634EBD"/>
    <w:rsid w:val="0064334F"/>
    <w:rsid w:val="006877AB"/>
    <w:rsid w:val="006A6A96"/>
    <w:rsid w:val="006A7B10"/>
    <w:rsid w:val="006B0772"/>
    <w:rsid w:val="006B3BA6"/>
    <w:rsid w:val="006B544F"/>
    <w:rsid w:val="006B6E47"/>
    <w:rsid w:val="006C3EA9"/>
    <w:rsid w:val="006E0259"/>
    <w:rsid w:val="007000C5"/>
    <w:rsid w:val="00703C54"/>
    <w:rsid w:val="00710A19"/>
    <w:rsid w:val="00712C9B"/>
    <w:rsid w:val="00714B96"/>
    <w:rsid w:val="0073192A"/>
    <w:rsid w:val="00735516"/>
    <w:rsid w:val="007368A3"/>
    <w:rsid w:val="00745EEB"/>
    <w:rsid w:val="00753D2A"/>
    <w:rsid w:val="00754EE6"/>
    <w:rsid w:val="00787517"/>
    <w:rsid w:val="007C33F3"/>
    <w:rsid w:val="008028B5"/>
    <w:rsid w:val="0080404E"/>
    <w:rsid w:val="008172E5"/>
    <w:rsid w:val="00825C05"/>
    <w:rsid w:val="008478CD"/>
    <w:rsid w:val="00864F40"/>
    <w:rsid w:val="00876909"/>
    <w:rsid w:val="0087768F"/>
    <w:rsid w:val="00877F06"/>
    <w:rsid w:val="00887C24"/>
    <w:rsid w:val="0089296A"/>
    <w:rsid w:val="0089362F"/>
    <w:rsid w:val="008A0302"/>
    <w:rsid w:val="008B13D2"/>
    <w:rsid w:val="008B211B"/>
    <w:rsid w:val="008C2AC4"/>
    <w:rsid w:val="008D4915"/>
    <w:rsid w:val="008E7B88"/>
    <w:rsid w:val="008F05E8"/>
    <w:rsid w:val="008F3253"/>
    <w:rsid w:val="008F3D71"/>
    <w:rsid w:val="009104B1"/>
    <w:rsid w:val="00943901"/>
    <w:rsid w:val="00950F63"/>
    <w:rsid w:val="00954501"/>
    <w:rsid w:val="0096400D"/>
    <w:rsid w:val="0096626C"/>
    <w:rsid w:val="009725C5"/>
    <w:rsid w:val="009A5A61"/>
    <w:rsid w:val="009B0BD6"/>
    <w:rsid w:val="009B18BC"/>
    <w:rsid w:val="009B6238"/>
    <w:rsid w:val="009B6259"/>
    <w:rsid w:val="009C4D3F"/>
    <w:rsid w:val="009E0F20"/>
    <w:rsid w:val="009E11C8"/>
    <w:rsid w:val="009E4316"/>
    <w:rsid w:val="00A149B7"/>
    <w:rsid w:val="00A3134F"/>
    <w:rsid w:val="00A3570D"/>
    <w:rsid w:val="00A37D0F"/>
    <w:rsid w:val="00A43C6B"/>
    <w:rsid w:val="00A4540D"/>
    <w:rsid w:val="00A60E27"/>
    <w:rsid w:val="00A63F91"/>
    <w:rsid w:val="00A644E6"/>
    <w:rsid w:val="00A72EA2"/>
    <w:rsid w:val="00A763A0"/>
    <w:rsid w:val="00A83E55"/>
    <w:rsid w:val="00A850F1"/>
    <w:rsid w:val="00A85CD7"/>
    <w:rsid w:val="00A90A69"/>
    <w:rsid w:val="00A96167"/>
    <w:rsid w:val="00AA217B"/>
    <w:rsid w:val="00AA4EC5"/>
    <w:rsid w:val="00AA7AE4"/>
    <w:rsid w:val="00AB33CD"/>
    <w:rsid w:val="00AE27E0"/>
    <w:rsid w:val="00AF6A98"/>
    <w:rsid w:val="00AF7439"/>
    <w:rsid w:val="00B400C3"/>
    <w:rsid w:val="00B5634B"/>
    <w:rsid w:val="00B744BE"/>
    <w:rsid w:val="00B95AE3"/>
    <w:rsid w:val="00BA665D"/>
    <w:rsid w:val="00BB6065"/>
    <w:rsid w:val="00BB7075"/>
    <w:rsid w:val="00BD258C"/>
    <w:rsid w:val="00BE0E20"/>
    <w:rsid w:val="00BE6A20"/>
    <w:rsid w:val="00C04999"/>
    <w:rsid w:val="00C0619A"/>
    <w:rsid w:val="00C3060E"/>
    <w:rsid w:val="00C362BD"/>
    <w:rsid w:val="00C456AD"/>
    <w:rsid w:val="00C506B6"/>
    <w:rsid w:val="00C57DE5"/>
    <w:rsid w:val="00C61C7F"/>
    <w:rsid w:val="00CB4F0A"/>
    <w:rsid w:val="00CD70FC"/>
    <w:rsid w:val="00CE14A3"/>
    <w:rsid w:val="00D2662A"/>
    <w:rsid w:val="00D578A8"/>
    <w:rsid w:val="00D70302"/>
    <w:rsid w:val="00D7245C"/>
    <w:rsid w:val="00D74D07"/>
    <w:rsid w:val="00D801F7"/>
    <w:rsid w:val="00DC1F6D"/>
    <w:rsid w:val="00DC4EF1"/>
    <w:rsid w:val="00DC77A1"/>
    <w:rsid w:val="00DC7BCA"/>
    <w:rsid w:val="00DD63AE"/>
    <w:rsid w:val="00DE1B0D"/>
    <w:rsid w:val="00DF7B5E"/>
    <w:rsid w:val="00E02AC7"/>
    <w:rsid w:val="00E05943"/>
    <w:rsid w:val="00E13293"/>
    <w:rsid w:val="00E16157"/>
    <w:rsid w:val="00E301F4"/>
    <w:rsid w:val="00E3130C"/>
    <w:rsid w:val="00E445FB"/>
    <w:rsid w:val="00E56CDB"/>
    <w:rsid w:val="00E74407"/>
    <w:rsid w:val="00E81C01"/>
    <w:rsid w:val="00E954B7"/>
    <w:rsid w:val="00ED4C3C"/>
    <w:rsid w:val="00EE2173"/>
    <w:rsid w:val="00EF30A6"/>
    <w:rsid w:val="00EF3CB4"/>
    <w:rsid w:val="00F019AC"/>
    <w:rsid w:val="00F26256"/>
    <w:rsid w:val="00F3198E"/>
    <w:rsid w:val="00F32805"/>
    <w:rsid w:val="00F337B5"/>
    <w:rsid w:val="00F3514D"/>
    <w:rsid w:val="00F36838"/>
    <w:rsid w:val="00F451CC"/>
    <w:rsid w:val="00F54474"/>
    <w:rsid w:val="00F6556C"/>
    <w:rsid w:val="00F816AA"/>
    <w:rsid w:val="00F8287F"/>
    <w:rsid w:val="00FA2065"/>
    <w:rsid w:val="00FA4D1E"/>
    <w:rsid w:val="00FA5773"/>
    <w:rsid w:val="00FB5DEB"/>
    <w:rsid w:val="00FC0AD2"/>
    <w:rsid w:val="00FE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7C01"/>
  <w15:chartTrackingRefBased/>
  <w15:docId w15:val="{07DD389E-F8DC-4C1B-A4D5-88B05613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0C3"/>
    <w:pPr>
      <w:widowControl w:val="0"/>
      <w:spacing w:after="0" w:line="240" w:lineRule="auto"/>
    </w:pPr>
    <w:rPr>
      <w:rFonts w:ascii="Times New Roman" w:eastAsia="Tahoma" w:hAnsi="Times New Roman" w:cs="Tahoma"/>
      <w:color w:val="000000"/>
      <w:sz w:val="24"/>
      <w:szCs w:val="24"/>
      <w:lang w:eastAsia="vi-VN"/>
    </w:rPr>
  </w:style>
  <w:style w:type="paragraph" w:styleId="Heading1">
    <w:name w:val="heading 1"/>
    <w:basedOn w:val="Normal"/>
    <w:next w:val="Normal"/>
    <w:link w:val="Heading1Char"/>
    <w:qFormat/>
    <w:rsid w:val="001B4E9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BA6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4E97"/>
    <w:rPr>
      <w:rFonts w:ascii="Calibri Light" w:eastAsia="Times New Roman" w:hAnsi="Calibri Light" w:cs="Times New Roman"/>
      <w:b/>
      <w:bCs/>
      <w:color w:val="000000"/>
      <w:kern w:val="32"/>
      <w:sz w:val="32"/>
      <w:szCs w:val="32"/>
      <w:lang w:val="vi-VN" w:eastAsia="vi-VN"/>
    </w:rPr>
  </w:style>
  <w:style w:type="character" w:styleId="CommentReference">
    <w:name w:val="annotation reference"/>
    <w:uiPriority w:val="99"/>
    <w:rsid w:val="001B4E97"/>
    <w:rPr>
      <w:sz w:val="16"/>
      <w:szCs w:val="16"/>
    </w:rPr>
  </w:style>
  <w:style w:type="paragraph" w:styleId="CommentText">
    <w:name w:val="annotation text"/>
    <w:basedOn w:val="Normal"/>
    <w:link w:val="CommentTextChar"/>
    <w:rsid w:val="001B4E97"/>
    <w:rPr>
      <w:sz w:val="20"/>
      <w:szCs w:val="20"/>
    </w:rPr>
  </w:style>
  <w:style w:type="character" w:customStyle="1" w:styleId="CommentTextChar">
    <w:name w:val="Comment Text Char"/>
    <w:basedOn w:val="DefaultParagraphFont"/>
    <w:link w:val="CommentText"/>
    <w:rsid w:val="001B4E97"/>
    <w:rPr>
      <w:rFonts w:ascii="Tahoma" w:eastAsia="Tahoma" w:hAnsi="Tahoma" w:cs="Tahoma"/>
      <w:color w:val="000000"/>
      <w:sz w:val="20"/>
      <w:szCs w:val="20"/>
      <w:lang w:val="vi-VN" w:eastAsia="vi-VN"/>
    </w:rPr>
  </w:style>
  <w:style w:type="paragraph" w:styleId="BodyText">
    <w:name w:val="Body Text"/>
    <w:basedOn w:val="Normal"/>
    <w:link w:val="BodyTextChar"/>
    <w:unhideWhenUsed/>
    <w:qFormat/>
    <w:rsid w:val="001B4E97"/>
    <w:pPr>
      <w:shd w:val="clear" w:color="auto" w:fill="FFFFFF"/>
      <w:spacing w:after="100" w:line="268" w:lineRule="auto"/>
      <w:ind w:firstLine="400"/>
      <w:jc w:val="both"/>
    </w:pPr>
    <w:rPr>
      <w:rFonts w:eastAsia="Times New Roman" w:cs="Times New Roman"/>
      <w:color w:val="auto"/>
      <w:sz w:val="26"/>
      <w:szCs w:val="26"/>
      <w:lang w:bidi="vi-VN"/>
    </w:rPr>
  </w:style>
  <w:style w:type="character" w:customStyle="1" w:styleId="BodyTextChar">
    <w:name w:val="Body Text Char"/>
    <w:basedOn w:val="DefaultParagraphFont"/>
    <w:link w:val="BodyText"/>
    <w:rsid w:val="001B4E97"/>
    <w:rPr>
      <w:rFonts w:ascii="Times New Roman" w:eastAsia="Times New Roman" w:hAnsi="Times New Roman" w:cs="Times New Roman"/>
      <w:sz w:val="26"/>
      <w:szCs w:val="26"/>
      <w:shd w:val="clear" w:color="auto" w:fill="FFFFFF"/>
      <w:lang w:val="vi-VN" w:eastAsia="vi-VN" w:bidi="vi-VN"/>
    </w:rPr>
  </w:style>
  <w:style w:type="paragraph" w:styleId="ListParagraph">
    <w:name w:val="List Paragraph"/>
    <w:basedOn w:val="Normal"/>
    <w:uiPriority w:val="34"/>
    <w:qFormat/>
    <w:rsid w:val="003138E0"/>
    <w:pPr>
      <w:widowControl/>
      <w:spacing w:after="200" w:line="276" w:lineRule="auto"/>
      <w:ind w:left="720"/>
      <w:contextualSpacing/>
    </w:pPr>
    <w:rPr>
      <w:rFonts w:ascii="Arial" w:eastAsia="Arial" w:hAnsi="Arial" w:cs="Times New Roman"/>
      <w:color w:val="auto"/>
      <w:sz w:val="22"/>
      <w:szCs w:val="22"/>
      <w:lang w:eastAsia="en-US"/>
    </w:rPr>
  </w:style>
  <w:style w:type="paragraph" w:styleId="Header">
    <w:name w:val="header"/>
    <w:basedOn w:val="Normal"/>
    <w:link w:val="HeaderChar"/>
    <w:uiPriority w:val="99"/>
    <w:unhideWhenUsed/>
    <w:rsid w:val="00D578A8"/>
    <w:pPr>
      <w:tabs>
        <w:tab w:val="center" w:pos="4680"/>
        <w:tab w:val="right" w:pos="9360"/>
      </w:tabs>
    </w:pPr>
  </w:style>
  <w:style w:type="character" w:customStyle="1" w:styleId="HeaderChar">
    <w:name w:val="Header Char"/>
    <w:basedOn w:val="DefaultParagraphFont"/>
    <w:link w:val="Header"/>
    <w:uiPriority w:val="99"/>
    <w:rsid w:val="00D578A8"/>
    <w:rPr>
      <w:rFonts w:ascii="Tahoma" w:eastAsia="Tahoma" w:hAnsi="Tahoma" w:cs="Tahoma"/>
      <w:color w:val="000000"/>
      <w:sz w:val="24"/>
      <w:szCs w:val="24"/>
      <w:lang w:val="vi-VN" w:eastAsia="vi-VN"/>
    </w:rPr>
  </w:style>
  <w:style w:type="paragraph" w:styleId="Footer">
    <w:name w:val="footer"/>
    <w:basedOn w:val="Normal"/>
    <w:link w:val="FooterChar"/>
    <w:uiPriority w:val="99"/>
    <w:unhideWhenUsed/>
    <w:rsid w:val="00D578A8"/>
    <w:pPr>
      <w:tabs>
        <w:tab w:val="center" w:pos="4680"/>
        <w:tab w:val="right" w:pos="9360"/>
      </w:tabs>
    </w:pPr>
  </w:style>
  <w:style w:type="character" w:customStyle="1" w:styleId="FooterChar">
    <w:name w:val="Footer Char"/>
    <w:basedOn w:val="DefaultParagraphFont"/>
    <w:link w:val="Footer"/>
    <w:uiPriority w:val="99"/>
    <w:rsid w:val="00D578A8"/>
    <w:rPr>
      <w:rFonts w:ascii="Tahoma" w:eastAsia="Tahoma" w:hAnsi="Tahoma" w:cs="Tahoma"/>
      <w:color w:val="000000"/>
      <w:sz w:val="24"/>
      <w:szCs w:val="24"/>
      <w:lang w:val="vi-VN" w:eastAsia="vi-VN"/>
    </w:rPr>
  </w:style>
  <w:style w:type="paragraph" w:styleId="NormalWeb">
    <w:name w:val="Normal (Web)"/>
    <w:basedOn w:val="Normal"/>
    <w:uiPriority w:val="99"/>
    <w:unhideWhenUsed/>
    <w:rsid w:val="00C506B6"/>
    <w:pPr>
      <w:widowControl/>
      <w:spacing w:before="100" w:beforeAutospacing="1" w:after="100" w:afterAutospacing="1"/>
    </w:pPr>
    <w:rPr>
      <w:rFonts w:eastAsia="Times New Roman" w:cs="Times New Roman"/>
      <w:color w:val="auto"/>
      <w:lang w:eastAsia="en-US"/>
    </w:rPr>
  </w:style>
  <w:style w:type="paragraph" w:customStyle="1" w:styleId="msonormal0">
    <w:name w:val="msonormal"/>
    <w:basedOn w:val="Normal"/>
    <w:rsid w:val="00BB6065"/>
    <w:pPr>
      <w:widowControl/>
      <w:spacing w:before="100" w:beforeAutospacing="1" w:after="100" w:afterAutospacing="1"/>
    </w:pPr>
    <w:rPr>
      <w:rFonts w:eastAsia="Times New Roman" w:cs="Times New Roman"/>
      <w:color w:val="auto"/>
      <w:lang w:eastAsia="en-US"/>
    </w:rPr>
  </w:style>
  <w:style w:type="paragraph" w:styleId="CommentSubject">
    <w:name w:val="annotation subject"/>
    <w:basedOn w:val="CommentText"/>
    <w:next w:val="CommentText"/>
    <w:link w:val="CommentSubjectChar"/>
    <w:uiPriority w:val="99"/>
    <w:semiHidden/>
    <w:unhideWhenUsed/>
    <w:rsid w:val="006B0772"/>
    <w:rPr>
      <w:b/>
      <w:bCs/>
    </w:rPr>
  </w:style>
  <w:style w:type="character" w:customStyle="1" w:styleId="CommentSubjectChar">
    <w:name w:val="Comment Subject Char"/>
    <w:basedOn w:val="CommentTextChar"/>
    <w:link w:val="CommentSubject"/>
    <w:uiPriority w:val="99"/>
    <w:semiHidden/>
    <w:rsid w:val="006B0772"/>
    <w:rPr>
      <w:rFonts w:ascii="Tahoma" w:eastAsia="Tahoma" w:hAnsi="Tahoma" w:cs="Tahoma"/>
      <w:b/>
      <w:bCs/>
      <w:color w:val="000000"/>
      <w:sz w:val="20"/>
      <w:szCs w:val="20"/>
      <w:lang w:val="vi-VN" w:eastAsia="vi-VN"/>
    </w:rPr>
  </w:style>
  <w:style w:type="paragraph" w:styleId="TOCHeading">
    <w:name w:val="TOC Heading"/>
    <w:basedOn w:val="Heading1"/>
    <w:next w:val="Normal"/>
    <w:uiPriority w:val="39"/>
    <w:unhideWhenUsed/>
    <w:qFormat/>
    <w:rsid w:val="00BA665D"/>
    <w:pPr>
      <w:keepLines/>
      <w:widowControl/>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BA665D"/>
    <w:pPr>
      <w:spacing w:after="100"/>
    </w:pPr>
  </w:style>
  <w:style w:type="character" w:styleId="Hyperlink">
    <w:name w:val="Hyperlink"/>
    <w:basedOn w:val="DefaultParagraphFont"/>
    <w:uiPriority w:val="99"/>
    <w:unhideWhenUsed/>
    <w:rsid w:val="00BA665D"/>
    <w:rPr>
      <w:color w:val="0563C1" w:themeColor="hyperlink"/>
      <w:u w:val="single"/>
    </w:rPr>
  </w:style>
  <w:style w:type="character" w:customStyle="1" w:styleId="Heading2Char">
    <w:name w:val="Heading 2 Char"/>
    <w:basedOn w:val="DefaultParagraphFont"/>
    <w:link w:val="Heading2"/>
    <w:uiPriority w:val="9"/>
    <w:rsid w:val="00BA665D"/>
    <w:rPr>
      <w:rFonts w:asciiTheme="majorHAnsi" w:eastAsiaTheme="majorEastAsia" w:hAnsiTheme="majorHAnsi" w:cstheme="majorBidi"/>
      <w:color w:val="2F5496" w:themeColor="accent1" w:themeShade="BF"/>
      <w:sz w:val="26"/>
      <w:szCs w:val="26"/>
      <w:lang w:val="vi-VN" w:eastAsia="vi-VN"/>
    </w:rPr>
  </w:style>
  <w:style w:type="paragraph" w:styleId="TOC2">
    <w:name w:val="toc 2"/>
    <w:basedOn w:val="Normal"/>
    <w:next w:val="Normal"/>
    <w:autoRedefine/>
    <w:uiPriority w:val="39"/>
    <w:unhideWhenUsed/>
    <w:rsid w:val="00BA665D"/>
    <w:pPr>
      <w:spacing w:after="100"/>
      <w:ind w:left="240"/>
    </w:pPr>
  </w:style>
  <w:style w:type="character" w:styleId="Emphasis">
    <w:name w:val="Emphasis"/>
    <w:basedOn w:val="DefaultParagraphFont"/>
    <w:uiPriority w:val="20"/>
    <w:qFormat/>
    <w:rsid w:val="00093D0A"/>
    <w:rPr>
      <w:i/>
      <w:iCs/>
    </w:rPr>
  </w:style>
  <w:style w:type="paragraph" w:styleId="Revision">
    <w:name w:val="Revision"/>
    <w:hidden/>
    <w:uiPriority w:val="99"/>
    <w:semiHidden/>
    <w:rsid w:val="00FC0AD2"/>
    <w:pPr>
      <w:spacing w:after="0" w:line="240" w:lineRule="auto"/>
    </w:pPr>
    <w:rPr>
      <w:rFonts w:ascii="Times New Roman" w:eastAsia="Tahoma" w:hAnsi="Times New Roman" w:cs="Tahoma"/>
      <w:color w:val="000000"/>
      <w:sz w:val="24"/>
      <w:szCs w:val="24"/>
      <w:lang w:eastAsia="vi-VN"/>
    </w:rPr>
  </w:style>
  <w:style w:type="paragraph" w:styleId="TOC3">
    <w:name w:val="toc 3"/>
    <w:basedOn w:val="Normal"/>
    <w:next w:val="Normal"/>
    <w:autoRedefine/>
    <w:uiPriority w:val="39"/>
    <w:unhideWhenUsed/>
    <w:rsid w:val="00291E46"/>
    <w:pPr>
      <w:widowControl/>
      <w:spacing w:after="100" w:line="259"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291E46"/>
    <w:pPr>
      <w:widowControl/>
      <w:spacing w:after="100" w:line="259"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291E46"/>
    <w:pPr>
      <w:widowControl/>
      <w:spacing w:after="100" w:line="259"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291E46"/>
    <w:pPr>
      <w:widowControl/>
      <w:spacing w:after="100" w:line="259"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291E46"/>
    <w:pPr>
      <w:widowControl/>
      <w:spacing w:after="100" w:line="259"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291E46"/>
    <w:pPr>
      <w:widowControl/>
      <w:spacing w:after="100" w:line="259"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291E46"/>
    <w:pPr>
      <w:widowControl/>
      <w:spacing w:after="100" w:line="259" w:lineRule="auto"/>
      <w:ind w:left="1760"/>
    </w:pPr>
    <w:rPr>
      <w:rFonts w:asciiTheme="minorHAnsi" w:eastAsiaTheme="minorEastAsia" w:hAnsiTheme="minorHAnsi" w:cstheme="minorBidi"/>
      <w:color w:val="auto"/>
      <w:sz w:val="22"/>
      <w:szCs w:val="22"/>
      <w:lang w:eastAsia="en-US"/>
    </w:rPr>
  </w:style>
  <w:style w:type="character" w:styleId="UnresolvedMention">
    <w:name w:val="Unresolved Mention"/>
    <w:basedOn w:val="DefaultParagraphFont"/>
    <w:uiPriority w:val="99"/>
    <w:semiHidden/>
    <w:unhideWhenUsed/>
    <w:rsid w:val="0029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4461">
      <w:bodyDiv w:val="1"/>
      <w:marLeft w:val="0"/>
      <w:marRight w:val="0"/>
      <w:marTop w:val="0"/>
      <w:marBottom w:val="0"/>
      <w:divBdr>
        <w:top w:val="none" w:sz="0" w:space="0" w:color="auto"/>
        <w:left w:val="none" w:sz="0" w:space="0" w:color="auto"/>
        <w:bottom w:val="none" w:sz="0" w:space="0" w:color="auto"/>
        <w:right w:val="none" w:sz="0" w:space="0" w:color="auto"/>
      </w:divBdr>
    </w:div>
    <w:div w:id="60295901">
      <w:bodyDiv w:val="1"/>
      <w:marLeft w:val="0"/>
      <w:marRight w:val="0"/>
      <w:marTop w:val="0"/>
      <w:marBottom w:val="0"/>
      <w:divBdr>
        <w:top w:val="none" w:sz="0" w:space="0" w:color="auto"/>
        <w:left w:val="none" w:sz="0" w:space="0" w:color="auto"/>
        <w:bottom w:val="none" w:sz="0" w:space="0" w:color="auto"/>
        <w:right w:val="none" w:sz="0" w:space="0" w:color="auto"/>
      </w:divBdr>
    </w:div>
    <w:div w:id="60757912">
      <w:bodyDiv w:val="1"/>
      <w:marLeft w:val="0"/>
      <w:marRight w:val="0"/>
      <w:marTop w:val="0"/>
      <w:marBottom w:val="0"/>
      <w:divBdr>
        <w:top w:val="none" w:sz="0" w:space="0" w:color="auto"/>
        <w:left w:val="none" w:sz="0" w:space="0" w:color="auto"/>
        <w:bottom w:val="none" w:sz="0" w:space="0" w:color="auto"/>
        <w:right w:val="none" w:sz="0" w:space="0" w:color="auto"/>
      </w:divBdr>
    </w:div>
    <w:div w:id="62027384">
      <w:bodyDiv w:val="1"/>
      <w:marLeft w:val="0"/>
      <w:marRight w:val="0"/>
      <w:marTop w:val="0"/>
      <w:marBottom w:val="0"/>
      <w:divBdr>
        <w:top w:val="none" w:sz="0" w:space="0" w:color="auto"/>
        <w:left w:val="none" w:sz="0" w:space="0" w:color="auto"/>
        <w:bottom w:val="none" w:sz="0" w:space="0" w:color="auto"/>
        <w:right w:val="none" w:sz="0" w:space="0" w:color="auto"/>
      </w:divBdr>
    </w:div>
    <w:div w:id="66616122">
      <w:bodyDiv w:val="1"/>
      <w:marLeft w:val="0"/>
      <w:marRight w:val="0"/>
      <w:marTop w:val="0"/>
      <w:marBottom w:val="0"/>
      <w:divBdr>
        <w:top w:val="none" w:sz="0" w:space="0" w:color="auto"/>
        <w:left w:val="none" w:sz="0" w:space="0" w:color="auto"/>
        <w:bottom w:val="none" w:sz="0" w:space="0" w:color="auto"/>
        <w:right w:val="none" w:sz="0" w:space="0" w:color="auto"/>
      </w:divBdr>
    </w:div>
    <w:div w:id="104272620">
      <w:bodyDiv w:val="1"/>
      <w:marLeft w:val="0"/>
      <w:marRight w:val="0"/>
      <w:marTop w:val="0"/>
      <w:marBottom w:val="0"/>
      <w:divBdr>
        <w:top w:val="none" w:sz="0" w:space="0" w:color="auto"/>
        <w:left w:val="none" w:sz="0" w:space="0" w:color="auto"/>
        <w:bottom w:val="none" w:sz="0" w:space="0" w:color="auto"/>
        <w:right w:val="none" w:sz="0" w:space="0" w:color="auto"/>
      </w:divBdr>
    </w:div>
    <w:div w:id="128717561">
      <w:bodyDiv w:val="1"/>
      <w:marLeft w:val="0"/>
      <w:marRight w:val="0"/>
      <w:marTop w:val="0"/>
      <w:marBottom w:val="0"/>
      <w:divBdr>
        <w:top w:val="none" w:sz="0" w:space="0" w:color="auto"/>
        <w:left w:val="none" w:sz="0" w:space="0" w:color="auto"/>
        <w:bottom w:val="none" w:sz="0" w:space="0" w:color="auto"/>
        <w:right w:val="none" w:sz="0" w:space="0" w:color="auto"/>
      </w:divBdr>
    </w:div>
    <w:div w:id="136731964">
      <w:bodyDiv w:val="1"/>
      <w:marLeft w:val="0"/>
      <w:marRight w:val="0"/>
      <w:marTop w:val="0"/>
      <w:marBottom w:val="0"/>
      <w:divBdr>
        <w:top w:val="none" w:sz="0" w:space="0" w:color="auto"/>
        <w:left w:val="none" w:sz="0" w:space="0" w:color="auto"/>
        <w:bottom w:val="none" w:sz="0" w:space="0" w:color="auto"/>
        <w:right w:val="none" w:sz="0" w:space="0" w:color="auto"/>
      </w:divBdr>
    </w:div>
    <w:div w:id="137693951">
      <w:bodyDiv w:val="1"/>
      <w:marLeft w:val="0"/>
      <w:marRight w:val="0"/>
      <w:marTop w:val="0"/>
      <w:marBottom w:val="0"/>
      <w:divBdr>
        <w:top w:val="none" w:sz="0" w:space="0" w:color="auto"/>
        <w:left w:val="none" w:sz="0" w:space="0" w:color="auto"/>
        <w:bottom w:val="none" w:sz="0" w:space="0" w:color="auto"/>
        <w:right w:val="none" w:sz="0" w:space="0" w:color="auto"/>
      </w:divBdr>
    </w:div>
    <w:div w:id="137847407">
      <w:bodyDiv w:val="1"/>
      <w:marLeft w:val="0"/>
      <w:marRight w:val="0"/>
      <w:marTop w:val="0"/>
      <w:marBottom w:val="0"/>
      <w:divBdr>
        <w:top w:val="none" w:sz="0" w:space="0" w:color="auto"/>
        <w:left w:val="none" w:sz="0" w:space="0" w:color="auto"/>
        <w:bottom w:val="none" w:sz="0" w:space="0" w:color="auto"/>
        <w:right w:val="none" w:sz="0" w:space="0" w:color="auto"/>
      </w:divBdr>
    </w:div>
    <w:div w:id="149057887">
      <w:bodyDiv w:val="1"/>
      <w:marLeft w:val="0"/>
      <w:marRight w:val="0"/>
      <w:marTop w:val="0"/>
      <w:marBottom w:val="0"/>
      <w:divBdr>
        <w:top w:val="none" w:sz="0" w:space="0" w:color="auto"/>
        <w:left w:val="none" w:sz="0" w:space="0" w:color="auto"/>
        <w:bottom w:val="none" w:sz="0" w:space="0" w:color="auto"/>
        <w:right w:val="none" w:sz="0" w:space="0" w:color="auto"/>
      </w:divBdr>
    </w:div>
    <w:div w:id="177546487">
      <w:bodyDiv w:val="1"/>
      <w:marLeft w:val="0"/>
      <w:marRight w:val="0"/>
      <w:marTop w:val="0"/>
      <w:marBottom w:val="0"/>
      <w:divBdr>
        <w:top w:val="none" w:sz="0" w:space="0" w:color="auto"/>
        <w:left w:val="none" w:sz="0" w:space="0" w:color="auto"/>
        <w:bottom w:val="none" w:sz="0" w:space="0" w:color="auto"/>
        <w:right w:val="none" w:sz="0" w:space="0" w:color="auto"/>
      </w:divBdr>
    </w:div>
    <w:div w:id="190070664">
      <w:bodyDiv w:val="1"/>
      <w:marLeft w:val="0"/>
      <w:marRight w:val="0"/>
      <w:marTop w:val="0"/>
      <w:marBottom w:val="0"/>
      <w:divBdr>
        <w:top w:val="none" w:sz="0" w:space="0" w:color="auto"/>
        <w:left w:val="none" w:sz="0" w:space="0" w:color="auto"/>
        <w:bottom w:val="none" w:sz="0" w:space="0" w:color="auto"/>
        <w:right w:val="none" w:sz="0" w:space="0" w:color="auto"/>
      </w:divBdr>
    </w:div>
    <w:div w:id="199560143">
      <w:bodyDiv w:val="1"/>
      <w:marLeft w:val="0"/>
      <w:marRight w:val="0"/>
      <w:marTop w:val="0"/>
      <w:marBottom w:val="0"/>
      <w:divBdr>
        <w:top w:val="none" w:sz="0" w:space="0" w:color="auto"/>
        <w:left w:val="none" w:sz="0" w:space="0" w:color="auto"/>
        <w:bottom w:val="none" w:sz="0" w:space="0" w:color="auto"/>
        <w:right w:val="none" w:sz="0" w:space="0" w:color="auto"/>
      </w:divBdr>
    </w:div>
    <w:div w:id="211693339">
      <w:bodyDiv w:val="1"/>
      <w:marLeft w:val="0"/>
      <w:marRight w:val="0"/>
      <w:marTop w:val="0"/>
      <w:marBottom w:val="0"/>
      <w:divBdr>
        <w:top w:val="none" w:sz="0" w:space="0" w:color="auto"/>
        <w:left w:val="none" w:sz="0" w:space="0" w:color="auto"/>
        <w:bottom w:val="none" w:sz="0" w:space="0" w:color="auto"/>
        <w:right w:val="none" w:sz="0" w:space="0" w:color="auto"/>
      </w:divBdr>
    </w:div>
    <w:div w:id="255407853">
      <w:bodyDiv w:val="1"/>
      <w:marLeft w:val="0"/>
      <w:marRight w:val="0"/>
      <w:marTop w:val="0"/>
      <w:marBottom w:val="0"/>
      <w:divBdr>
        <w:top w:val="none" w:sz="0" w:space="0" w:color="auto"/>
        <w:left w:val="none" w:sz="0" w:space="0" w:color="auto"/>
        <w:bottom w:val="none" w:sz="0" w:space="0" w:color="auto"/>
        <w:right w:val="none" w:sz="0" w:space="0" w:color="auto"/>
      </w:divBdr>
    </w:div>
    <w:div w:id="257256584">
      <w:bodyDiv w:val="1"/>
      <w:marLeft w:val="0"/>
      <w:marRight w:val="0"/>
      <w:marTop w:val="0"/>
      <w:marBottom w:val="0"/>
      <w:divBdr>
        <w:top w:val="none" w:sz="0" w:space="0" w:color="auto"/>
        <w:left w:val="none" w:sz="0" w:space="0" w:color="auto"/>
        <w:bottom w:val="none" w:sz="0" w:space="0" w:color="auto"/>
        <w:right w:val="none" w:sz="0" w:space="0" w:color="auto"/>
      </w:divBdr>
    </w:div>
    <w:div w:id="269363110">
      <w:bodyDiv w:val="1"/>
      <w:marLeft w:val="0"/>
      <w:marRight w:val="0"/>
      <w:marTop w:val="0"/>
      <w:marBottom w:val="0"/>
      <w:divBdr>
        <w:top w:val="none" w:sz="0" w:space="0" w:color="auto"/>
        <w:left w:val="none" w:sz="0" w:space="0" w:color="auto"/>
        <w:bottom w:val="none" w:sz="0" w:space="0" w:color="auto"/>
        <w:right w:val="none" w:sz="0" w:space="0" w:color="auto"/>
      </w:divBdr>
    </w:div>
    <w:div w:id="288170040">
      <w:bodyDiv w:val="1"/>
      <w:marLeft w:val="0"/>
      <w:marRight w:val="0"/>
      <w:marTop w:val="0"/>
      <w:marBottom w:val="0"/>
      <w:divBdr>
        <w:top w:val="none" w:sz="0" w:space="0" w:color="auto"/>
        <w:left w:val="none" w:sz="0" w:space="0" w:color="auto"/>
        <w:bottom w:val="none" w:sz="0" w:space="0" w:color="auto"/>
        <w:right w:val="none" w:sz="0" w:space="0" w:color="auto"/>
      </w:divBdr>
      <w:divsChild>
        <w:div w:id="1440485966">
          <w:marLeft w:val="0"/>
          <w:marRight w:val="0"/>
          <w:marTop w:val="120"/>
          <w:marBottom w:val="120"/>
          <w:divBdr>
            <w:top w:val="none" w:sz="0" w:space="0" w:color="auto"/>
            <w:left w:val="none" w:sz="0" w:space="0" w:color="auto"/>
            <w:bottom w:val="none" w:sz="0" w:space="0" w:color="auto"/>
            <w:right w:val="none" w:sz="0" w:space="0" w:color="auto"/>
          </w:divBdr>
          <w:divsChild>
            <w:div w:id="698892642">
              <w:marLeft w:val="0"/>
              <w:marRight w:val="0"/>
              <w:marTop w:val="0"/>
              <w:marBottom w:val="0"/>
              <w:divBdr>
                <w:top w:val="single" w:sz="6" w:space="6" w:color="FDC689"/>
                <w:left w:val="single" w:sz="6" w:space="12" w:color="FDC689"/>
                <w:bottom w:val="single" w:sz="6" w:space="6" w:color="FDC689"/>
                <w:right w:val="single" w:sz="6" w:space="12" w:color="FDC689"/>
              </w:divBdr>
            </w:div>
          </w:divsChild>
        </w:div>
        <w:div w:id="1211724598">
          <w:marLeft w:val="0"/>
          <w:marRight w:val="0"/>
          <w:marTop w:val="120"/>
          <w:marBottom w:val="120"/>
          <w:divBdr>
            <w:top w:val="none" w:sz="0" w:space="0" w:color="auto"/>
            <w:left w:val="none" w:sz="0" w:space="0" w:color="auto"/>
            <w:bottom w:val="none" w:sz="0" w:space="0" w:color="auto"/>
            <w:right w:val="none" w:sz="0" w:space="0" w:color="auto"/>
          </w:divBdr>
        </w:div>
        <w:div w:id="397048610">
          <w:marLeft w:val="0"/>
          <w:marRight w:val="0"/>
          <w:marTop w:val="120"/>
          <w:marBottom w:val="120"/>
          <w:divBdr>
            <w:top w:val="none" w:sz="0" w:space="0" w:color="auto"/>
            <w:left w:val="none" w:sz="0" w:space="0" w:color="auto"/>
            <w:bottom w:val="none" w:sz="0" w:space="0" w:color="auto"/>
            <w:right w:val="none" w:sz="0" w:space="0" w:color="auto"/>
          </w:divBdr>
        </w:div>
        <w:div w:id="1770346956">
          <w:marLeft w:val="0"/>
          <w:marRight w:val="0"/>
          <w:marTop w:val="120"/>
          <w:marBottom w:val="120"/>
          <w:divBdr>
            <w:top w:val="none" w:sz="0" w:space="0" w:color="auto"/>
            <w:left w:val="none" w:sz="0" w:space="0" w:color="auto"/>
            <w:bottom w:val="none" w:sz="0" w:space="0" w:color="auto"/>
            <w:right w:val="none" w:sz="0" w:space="0" w:color="auto"/>
          </w:divBdr>
        </w:div>
        <w:div w:id="49773986">
          <w:marLeft w:val="0"/>
          <w:marRight w:val="0"/>
          <w:marTop w:val="120"/>
          <w:marBottom w:val="120"/>
          <w:divBdr>
            <w:top w:val="none" w:sz="0" w:space="0" w:color="auto"/>
            <w:left w:val="none" w:sz="0" w:space="0" w:color="auto"/>
            <w:bottom w:val="none" w:sz="0" w:space="0" w:color="auto"/>
            <w:right w:val="none" w:sz="0" w:space="0" w:color="auto"/>
          </w:divBdr>
        </w:div>
        <w:div w:id="1272591964">
          <w:marLeft w:val="0"/>
          <w:marRight w:val="0"/>
          <w:marTop w:val="120"/>
          <w:marBottom w:val="120"/>
          <w:divBdr>
            <w:top w:val="none" w:sz="0" w:space="0" w:color="auto"/>
            <w:left w:val="none" w:sz="0" w:space="0" w:color="auto"/>
            <w:bottom w:val="none" w:sz="0" w:space="0" w:color="auto"/>
            <w:right w:val="none" w:sz="0" w:space="0" w:color="auto"/>
          </w:divBdr>
        </w:div>
        <w:div w:id="1835953707">
          <w:marLeft w:val="0"/>
          <w:marRight w:val="0"/>
          <w:marTop w:val="120"/>
          <w:marBottom w:val="120"/>
          <w:divBdr>
            <w:top w:val="none" w:sz="0" w:space="0" w:color="auto"/>
            <w:left w:val="none" w:sz="0" w:space="0" w:color="auto"/>
            <w:bottom w:val="none" w:sz="0" w:space="0" w:color="auto"/>
            <w:right w:val="none" w:sz="0" w:space="0" w:color="auto"/>
          </w:divBdr>
        </w:div>
      </w:divsChild>
    </w:div>
    <w:div w:id="331227671">
      <w:bodyDiv w:val="1"/>
      <w:marLeft w:val="0"/>
      <w:marRight w:val="0"/>
      <w:marTop w:val="0"/>
      <w:marBottom w:val="0"/>
      <w:divBdr>
        <w:top w:val="none" w:sz="0" w:space="0" w:color="auto"/>
        <w:left w:val="none" w:sz="0" w:space="0" w:color="auto"/>
        <w:bottom w:val="none" w:sz="0" w:space="0" w:color="auto"/>
        <w:right w:val="none" w:sz="0" w:space="0" w:color="auto"/>
      </w:divBdr>
      <w:divsChild>
        <w:div w:id="119543939">
          <w:marLeft w:val="0"/>
          <w:marRight w:val="0"/>
          <w:marTop w:val="120"/>
          <w:marBottom w:val="120"/>
          <w:divBdr>
            <w:top w:val="none" w:sz="0" w:space="0" w:color="auto"/>
            <w:left w:val="none" w:sz="0" w:space="0" w:color="auto"/>
            <w:bottom w:val="none" w:sz="0" w:space="0" w:color="auto"/>
            <w:right w:val="none" w:sz="0" w:space="0" w:color="auto"/>
          </w:divBdr>
        </w:div>
        <w:div w:id="1758865832">
          <w:marLeft w:val="0"/>
          <w:marRight w:val="0"/>
          <w:marTop w:val="120"/>
          <w:marBottom w:val="120"/>
          <w:divBdr>
            <w:top w:val="none" w:sz="0" w:space="0" w:color="auto"/>
            <w:left w:val="none" w:sz="0" w:space="0" w:color="auto"/>
            <w:bottom w:val="none" w:sz="0" w:space="0" w:color="auto"/>
            <w:right w:val="none" w:sz="0" w:space="0" w:color="auto"/>
          </w:divBdr>
          <w:divsChild>
            <w:div w:id="1499075308">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367947899">
          <w:marLeft w:val="0"/>
          <w:marRight w:val="0"/>
          <w:marTop w:val="120"/>
          <w:marBottom w:val="120"/>
          <w:divBdr>
            <w:top w:val="none" w:sz="0" w:space="0" w:color="auto"/>
            <w:left w:val="none" w:sz="0" w:space="0" w:color="auto"/>
            <w:bottom w:val="none" w:sz="0" w:space="0" w:color="auto"/>
            <w:right w:val="none" w:sz="0" w:space="0" w:color="auto"/>
          </w:divBdr>
        </w:div>
        <w:div w:id="1138256420">
          <w:marLeft w:val="0"/>
          <w:marRight w:val="0"/>
          <w:marTop w:val="120"/>
          <w:marBottom w:val="120"/>
          <w:divBdr>
            <w:top w:val="none" w:sz="0" w:space="0" w:color="auto"/>
            <w:left w:val="none" w:sz="0" w:space="0" w:color="auto"/>
            <w:bottom w:val="none" w:sz="0" w:space="0" w:color="auto"/>
            <w:right w:val="none" w:sz="0" w:space="0" w:color="auto"/>
          </w:divBdr>
        </w:div>
      </w:divsChild>
    </w:div>
    <w:div w:id="358706935">
      <w:bodyDiv w:val="1"/>
      <w:marLeft w:val="0"/>
      <w:marRight w:val="0"/>
      <w:marTop w:val="0"/>
      <w:marBottom w:val="0"/>
      <w:divBdr>
        <w:top w:val="none" w:sz="0" w:space="0" w:color="auto"/>
        <w:left w:val="none" w:sz="0" w:space="0" w:color="auto"/>
        <w:bottom w:val="none" w:sz="0" w:space="0" w:color="auto"/>
        <w:right w:val="none" w:sz="0" w:space="0" w:color="auto"/>
      </w:divBdr>
    </w:div>
    <w:div w:id="368917244">
      <w:bodyDiv w:val="1"/>
      <w:marLeft w:val="0"/>
      <w:marRight w:val="0"/>
      <w:marTop w:val="0"/>
      <w:marBottom w:val="0"/>
      <w:divBdr>
        <w:top w:val="none" w:sz="0" w:space="0" w:color="auto"/>
        <w:left w:val="none" w:sz="0" w:space="0" w:color="auto"/>
        <w:bottom w:val="none" w:sz="0" w:space="0" w:color="auto"/>
        <w:right w:val="none" w:sz="0" w:space="0" w:color="auto"/>
      </w:divBdr>
    </w:div>
    <w:div w:id="388772978">
      <w:bodyDiv w:val="1"/>
      <w:marLeft w:val="0"/>
      <w:marRight w:val="0"/>
      <w:marTop w:val="0"/>
      <w:marBottom w:val="0"/>
      <w:divBdr>
        <w:top w:val="none" w:sz="0" w:space="0" w:color="auto"/>
        <w:left w:val="none" w:sz="0" w:space="0" w:color="auto"/>
        <w:bottom w:val="none" w:sz="0" w:space="0" w:color="auto"/>
        <w:right w:val="none" w:sz="0" w:space="0" w:color="auto"/>
      </w:divBdr>
    </w:div>
    <w:div w:id="437911786">
      <w:bodyDiv w:val="1"/>
      <w:marLeft w:val="0"/>
      <w:marRight w:val="0"/>
      <w:marTop w:val="0"/>
      <w:marBottom w:val="0"/>
      <w:divBdr>
        <w:top w:val="none" w:sz="0" w:space="0" w:color="auto"/>
        <w:left w:val="none" w:sz="0" w:space="0" w:color="auto"/>
        <w:bottom w:val="none" w:sz="0" w:space="0" w:color="auto"/>
        <w:right w:val="none" w:sz="0" w:space="0" w:color="auto"/>
      </w:divBdr>
    </w:div>
    <w:div w:id="460390852">
      <w:bodyDiv w:val="1"/>
      <w:marLeft w:val="0"/>
      <w:marRight w:val="0"/>
      <w:marTop w:val="0"/>
      <w:marBottom w:val="0"/>
      <w:divBdr>
        <w:top w:val="none" w:sz="0" w:space="0" w:color="auto"/>
        <w:left w:val="none" w:sz="0" w:space="0" w:color="auto"/>
        <w:bottom w:val="none" w:sz="0" w:space="0" w:color="auto"/>
        <w:right w:val="none" w:sz="0" w:space="0" w:color="auto"/>
      </w:divBdr>
    </w:div>
    <w:div w:id="560824197">
      <w:bodyDiv w:val="1"/>
      <w:marLeft w:val="0"/>
      <w:marRight w:val="0"/>
      <w:marTop w:val="0"/>
      <w:marBottom w:val="0"/>
      <w:divBdr>
        <w:top w:val="none" w:sz="0" w:space="0" w:color="auto"/>
        <w:left w:val="none" w:sz="0" w:space="0" w:color="auto"/>
        <w:bottom w:val="none" w:sz="0" w:space="0" w:color="auto"/>
        <w:right w:val="none" w:sz="0" w:space="0" w:color="auto"/>
      </w:divBdr>
    </w:div>
    <w:div w:id="588471117">
      <w:bodyDiv w:val="1"/>
      <w:marLeft w:val="0"/>
      <w:marRight w:val="0"/>
      <w:marTop w:val="0"/>
      <w:marBottom w:val="0"/>
      <w:divBdr>
        <w:top w:val="none" w:sz="0" w:space="0" w:color="auto"/>
        <w:left w:val="none" w:sz="0" w:space="0" w:color="auto"/>
        <w:bottom w:val="none" w:sz="0" w:space="0" w:color="auto"/>
        <w:right w:val="none" w:sz="0" w:space="0" w:color="auto"/>
      </w:divBdr>
    </w:div>
    <w:div w:id="594480815">
      <w:bodyDiv w:val="1"/>
      <w:marLeft w:val="0"/>
      <w:marRight w:val="0"/>
      <w:marTop w:val="0"/>
      <w:marBottom w:val="0"/>
      <w:divBdr>
        <w:top w:val="none" w:sz="0" w:space="0" w:color="auto"/>
        <w:left w:val="none" w:sz="0" w:space="0" w:color="auto"/>
        <w:bottom w:val="none" w:sz="0" w:space="0" w:color="auto"/>
        <w:right w:val="none" w:sz="0" w:space="0" w:color="auto"/>
      </w:divBdr>
    </w:div>
    <w:div w:id="610740951">
      <w:bodyDiv w:val="1"/>
      <w:marLeft w:val="0"/>
      <w:marRight w:val="0"/>
      <w:marTop w:val="0"/>
      <w:marBottom w:val="0"/>
      <w:divBdr>
        <w:top w:val="none" w:sz="0" w:space="0" w:color="auto"/>
        <w:left w:val="none" w:sz="0" w:space="0" w:color="auto"/>
        <w:bottom w:val="none" w:sz="0" w:space="0" w:color="auto"/>
        <w:right w:val="none" w:sz="0" w:space="0" w:color="auto"/>
      </w:divBdr>
    </w:div>
    <w:div w:id="645819728">
      <w:bodyDiv w:val="1"/>
      <w:marLeft w:val="0"/>
      <w:marRight w:val="0"/>
      <w:marTop w:val="0"/>
      <w:marBottom w:val="0"/>
      <w:divBdr>
        <w:top w:val="none" w:sz="0" w:space="0" w:color="auto"/>
        <w:left w:val="none" w:sz="0" w:space="0" w:color="auto"/>
        <w:bottom w:val="none" w:sz="0" w:space="0" w:color="auto"/>
        <w:right w:val="none" w:sz="0" w:space="0" w:color="auto"/>
      </w:divBdr>
    </w:div>
    <w:div w:id="666900710">
      <w:bodyDiv w:val="1"/>
      <w:marLeft w:val="0"/>
      <w:marRight w:val="0"/>
      <w:marTop w:val="0"/>
      <w:marBottom w:val="0"/>
      <w:divBdr>
        <w:top w:val="none" w:sz="0" w:space="0" w:color="auto"/>
        <w:left w:val="none" w:sz="0" w:space="0" w:color="auto"/>
        <w:bottom w:val="none" w:sz="0" w:space="0" w:color="auto"/>
        <w:right w:val="none" w:sz="0" w:space="0" w:color="auto"/>
      </w:divBdr>
    </w:div>
    <w:div w:id="713390375">
      <w:bodyDiv w:val="1"/>
      <w:marLeft w:val="0"/>
      <w:marRight w:val="0"/>
      <w:marTop w:val="0"/>
      <w:marBottom w:val="0"/>
      <w:divBdr>
        <w:top w:val="none" w:sz="0" w:space="0" w:color="auto"/>
        <w:left w:val="none" w:sz="0" w:space="0" w:color="auto"/>
        <w:bottom w:val="none" w:sz="0" w:space="0" w:color="auto"/>
        <w:right w:val="none" w:sz="0" w:space="0" w:color="auto"/>
      </w:divBdr>
    </w:div>
    <w:div w:id="835847865">
      <w:bodyDiv w:val="1"/>
      <w:marLeft w:val="0"/>
      <w:marRight w:val="0"/>
      <w:marTop w:val="0"/>
      <w:marBottom w:val="0"/>
      <w:divBdr>
        <w:top w:val="none" w:sz="0" w:space="0" w:color="auto"/>
        <w:left w:val="none" w:sz="0" w:space="0" w:color="auto"/>
        <w:bottom w:val="none" w:sz="0" w:space="0" w:color="auto"/>
        <w:right w:val="none" w:sz="0" w:space="0" w:color="auto"/>
      </w:divBdr>
    </w:div>
    <w:div w:id="883449579">
      <w:bodyDiv w:val="1"/>
      <w:marLeft w:val="0"/>
      <w:marRight w:val="0"/>
      <w:marTop w:val="0"/>
      <w:marBottom w:val="0"/>
      <w:divBdr>
        <w:top w:val="none" w:sz="0" w:space="0" w:color="auto"/>
        <w:left w:val="none" w:sz="0" w:space="0" w:color="auto"/>
        <w:bottom w:val="none" w:sz="0" w:space="0" w:color="auto"/>
        <w:right w:val="none" w:sz="0" w:space="0" w:color="auto"/>
      </w:divBdr>
    </w:div>
    <w:div w:id="885532203">
      <w:bodyDiv w:val="1"/>
      <w:marLeft w:val="0"/>
      <w:marRight w:val="0"/>
      <w:marTop w:val="0"/>
      <w:marBottom w:val="0"/>
      <w:divBdr>
        <w:top w:val="none" w:sz="0" w:space="0" w:color="auto"/>
        <w:left w:val="none" w:sz="0" w:space="0" w:color="auto"/>
        <w:bottom w:val="none" w:sz="0" w:space="0" w:color="auto"/>
        <w:right w:val="none" w:sz="0" w:space="0" w:color="auto"/>
      </w:divBdr>
    </w:div>
    <w:div w:id="898907350">
      <w:bodyDiv w:val="1"/>
      <w:marLeft w:val="0"/>
      <w:marRight w:val="0"/>
      <w:marTop w:val="0"/>
      <w:marBottom w:val="0"/>
      <w:divBdr>
        <w:top w:val="none" w:sz="0" w:space="0" w:color="auto"/>
        <w:left w:val="none" w:sz="0" w:space="0" w:color="auto"/>
        <w:bottom w:val="none" w:sz="0" w:space="0" w:color="auto"/>
        <w:right w:val="none" w:sz="0" w:space="0" w:color="auto"/>
      </w:divBdr>
    </w:div>
    <w:div w:id="936522717">
      <w:bodyDiv w:val="1"/>
      <w:marLeft w:val="0"/>
      <w:marRight w:val="0"/>
      <w:marTop w:val="0"/>
      <w:marBottom w:val="0"/>
      <w:divBdr>
        <w:top w:val="none" w:sz="0" w:space="0" w:color="auto"/>
        <w:left w:val="none" w:sz="0" w:space="0" w:color="auto"/>
        <w:bottom w:val="none" w:sz="0" w:space="0" w:color="auto"/>
        <w:right w:val="none" w:sz="0" w:space="0" w:color="auto"/>
      </w:divBdr>
    </w:div>
    <w:div w:id="956907480">
      <w:bodyDiv w:val="1"/>
      <w:marLeft w:val="0"/>
      <w:marRight w:val="0"/>
      <w:marTop w:val="0"/>
      <w:marBottom w:val="0"/>
      <w:divBdr>
        <w:top w:val="none" w:sz="0" w:space="0" w:color="auto"/>
        <w:left w:val="none" w:sz="0" w:space="0" w:color="auto"/>
        <w:bottom w:val="none" w:sz="0" w:space="0" w:color="auto"/>
        <w:right w:val="none" w:sz="0" w:space="0" w:color="auto"/>
      </w:divBdr>
      <w:divsChild>
        <w:div w:id="1164977635">
          <w:marLeft w:val="0"/>
          <w:marRight w:val="0"/>
          <w:marTop w:val="120"/>
          <w:marBottom w:val="120"/>
          <w:divBdr>
            <w:top w:val="none" w:sz="0" w:space="0" w:color="auto"/>
            <w:left w:val="none" w:sz="0" w:space="0" w:color="auto"/>
            <w:bottom w:val="none" w:sz="0" w:space="0" w:color="auto"/>
            <w:right w:val="none" w:sz="0" w:space="0" w:color="auto"/>
          </w:divBdr>
        </w:div>
        <w:div w:id="2026057069">
          <w:marLeft w:val="0"/>
          <w:marRight w:val="0"/>
          <w:marTop w:val="120"/>
          <w:marBottom w:val="120"/>
          <w:divBdr>
            <w:top w:val="none" w:sz="0" w:space="0" w:color="auto"/>
            <w:left w:val="none" w:sz="0" w:space="0" w:color="auto"/>
            <w:bottom w:val="none" w:sz="0" w:space="0" w:color="auto"/>
            <w:right w:val="none" w:sz="0" w:space="0" w:color="auto"/>
          </w:divBdr>
        </w:div>
      </w:divsChild>
    </w:div>
    <w:div w:id="959723727">
      <w:bodyDiv w:val="1"/>
      <w:marLeft w:val="0"/>
      <w:marRight w:val="0"/>
      <w:marTop w:val="0"/>
      <w:marBottom w:val="0"/>
      <w:divBdr>
        <w:top w:val="none" w:sz="0" w:space="0" w:color="auto"/>
        <w:left w:val="none" w:sz="0" w:space="0" w:color="auto"/>
        <w:bottom w:val="none" w:sz="0" w:space="0" w:color="auto"/>
        <w:right w:val="none" w:sz="0" w:space="0" w:color="auto"/>
      </w:divBdr>
    </w:div>
    <w:div w:id="1022436521">
      <w:bodyDiv w:val="1"/>
      <w:marLeft w:val="0"/>
      <w:marRight w:val="0"/>
      <w:marTop w:val="0"/>
      <w:marBottom w:val="0"/>
      <w:divBdr>
        <w:top w:val="none" w:sz="0" w:space="0" w:color="auto"/>
        <w:left w:val="none" w:sz="0" w:space="0" w:color="auto"/>
        <w:bottom w:val="none" w:sz="0" w:space="0" w:color="auto"/>
        <w:right w:val="none" w:sz="0" w:space="0" w:color="auto"/>
      </w:divBdr>
      <w:divsChild>
        <w:div w:id="1447700128">
          <w:marLeft w:val="0"/>
          <w:marRight w:val="0"/>
          <w:marTop w:val="120"/>
          <w:marBottom w:val="120"/>
          <w:divBdr>
            <w:top w:val="none" w:sz="0" w:space="0" w:color="auto"/>
            <w:left w:val="none" w:sz="0" w:space="0" w:color="auto"/>
            <w:bottom w:val="none" w:sz="0" w:space="0" w:color="auto"/>
            <w:right w:val="none" w:sz="0" w:space="0" w:color="auto"/>
          </w:divBdr>
        </w:div>
        <w:div w:id="377432681">
          <w:marLeft w:val="0"/>
          <w:marRight w:val="0"/>
          <w:marTop w:val="120"/>
          <w:marBottom w:val="120"/>
          <w:divBdr>
            <w:top w:val="none" w:sz="0" w:space="0" w:color="auto"/>
            <w:left w:val="none" w:sz="0" w:space="0" w:color="auto"/>
            <w:bottom w:val="none" w:sz="0" w:space="0" w:color="auto"/>
            <w:right w:val="none" w:sz="0" w:space="0" w:color="auto"/>
          </w:divBdr>
          <w:divsChild>
            <w:div w:id="1611090312">
              <w:marLeft w:val="0"/>
              <w:marRight w:val="0"/>
              <w:marTop w:val="0"/>
              <w:marBottom w:val="0"/>
              <w:divBdr>
                <w:top w:val="single" w:sz="6" w:space="6" w:color="FDC689"/>
                <w:left w:val="single" w:sz="6" w:space="12" w:color="FDC689"/>
                <w:bottom w:val="single" w:sz="6" w:space="6" w:color="FDC689"/>
                <w:right w:val="single" w:sz="6" w:space="12" w:color="FDC689"/>
              </w:divBdr>
            </w:div>
          </w:divsChild>
        </w:div>
        <w:div w:id="92673472">
          <w:marLeft w:val="0"/>
          <w:marRight w:val="0"/>
          <w:marTop w:val="120"/>
          <w:marBottom w:val="120"/>
          <w:divBdr>
            <w:top w:val="none" w:sz="0" w:space="0" w:color="auto"/>
            <w:left w:val="none" w:sz="0" w:space="0" w:color="auto"/>
            <w:bottom w:val="none" w:sz="0" w:space="0" w:color="auto"/>
            <w:right w:val="none" w:sz="0" w:space="0" w:color="auto"/>
          </w:divBdr>
        </w:div>
        <w:div w:id="49235639">
          <w:marLeft w:val="0"/>
          <w:marRight w:val="0"/>
          <w:marTop w:val="120"/>
          <w:marBottom w:val="120"/>
          <w:divBdr>
            <w:top w:val="none" w:sz="0" w:space="0" w:color="auto"/>
            <w:left w:val="none" w:sz="0" w:space="0" w:color="auto"/>
            <w:bottom w:val="none" w:sz="0" w:space="0" w:color="auto"/>
            <w:right w:val="none" w:sz="0" w:space="0" w:color="auto"/>
          </w:divBdr>
        </w:div>
        <w:div w:id="1712267701">
          <w:marLeft w:val="0"/>
          <w:marRight w:val="0"/>
          <w:marTop w:val="120"/>
          <w:marBottom w:val="120"/>
          <w:divBdr>
            <w:top w:val="none" w:sz="0" w:space="0" w:color="auto"/>
            <w:left w:val="none" w:sz="0" w:space="0" w:color="auto"/>
            <w:bottom w:val="none" w:sz="0" w:space="0" w:color="auto"/>
            <w:right w:val="none" w:sz="0" w:space="0" w:color="auto"/>
          </w:divBdr>
        </w:div>
        <w:div w:id="644286025">
          <w:marLeft w:val="0"/>
          <w:marRight w:val="0"/>
          <w:marTop w:val="120"/>
          <w:marBottom w:val="120"/>
          <w:divBdr>
            <w:top w:val="none" w:sz="0" w:space="0" w:color="auto"/>
            <w:left w:val="none" w:sz="0" w:space="0" w:color="auto"/>
            <w:bottom w:val="none" w:sz="0" w:space="0" w:color="auto"/>
            <w:right w:val="none" w:sz="0" w:space="0" w:color="auto"/>
          </w:divBdr>
        </w:div>
        <w:div w:id="634875005">
          <w:marLeft w:val="0"/>
          <w:marRight w:val="0"/>
          <w:marTop w:val="120"/>
          <w:marBottom w:val="120"/>
          <w:divBdr>
            <w:top w:val="none" w:sz="0" w:space="0" w:color="auto"/>
            <w:left w:val="none" w:sz="0" w:space="0" w:color="auto"/>
            <w:bottom w:val="none" w:sz="0" w:space="0" w:color="auto"/>
            <w:right w:val="none" w:sz="0" w:space="0" w:color="auto"/>
          </w:divBdr>
        </w:div>
        <w:div w:id="269624923">
          <w:marLeft w:val="0"/>
          <w:marRight w:val="0"/>
          <w:marTop w:val="120"/>
          <w:marBottom w:val="120"/>
          <w:divBdr>
            <w:top w:val="none" w:sz="0" w:space="0" w:color="auto"/>
            <w:left w:val="none" w:sz="0" w:space="0" w:color="auto"/>
            <w:bottom w:val="none" w:sz="0" w:space="0" w:color="auto"/>
            <w:right w:val="none" w:sz="0" w:space="0" w:color="auto"/>
          </w:divBdr>
          <w:divsChild>
            <w:div w:id="422727949">
              <w:marLeft w:val="0"/>
              <w:marRight w:val="0"/>
              <w:marTop w:val="0"/>
              <w:marBottom w:val="0"/>
              <w:divBdr>
                <w:top w:val="single" w:sz="6" w:space="6" w:color="FDC689"/>
                <w:left w:val="single" w:sz="6" w:space="12" w:color="FDC689"/>
                <w:bottom w:val="single" w:sz="6" w:space="6" w:color="FDC689"/>
                <w:right w:val="single" w:sz="6" w:space="12" w:color="FDC689"/>
              </w:divBdr>
            </w:div>
          </w:divsChild>
        </w:div>
        <w:div w:id="21057842">
          <w:marLeft w:val="0"/>
          <w:marRight w:val="0"/>
          <w:marTop w:val="120"/>
          <w:marBottom w:val="120"/>
          <w:divBdr>
            <w:top w:val="none" w:sz="0" w:space="0" w:color="auto"/>
            <w:left w:val="none" w:sz="0" w:space="0" w:color="auto"/>
            <w:bottom w:val="none" w:sz="0" w:space="0" w:color="auto"/>
            <w:right w:val="none" w:sz="0" w:space="0" w:color="auto"/>
          </w:divBdr>
        </w:div>
        <w:div w:id="290985625">
          <w:marLeft w:val="0"/>
          <w:marRight w:val="0"/>
          <w:marTop w:val="120"/>
          <w:marBottom w:val="120"/>
          <w:divBdr>
            <w:top w:val="none" w:sz="0" w:space="0" w:color="auto"/>
            <w:left w:val="none" w:sz="0" w:space="0" w:color="auto"/>
            <w:bottom w:val="none" w:sz="0" w:space="0" w:color="auto"/>
            <w:right w:val="none" w:sz="0" w:space="0" w:color="auto"/>
          </w:divBdr>
        </w:div>
        <w:div w:id="141045394">
          <w:marLeft w:val="0"/>
          <w:marRight w:val="0"/>
          <w:marTop w:val="120"/>
          <w:marBottom w:val="120"/>
          <w:divBdr>
            <w:top w:val="none" w:sz="0" w:space="0" w:color="auto"/>
            <w:left w:val="none" w:sz="0" w:space="0" w:color="auto"/>
            <w:bottom w:val="none" w:sz="0" w:space="0" w:color="auto"/>
            <w:right w:val="none" w:sz="0" w:space="0" w:color="auto"/>
          </w:divBdr>
        </w:div>
      </w:divsChild>
    </w:div>
    <w:div w:id="1036273772">
      <w:bodyDiv w:val="1"/>
      <w:marLeft w:val="0"/>
      <w:marRight w:val="0"/>
      <w:marTop w:val="0"/>
      <w:marBottom w:val="0"/>
      <w:divBdr>
        <w:top w:val="none" w:sz="0" w:space="0" w:color="auto"/>
        <w:left w:val="none" w:sz="0" w:space="0" w:color="auto"/>
        <w:bottom w:val="none" w:sz="0" w:space="0" w:color="auto"/>
        <w:right w:val="none" w:sz="0" w:space="0" w:color="auto"/>
      </w:divBdr>
    </w:div>
    <w:div w:id="1052772089">
      <w:bodyDiv w:val="1"/>
      <w:marLeft w:val="0"/>
      <w:marRight w:val="0"/>
      <w:marTop w:val="0"/>
      <w:marBottom w:val="0"/>
      <w:divBdr>
        <w:top w:val="none" w:sz="0" w:space="0" w:color="auto"/>
        <w:left w:val="none" w:sz="0" w:space="0" w:color="auto"/>
        <w:bottom w:val="none" w:sz="0" w:space="0" w:color="auto"/>
        <w:right w:val="none" w:sz="0" w:space="0" w:color="auto"/>
      </w:divBdr>
    </w:div>
    <w:div w:id="1057164853">
      <w:bodyDiv w:val="1"/>
      <w:marLeft w:val="0"/>
      <w:marRight w:val="0"/>
      <w:marTop w:val="0"/>
      <w:marBottom w:val="0"/>
      <w:divBdr>
        <w:top w:val="none" w:sz="0" w:space="0" w:color="auto"/>
        <w:left w:val="none" w:sz="0" w:space="0" w:color="auto"/>
        <w:bottom w:val="none" w:sz="0" w:space="0" w:color="auto"/>
        <w:right w:val="none" w:sz="0" w:space="0" w:color="auto"/>
      </w:divBdr>
    </w:div>
    <w:div w:id="1094280377">
      <w:bodyDiv w:val="1"/>
      <w:marLeft w:val="0"/>
      <w:marRight w:val="0"/>
      <w:marTop w:val="0"/>
      <w:marBottom w:val="0"/>
      <w:divBdr>
        <w:top w:val="none" w:sz="0" w:space="0" w:color="auto"/>
        <w:left w:val="none" w:sz="0" w:space="0" w:color="auto"/>
        <w:bottom w:val="none" w:sz="0" w:space="0" w:color="auto"/>
        <w:right w:val="none" w:sz="0" w:space="0" w:color="auto"/>
      </w:divBdr>
    </w:div>
    <w:div w:id="1101490079">
      <w:bodyDiv w:val="1"/>
      <w:marLeft w:val="0"/>
      <w:marRight w:val="0"/>
      <w:marTop w:val="0"/>
      <w:marBottom w:val="0"/>
      <w:divBdr>
        <w:top w:val="none" w:sz="0" w:space="0" w:color="auto"/>
        <w:left w:val="none" w:sz="0" w:space="0" w:color="auto"/>
        <w:bottom w:val="none" w:sz="0" w:space="0" w:color="auto"/>
        <w:right w:val="none" w:sz="0" w:space="0" w:color="auto"/>
      </w:divBdr>
    </w:div>
    <w:div w:id="1143497629">
      <w:bodyDiv w:val="1"/>
      <w:marLeft w:val="0"/>
      <w:marRight w:val="0"/>
      <w:marTop w:val="0"/>
      <w:marBottom w:val="0"/>
      <w:divBdr>
        <w:top w:val="none" w:sz="0" w:space="0" w:color="auto"/>
        <w:left w:val="none" w:sz="0" w:space="0" w:color="auto"/>
        <w:bottom w:val="none" w:sz="0" w:space="0" w:color="auto"/>
        <w:right w:val="none" w:sz="0" w:space="0" w:color="auto"/>
      </w:divBdr>
    </w:div>
    <w:div w:id="1154684458">
      <w:bodyDiv w:val="1"/>
      <w:marLeft w:val="0"/>
      <w:marRight w:val="0"/>
      <w:marTop w:val="0"/>
      <w:marBottom w:val="0"/>
      <w:divBdr>
        <w:top w:val="none" w:sz="0" w:space="0" w:color="auto"/>
        <w:left w:val="none" w:sz="0" w:space="0" w:color="auto"/>
        <w:bottom w:val="none" w:sz="0" w:space="0" w:color="auto"/>
        <w:right w:val="none" w:sz="0" w:space="0" w:color="auto"/>
      </w:divBdr>
    </w:div>
    <w:div w:id="1182475793">
      <w:bodyDiv w:val="1"/>
      <w:marLeft w:val="0"/>
      <w:marRight w:val="0"/>
      <w:marTop w:val="0"/>
      <w:marBottom w:val="0"/>
      <w:divBdr>
        <w:top w:val="none" w:sz="0" w:space="0" w:color="auto"/>
        <w:left w:val="none" w:sz="0" w:space="0" w:color="auto"/>
        <w:bottom w:val="none" w:sz="0" w:space="0" w:color="auto"/>
        <w:right w:val="none" w:sz="0" w:space="0" w:color="auto"/>
      </w:divBdr>
    </w:div>
    <w:div w:id="1187334629">
      <w:bodyDiv w:val="1"/>
      <w:marLeft w:val="0"/>
      <w:marRight w:val="0"/>
      <w:marTop w:val="0"/>
      <w:marBottom w:val="0"/>
      <w:divBdr>
        <w:top w:val="none" w:sz="0" w:space="0" w:color="auto"/>
        <w:left w:val="none" w:sz="0" w:space="0" w:color="auto"/>
        <w:bottom w:val="none" w:sz="0" w:space="0" w:color="auto"/>
        <w:right w:val="none" w:sz="0" w:space="0" w:color="auto"/>
      </w:divBdr>
      <w:divsChild>
        <w:div w:id="1316954970">
          <w:marLeft w:val="0"/>
          <w:marRight w:val="0"/>
          <w:marTop w:val="120"/>
          <w:marBottom w:val="120"/>
          <w:divBdr>
            <w:top w:val="none" w:sz="0" w:space="0" w:color="auto"/>
            <w:left w:val="none" w:sz="0" w:space="0" w:color="auto"/>
            <w:bottom w:val="none" w:sz="0" w:space="0" w:color="auto"/>
            <w:right w:val="none" w:sz="0" w:space="0" w:color="auto"/>
          </w:divBdr>
        </w:div>
        <w:div w:id="974916417">
          <w:marLeft w:val="0"/>
          <w:marRight w:val="0"/>
          <w:marTop w:val="120"/>
          <w:marBottom w:val="120"/>
          <w:divBdr>
            <w:top w:val="none" w:sz="0" w:space="0" w:color="auto"/>
            <w:left w:val="none" w:sz="0" w:space="0" w:color="auto"/>
            <w:bottom w:val="none" w:sz="0" w:space="0" w:color="auto"/>
            <w:right w:val="none" w:sz="0" w:space="0" w:color="auto"/>
          </w:divBdr>
        </w:div>
        <w:div w:id="1539312839">
          <w:marLeft w:val="0"/>
          <w:marRight w:val="0"/>
          <w:marTop w:val="120"/>
          <w:marBottom w:val="120"/>
          <w:divBdr>
            <w:top w:val="none" w:sz="0" w:space="0" w:color="auto"/>
            <w:left w:val="none" w:sz="0" w:space="0" w:color="auto"/>
            <w:bottom w:val="none" w:sz="0" w:space="0" w:color="auto"/>
            <w:right w:val="none" w:sz="0" w:space="0" w:color="auto"/>
          </w:divBdr>
          <w:divsChild>
            <w:div w:id="1271283378">
              <w:marLeft w:val="0"/>
              <w:marRight w:val="0"/>
              <w:marTop w:val="0"/>
              <w:marBottom w:val="0"/>
              <w:divBdr>
                <w:top w:val="single" w:sz="6" w:space="6" w:color="FDC689"/>
                <w:left w:val="single" w:sz="6" w:space="12" w:color="FDC689"/>
                <w:bottom w:val="single" w:sz="6" w:space="6" w:color="FDC689"/>
                <w:right w:val="single" w:sz="6" w:space="12" w:color="FDC689"/>
              </w:divBdr>
            </w:div>
          </w:divsChild>
        </w:div>
      </w:divsChild>
    </w:div>
    <w:div w:id="1203833601">
      <w:bodyDiv w:val="1"/>
      <w:marLeft w:val="0"/>
      <w:marRight w:val="0"/>
      <w:marTop w:val="0"/>
      <w:marBottom w:val="0"/>
      <w:divBdr>
        <w:top w:val="none" w:sz="0" w:space="0" w:color="auto"/>
        <w:left w:val="none" w:sz="0" w:space="0" w:color="auto"/>
        <w:bottom w:val="none" w:sz="0" w:space="0" w:color="auto"/>
        <w:right w:val="none" w:sz="0" w:space="0" w:color="auto"/>
      </w:divBdr>
    </w:div>
    <w:div w:id="1219631516">
      <w:bodyDiv w:val="1"/>
      <w:marLeft w:val="0"/>
      <w:marRight w:val="0"/>
      <w:marTop w:val="0"/>
      <w:marBottom w:val="0"/>
      <w:divBdr>
        <w:top w:val="none" w:sz="0" w:space="0" w:color="auto"/>
        <w:left w:val="none" w:sz="0" w:space="0" w:color="auto"/>
        <w:bottom w:val="none" w:sz="0" w:space="0" w:color="auto"/>
        <w:right w:val="none" w:sz="0" w:space="0" w:color="auto"/>
      </w:divBdr>
    </w:div>
    <w:div w:id="1236479454">
      <w:bodyDiv w:val="1"/>
      <w:marLeft w:val="0"/>
      <w:marRight w:val="0"/>
      <w:marTop w:val="0"/>
      <w:marBottom w:val="0"/>
      <w:divBdr>
        <w:top w:val="none" w:sz="0" w:space="0" w:color="auto"/>
        <w:left w:val="none" w:sz="0" w:space="0" w:color="auto"/>
        <w:bottom w:val="none" w:sz="0" w:space="0" w:color="auto"/>
        <w:right w:val="none" w:sz="0" w:space="0" w:color="auto"/>
      </w:divBdr>
    </w:div>
    <w:div w:id="1244680401">
      <w:bodyDiv w:val="1"/>
      <w:marLeft w:val="0"/>
      <w:marRight w:val="0"/>
      <w:marTop w:val="0"/>
      <w:marBottom w:val="0"/>
      <w:divBdr>
        <w:top w:val="none" w:sz="0" w:space="0" w:color="auto"/>
        <w:left w:val="none" w:sz="0" w:space="0" w:color="auto"/>
        <w:bottom w:val="none" w:sz="0" w:space="0" w:color="auto"/>
        <w:right w:val="none" w:sz="0" w:space="0" w:color="auto"/>
      </w:divBdr>
      <w:divsChild>
        <w:div w:id="888153432">
          <w:marLeft w:val="0"/>
          <w:marRight w:val="0"/>
          <w:marTop w:val="120"/>
          <w:marBottom w:val="120"/>
          <w:divBdr>
            <w:top w:val="none" w:sz="0" w:space="0" w:color="auto"/>
            <w:left w:val="none" w:sz="0" w:space="0" w:color="auto"/>
            <w:bottom w:val="none" w:sz="0" w:space="0" w:color="auto"/>
            <w:right w:val="none" w:sz="0" w:space="0" w:color="auto"/>
          </w:divBdr>
        </w:div>
        <w:div w:id="1026521994">
          <w:marLeft w:val="0"/>
          <w:marRight w:val="0"/>
          <w:marTop w:val="120"/>
          <w:marBottom w:val="120"/>
          <w:divBdr>
            <w:top w:val="none" w:sz="0" w:space="0" w:color="auto"/>
            <w:left w:val="none" w:sz="0" w:space="0" w:color="auto"/>
            <w:bottom w:val="none" w:sz="0" w:space="0" w:color="auto"/>
            <w:right w:val="none" w:sz="0" w:space="0" w:color="auto"/>
          </w:divBdr>
        </w:div>
        <w:div w:id="392584755">
          <w:marLeft w:val="0"/>
          <w:marRight w:val="0"/>
          <w:marTop w:val="120"/>
          <w:marBottom w:val="120"/>
          <w:divBdr>
            <w:top w:val="none" w:sz="0" w:space="0" w:color="auto"/>
            <w:left w:val="none" w:sz="0" w:space="0" w:color="auto"/>
            <w:bottom w:val="none" w:sz="0" w:space="0" w:color="auto"/>
            <w:right w:val="none" w:sz="0" w:space="0" w:color="auto"/>
          </w:divBdr>
          <w:divsChild>
            <w:div w:id="363098130">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1089692827">
          <w:marLeft w:val="0"/>
          <w:marRight w:val="0"/>
          <w:marTop w:val="120"/>
          <w:marBottom w:val="120"/>
          <w:divBdr>
            <w:top w:val="none" w:sz="0" w:space="0" w:color="auto"/>
            <w:left w:val="none" w:sz="0" w:space="0" w:color="auto"/>
            <w:bottom w:val="none" w:sz="0" w:space="0" w:color="auto"/>
            <w:right w:val="none" w:sz="0" w:space="0" w:color="auto"/>
          </w:divBdr>
          <w:divsChild>
            <w:div w:id="1664162719">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762409436">
          <w:marLeft w:val="0"/>
          <w:marRight w:val="0"/>
          <w:marTop w:val="120"/>
          <w:marBottom w:val="120"/>
          <w:divBdr>
            <w:top w:val="none" w:sz="0" w:space="0" w:color="auto"/>
            <w:left w:val="none" w:sz="0" w:space="0" w:color="auto"/>
            <w:bottom w:val="none" w:sz="0" w:space="0" w:color="auto"/>
            <w:right w:val="none" w:sz="0" w:space="0" w:color="auto"/>
          </w:divBdr>
        </w:div>
        <w:div w:id="477692991">
          <w:marLeft w:val="0"/>
          <w:marRight w:val="0"/>
          <w:marTop w:val="120"/>
          <w:marBottom w:val="120"/>
          <w:divBdr>
            <w:top w:val="none" w:sz="0" w:space="0" w:color="auto"/>
            <w:left w:val="none" w:sz="0" w:space="0" w:color="auto"/>
            <w:bottom w:val="none" w:sz="0" w:space="0" w:color="auto"/>
            <w:right w:val="none" w:sz="0" w:space="0" w:color="auto"/>
          </w:divBdr>
        </w:div>
        <w:div w:id="1666469953">
          <w:marLeft w:val="0"/>
          <w:marRight w:val="0"/>
          <w:marTop w:val="120"/>
          <w:marBottom w:val="120"/>
          <w:divBdr>
            <w:top w:val="none" w:sz="0" w:space="0" w:color="auto"/>
            <w:left w:val="none" w:sz="0" w:space="0" w:color="auto"/>
            <w:bottom w:val="none" w:sz="0" w:space="0" w:color="auto"/>
            <w:right w:val="none" w:sz="0" w:space="0" w:color="auto"/>
          </w:divBdr>
        </w:div>
        <w:div w:id="1847285404">
          <w:marLeft w:val="0"/>
          <w:marRight w:val="0"/>
          <w:marTop w:val="120"/>
          <w:marBottom w:val="120"/>
          <w:divBdr>
            <w:top w:val="none" w:sz="0" w:space="0" w:color="auto"/>
            <w:left w:val="none" w:sz="0" w:space="0" w:color="auto"/>
            <w:bottom w:val="none" w:sz="0" w:space="0" w:color="auto"/>
            <w:right w:val="none" w:sz="0" w:space="0" w:color="auto"/>
          </w:divBdr>
        </w:div>
        <w:div w:id="1340430544">
          <w:marLeft w:val="0"/>
          <w:marRight w:val="0"/>
          <w:marTop w:val="120"/>
          <w:marBottom w:val="120"/>
          <w:divBdr>
            <w:top w:val="none" w:sz="0" w:space="0" w:color="auto"/>
            <w:left w:val="none" w:sz="0" w:space="0" w:color="auto"/>
            <w:bottom w:val="none" w:sz="0" w:space="0" w:color="auto"/>
            <w:right w:val="none" w:sz="0" w:space="0" w:color="auto"/>
          </w:divBdr>
        </w:div>
        <w:div w:id="850334393">
          <w:marLeft w:val="0"/>
          <w:marRight w:val="0"/>
          <w:marTop w:val="120"/>
          <w:marBottom w:val="120"/>
          <w:divBdr>
            <w:top w:val="none" w:sz="0" w:space="0" w:color="auto"/>
            <w:left w:val="none" w:sz="0" w:space="0" w:color="auto"/>
            <w:bottom w:val="none" w:sz="0" w:space="0" w:color="auto"/>
            <w:right w:val="none" w:sz="0" w:space="0" w:color="auto"/>
          </w:divBdr>
          <w:divsChild>
            <w:div w:id="904536871">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sChild>
    </w:div>
    <w:div w:id="1248878004">
      <w:bodyDiv w:val="1"/>
      <w:marLeft w:val="0"/>
      <w:marRight w:val="0"/>
      <w:marTop w:val="0"/>
      <w:marBottom w:val="0"/>
      <w:divBdr>
        <w:top w:val="none" w:sz="0" w:space="0" w:color="auto"/>
        <w:left w:val="none" w:sz="0" w:space="0" w:color="auto"/>
        <w:bottom w:val="none" w:sz="0" w:space="0" w:color="auto"/>
        <w:right w:val="none" w:sz="0" w:space="0" w:color="auto"/>
      </w:divBdr>
    </w:div>
    <w:div w:id="1252081207">
      <w:bodyDiv w:val="1"/>
      <w:marLeft w:val="0"/>
      <w:marRight w:val="0"/>
      <w:marTop w:val="0"/>
      <w:marBottom w:val="0"/>
      <w:divBdr>
        <w:top w:val="none" w:sz="0" w:space="0" w:color="auto"/>
        <w:left w:val="none" w:sz="0" w:space="0" w:color="auto"/>
        <w:bottom w:val="none" w:sz="0" w:space="0" w:color="auto"/>
        <w:right w:val="none" w:sz="0" w:space="0" w:color="auto"/>
      </w:divBdr>
    </w:div>
    <w:div w:id="1320772268">
      <w:bodyDiv w:val="1"/>
      <w:marLeft w:val="0"/>
      <w:marRight w:val="0"/>
      <w:marTop w:val="0"/>
      <w:marBottom w:val="0"/>
      <w:divBdr>
        <w:top w:val="none" w:sz="0" w:space="0" w:color="auto"/>
        <w:left w:val="none" w:sz="0" w:space="0" w:color="auto"/>
        <w:bottom w:val="none" w:sz="0" w:space="0" w:color="auto"/>
        <w:right w:val="none" w:sz="0" w:space="0" w:color="auto"/>
      </w:divBdr>
    </w:div>
    <w:div w:id="1334187674">
      <w:bodyDiv w:val="1"/>
      <w:marLeft w:val="0"/>
      <w:marRight w:val="0"/>
      <w:marTop w:val="0"/>
      <w:marBottom w:val="0"/>
      <w:divBdr>
        <w:top w:val="none" w:sz="0" w:space="0" w:color="auto"/>
        <w:left w:val="none" w:sz="0" w:space="0" w:color="auto"/>
        <w:bottom w:val="none" w:sz="0" w:space="0" w:color="auto"/>
        <w:right w:val="none" w:sz="0" w:space="0" w:color="auto"/>
      </w:divBdr>
    </w:div>
    <w:div w:id="1337268665">
      <w:bodyDiv w:val="1"/>
      <w:marLeft w:val="0"/>
      <w:marRight w:val="0"/>
      <w:marTop w:val="0"/>
      <w:marBottom w:val="0"/>
      <w:divBdr>
        <w:top w:val="none" w:sz="0" w:space="0" w:color="auto"/>
        <w:left w:val="none" w:sz="0" w:space="0" w:color="auto"/>
        <w:bottom w:val="none" w:sz="0" w:space="0" w:color="auto"/>
        <w:right w:val="none" w:sz="0" w:space="0" w:color="auto"/>
      </w:divBdr>
    </w:div>
    <w:div w:id="1359896523">
      <w:bodyDiv w:val="1"/>
      <w:marLeft w:val="0"/>
      <w:marRight w:val="0"/>
      <w:marTop w:val="0"/>
      <w:marBottom w:val="0"/>
      <w:divBdr>
        <w:top w:val="none" w:sz="0" w:space="0" w:color="auto"/>
        <w:left w:val="none" w:sz="0" w:space="0" w:color="auto"/>
        <w:bottom w:val="none" w:sz="0" w:space="0" w:color="auto"/>
        <w:right w:val="none" w:sz="0" w:space="0" w:color="auto"/>
      </w:divBdr>
    </w:div>
    <w:div w:id="1454055488">
      <w:bodyDiv w:val="1"/>
      <w:marLeft w:val="0"/>
      <w:marRight w:val="0"/>
      <w:marTop w:val="0"/>
      <w:marBottom w:val="0"/>
      <w:divBdr>
        <w:top w:val="none" w:sz="0" w:space="0" w:color="auto"/>
        <w:left w:val="none" w:sz="0" w:space="0" w:color="auto"/>
        <w:bottom w:val="none" w:sz="0" w:space="0" w:color="auto"/>
        <w:right w:val="none" w:sz="0" w:space="0" w:color="auto"/>
      </w:divBdr>
    </w:div>
    <w:div w:id="1477599806">
      <w:bodyDiv w:val="1"/>
      <w:marLeft w:val="0"/>
      <w:marRight w:val="0"/>
      <w:marTop w:val="0"/>
      <w:marBottom w:val="0"/>
      <w:divBdr>
        <w:top w:val="none" w:sz="0" w:space="0" w:color="auto"/>
        <w:left w:val="none" w:sz="0" w:space="0" w:color="auto"/>
        <w:bottom w:val="none" w:sz="0" w:space="0" w:color="auto"/>
        <w:right w:val="none" w:sz="0" w:space="0" w:color="auto"/>
      </w:divBdr>
    </w:div>
    <w:div w:id="1485120003">
      <w:bodyDiv w:val="1"/>
      <w:marLeft w:val="0"/>
      <w:marRight w:val="0"/>
      <w:marTop w:val="0"/>
      <w:marBottom w:val="0"/>
      <w:divBdr>
        <w:top w:val="none" w:sz="0" w:space="0" w:color="auto"/>
        <w:left w:val="none" w:sz="0" w:space="0" w:color="auto"/>
        <w:bottom w:val="none" w:sz="0" w:space="0" w:color="auto"/>
        <w:right w:val="none" w:sz="0" w:space="0" w:color="auto"/>
      </w:divBdr>
    </w:div>
    <w:div w:id="1491555280">
      <w:bodyDiv w:val="1"/>
      <w:marLeft w:val="0"/>
      <w:marRight w:val="0"/>
      <w:marTop w:val="0"/>
      <w:marBottom w:val="0"/>
      <w:divBdr>
        <w:top w:val="none" w:sz="0" w:space="0" w:color="auto"/>
        <w:left w:val="none" w:sz="0" w:space="0" w:color="auto"/>
        <w:bottom w:val="none" w:sz="0" w:space="0" w:color="auto"/>
        <w:right w:val="none" w:sz="0" w:space="0" w:color="auto"/>
      </w:divBdr>
    </w:div>
    <w:div w:id="1519153355">
      <w:bodyDiv w:val="1"/>
      <w:marLeft w:val="0"/>
      <w:marRight w:val="0"/>
      <w:marTop w:val="0"/>
      <w:marBottom w:val="0"/>
      <w:divBdr>
        <w:top w:val="none" w:sz="0" w:space="0" w:color="auto"/>
        <w:left w:val="none" w:sz="0" w:space="0" w:color="auto"/>
        <w:bottom w:val="none" w:sz="0" w:space="0" w:color="auto"/>
        <w:right w:val="none" w:sz="0" w:space="0" w:color="auto"/>
      </w:divBdr>
    </w:div>
    <w:div w:id="1553730161">
      <w:bodyDiv w:val="1"/>
      <w:marLeft w:val="0"/>
      <w:marRight w:val="0"/>
      <w:marTop w:val="0"/>
      <w:marBottom w:val="0"/>
      <w:divBdr>
        <w:top w:val="none" w:sz="0" w:space="0" w:color="auto"/>
        <w:left w:val="none" w:sz="0" w:space="0" w:color="auto"/>
        <w:bottom w:val="none" w:sz="0" w:space="0" w:color="auto"/>
        <w:right w:val="none" w:sz="0" w:space="0" w:color="auto"/>
      </w:divBdr>
    </w:div>
    <w:div w:id="1582136284">
      <w:bodyDiv w:val="1"/>
      <w:marLeft w:val="0"/>
      <w:marRight w:val="0"/>
      <w:marTop w:val="0"/>
      <w:marBottom w:val="0"/>
      <w:divBdr>
        <w:top w:val="none" w:sz="0" w:space="0" w:color="auto"/>
        <w:left w:val="none" w:sz="0" w:space="0" w:color="auto"/>
        <w:bottom w:val="none" w:sz="0" w:space="0" w:color="auto"/>
        <w:right w:val="none" w:sz="0" w:space="0" w:color="auto"/>
      </w:divBdr>
    </w:div>
    <w:div w:id="1586912800">
      <w:bodyDiv w:val="1"/>
      <w:marLeft w:val="0"/>
      <w:marRight w:val="0"/>
      <w:marTop w:val="0"/>
      <w:marBottom w:val="0"/>
      <w:divBdr>
        <w:top w:val="none" w:sz="0" w:space="0" w:color="auto"/>
        <w:left w:val="none" w:sz="0" w:space="0" w:color="auto"/>
        <w:bottom w:val="none" w:sz="0" w:space="0" w:color="auto"/>
        <w:right w:val="none" w:sz="0" w:space="0" w:color="auto"/>
      </w:divBdr>
    </w:div>
    <w:div w:id="1637103713">
      <w:bodyDiv w:val="1"/>
      <w:marLeft w:val="0"/>
      <w:marRight w:val="0"/>
      <w:marTop w:val="0"/>
      <w:marBottom w:val="0"/>
      <w:divBdr>
        <w:top w:val="none" w:sz="0" w:space="0" w:color="auto"/>
        <w:left w:val="none" w:sz="0" w:space="0" w:color="auto"/>
        <w:bottom w:val="none" w:sz="0" w:space="0" w:color="auto"/>
        <w:right w:val="none" w:sz="0" w:space="0" w:color="auto"/>
      </w:divBdr>
    </w:div>
    <w:div w:id="1645968382">
      <w:bodyDiv w:val="1"/>
      <w:marLeft w:val="0"/>
      <w:marRight w:val="0"/>
      <w:marTop w:val="0"/>
      <w:marBottom w:val="0"/>
      <w:divBdr>
        <w:top w:val="none" w:sz="0" w:space="0" w:color="auto"/>
        <w:left w:val="none" w:sz="0" w:space="0" w:color="auto"/>
        <w:bottom w:val="none" w:sz="0" w:space="0" w:color="auto"/>
        <w:right w:val="none" w:sz="0" w:space="0" w:color="auto"/>
      </w:divBdr>
    </w:div>
    <w:div w:id="1660960139">
      <w:bodyDiv w:val="1"/>
      <w:marLeft w:val="0"/>
      <w:marRight w:val="0"/>
      <w:marTop w:val="0"/>
      <w:marBottom w:val="0"/>
      <w:divBdr>
        <w:top w:val="none" w:sz="0" w:space="0" w:color="auto"/>
        <w:left w:val="none" w:sz="0" w:space="0" w:color="auto"/>
        <w:bottom w:val="none" w:sz="0" w:space="0" w:color="auto"/>
        <w:right w:val="none" w:sz="0" w:space="0" w:color="auto"/>
      </w:divBdr>
    </w:div>
    <w:div w:id="1677995842">
      <w:bodyDiv w:val="1"/>
      <w:marLeft w:val="0"/>
      <w:marRight w:val="0"/>
      <w:marTop w:val="0"/>
      <w:marBottom w:val="0"/>
      <w:divBdr>
        <w:top w:val="none" w:sz="0" w:space="0" w:color="auto"/>
        <w:left w:val="none" w:sz="0" w:space="0" w:color="auto"/>
        <w:bottom w:val="none" w:sz="0" w:space="0" w:color="auto"/>
        <w:right w:val="none" w:sz="0" w:space="0" w:color="auto"/>
      </w:divBdr>
    </w:div>
    <w:div w:id="1680157344">
      <w:bodyDiv w:val="1"/>
      <w:marLeft w:val="0"/>
      <w:marRight w:val="0"/>
      <w:marTop w:val="0"/>
      <w:marBottom w:val="0"/>
      <w:divBdr>
        <w:top w:val="none" w:sz="0" w:space="0" w:color="auto"/>
        <w:left w:val="none" w:sz="0" w:space="0" w:color="auto"/>
        <w:bottom w:val="none" w:sz="0" w:space="0" w:color="auto"/>
        <w:right w:val="none" w:sz="0" w:space="0" w:color="auto"/>
      </w:divBdr>
    </w:div>
    <w:div w:id="1741243662">
      <w:bodyDiv w:val="1"/>
      <w:marLeft w:val="0"/>
      <w:marRight w:val="0"/>
      <w:marTop w:val="0"/>
      <w:marBottom w:val="0"/>
      <w:divBdr>
        <w:top w:val="none" w:sz="0" w:space="0" w:color="auto"/>
        <w:left w:val="none" w:sz="0" w:space="0" w:color="auto"/>
        <w:bottom w:val="none" w:sz="0" w:space="0" w:color="auto"/>
        <w:right w:val="none" w:sz="0" w:space="0" w:color="auto"/>
      </w:divBdr>
    </w:div>
    <w:div w:id="1771700471">
      <w:bodyDiv w:val="1"/>
      <w:marLeft w:val="0"/>
      <w:marRight w:val="0"/>
      <w:marTop w:val="0"/>
      <w:marBottom w:val="0"/>
      <w:divBdr>
        <w:top w:val="none" w:sz="0" w:space="0" w:color="auto"/>
        <w:left w:val="none" w:sz="0" w:space="0" w:color="auto"/>
        <w:bottom w:val="none" w:sz="0" w:space="0" w:color="auto"/>
        <w:right w:val="none" w:sz="0" w:space="0" w:color="auto"/>
      </w:divBdr>
    </w:div>
    <w:div w:id="1794978741">
      <w:bodyDiv w:val="1"/>
      <w:marLeft w:val="0"/>
      <w:marRight w:val="0"/>
      <w:marTop w:val="0"/>
      <w:marBottom w:val="0"/>
      <w:divBdr>
        <w:top w:val="none" w:sz="0" w:space="0" w:color="auto"/>
        <w:left w:val="none" w:sz="0" w:space="0" w:color="auto"/>
        <w:bottom w:val="none" w:sz="0" w:space="0" w:color="auto"/>
        <w:right w:val="none" w:sz="0" w:space="0" w:color="auto"/>
      </w:divBdr>
    </w:div>
    <w:div w:id="1818909911">
      <w:bodyDiv w:val="1"/>
      <w:marLeft w:val="0"/>
      <w:marRight w:val="0"/>
      <w:marTop w:val="0"/>
      <w:marBottom w:val="0"/>
      <w:divBdr>
        <w:top w:val="none" w:sz="0" w:space="0" w:color="auto"/>
        <w:left w:val="none" w:sz="0" w:space="0" w:color="auto"/>
        <w:bottom w:val="none" w:sz="0" w:space="0" w:color="auto"/>
        <w:right w:val="none" w:sz="0" w:space="0" w:color="auto"/>
      </w:divBdr>
      <w:divsChild>
        <w:div w:id="63144311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86556432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8644247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58860247">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35188369">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822842284">
      <w:bodyDiv w:val="1"/>
      <w:marLeft w:val="0"/>
      <w:marRight w:val="0"/>
      <w:marTop w:val="0"/>
      <w:marBottom w:val="0"/>
      <w:divBdr>
        <w:top w:val="none" w:sz="0" w:space="0" w:color="auto"/>
        <w:left w:val="none" w:sz="0" w:space="0" w:color="auto"/>
        <w:bottom w:val="none" w:sz="0" w:space="0" w:color="auto"/>
        <w:right w:val="none" w:sz="0" w:space="0" w:color="auto"/>
      </w:divBdr>
    </w:div>
    <w:div w:id="1854832606">
      <w:bodyDiv w:val="1"/>
      <w:marLeft w:val="0"/>
      <w:marRight w:val="0"/>
      <w:marTop w:val="0"/>
      <w:marBottom w:val="0"/>
      <w:divBdr>
        <w:top w:val="none" w:sz="0" w:space="0" w:color="auto"/>
        <w:left w:val="none" w:sz="0" w:space="0" w:color="auto"/>
        <w:bottom w:val="none" w:sz="0" w:space="0" w:color="auto"/>
        <w:right w:val="none" w:sz="0" w:space="0" w:color="auto"/>
      </w:divBdr>
    </w:div>
    <w:div w:id="1856993921">
      <w:bodyDiv w:val="1"/>
      <w:marLeft w:val="0"/>
      <w:marRight w:val="0"/>
      <w:marTop w:val="0"/>
      <w:marBottom w:val="0"/>
      <w:divBdr>
        <w:top w:val="none" w:sz="0" w:space="0" w:color="auto"/>
        <w:left w:val="none" w:sz="0" w:space="0" w:color="auto"/>
        <w:bottom w:val="none" w:sz="0" w:space="0" w:color="auto"/>
        <w:right w:val="none" w:sz="0" w:space="0" w:color="auto"/>
      </w:divBdr>
    </w:div>
    <w:div w:id="1866208818">
      <w:bodyDiv w:val="1"/>
      <w:marLeft w:val="0"/>
      <w:marRight w:val="0"/>
      <w:marTop w:val="0"/>
      <w:marBottom w:val="0"/>
      <w:divBdr>
        <w:top w:val="none" w:sz="0" w:space="0" w:color="auto"/>
        <w:left w:val="none" w:sz="0" w:space="0" w:color="auto"/>
        <w:bottom w:val="none" w:sz="0" w:space="0" w:color="auto"/>
        <w:right w:val="none" w:sz="0" w:space="0" w:color="auto"/>
      </w:divBdr>
    </w:div>
    <w:div w:id="1869222286">
      <w:bodyDiv w:val="1"/>
      <w:marLeft w:val="0"/>
      <w:marRight w:val="0"/>
      <w:marTop w:val="0"/>
      <w:marBottom w:val="0"/>
      <w:divBdr>
        <w:top w:val="none" w:sz="0" w:space="0" w:color="auto"/>
        <w:left w:val="none" w:sz="0" w:space="0" w:color="auto"/>
        <w:bottom w:val="none" w:sz="0" w:space="0" w:color="auto"/>
        <w:right w:val="none" w:sz="0" w:space="0" w:color="auto"/>
      </w:divBdr>
    </w:div>
    <w:div w:id="1938824298">
      <w:bodyDiv w:val="1"/>
      <w:marLeft w:val="0"/>
      <w:marRight w:val="0"/>
      <w:marTop w:val="0"/>
      <w:marBottom w:val="0"/>
      <w:divBdr>
        <w:top w:val="none" w:sz="0" w:space="0" w:color="auto"/>
        <w:left w:val="none" w:sz="0" w:space="0" w:color="auto"/>
        <w:bottom w:val="none" w:sz="0" w:space="0" w:color="auto"/>
        <w:right w:val="none" w:sz="0" w:space="0" w:color="auto"/>
      </w:divBdr>
    </w:div>
    <w:div w:id="1949700608">
      <w:bodyDiv w:val="1"/>
      <w:marLeft w:val="0"/>
      <w:marRight w:val="0"/>
      <w:marTop w:val="0"/>
      <w:marBottom w:val="0"/>
      <w:divBdr>
        <w:top w:val="none" w:sz="0" w:space="0" w:color="auto"/>
        <w:left w:val="none" w:sz="0" w:space="0" w:color="auto"/>
        <w:bottom w:val="none" w:sz="0" w:space="0" w:color="auto"/>
        <w:right w:val="none" w:sz="0" w:space="0" w:color="auto"/>
      </w:divBdr>
    </w:div>
    <w:div w:id="1954895162">
      <w:bodyDiv w:val="1"/>
      <w:marLeft w:val="0"/>
      <w:marRight w:val="0"/>
      <w:marTop w:val="0"/>
      <w:marBottom w:val="0"/>
      <w:divBdr>
        <w:top w:val="none" w:sz="0" w:space="0" w:color="auto"/>
        <w:left w:val="none" w:sz="0" w:space="0" w:color="auto"/>
        <w:bottom w:val="none" w:sz="0" w:space="0" w:color="auto"/>
        <w:right w:val="none" w:sz="0" w:space="0" w:color="auto"/>
      </w:divBdr>
      <w:divsChild>
        <w:div w:id="1702898308">
          <w:marLeft w:val="0"/>
          <w:marRight w:val="0"/>
          <w:marTop w:val="120"/>
          <w:marBottom w:val="120"/>
          <w:divBdr>
            <w:top w:val="none" w:sz="0" w:space="0" w:color="auto"/>
            <w:left w:val="none" w:sz="0" w:space="0" w:color="auto"/>
            <w:bottom w:val="none" w:sz="0" w:space="0" w:color="auto"/>
            <w:right w:val="none" w:sz="0" w:space="0" w:color="auto"/>
          </w:divBdr>
        </w:div>
        <w:div w:id="605507022">
          <w:marLeft w:val="0"/>
          <w:marRight w:val="0"/>
          <w:marTop w:val="120"/>
          <w:marBottom w:val="120"/>
          <w:divBdr>
            <w:top w:val="none" w:sz="0" w:space="0" w:color="auto"/>
            <w:left w:val="none" w:sz="0" w:space="0" w:color="auto"/>
            <w:bottom w:val="none" w:sz="0" w:space="0" w:color="auto"/>
            <w:right w:val="none" w:sz="0" w:space="0" w:color="auto"/>
          </w:divBdr>
        </w:div>
        <w:div w:id="2006740936">
          <w:marLeft w:val="0"/>
          <w:marRight w:val="0"/>
          <w:marTop w:val="120"/>
          <w:marBottom w:val="120"/>
          <w:divBdr>
            <w:top w:val="none" w:sz="0" w:space="0" w:color="auto"/>
            <w:left w:val="none" w:sz="0" w:space="0" w:color="auto"/>
            <w:bottom w:val="none" w:sz="0" w:space="0" w:color="auto"/>
            <w:right w:val="none" w:sz="0" w:space="0" w:color="auto"/>
          </w:divBdr>
        </w:div>
        <w:div w:id="21247089">
          <w:marLeft w:val="0"/>
          <w:marRight w:val="0"/>
          <w:marTop w:val="120"/>
          <w:marBottom w:val="120"/>
          <w:divBdr>
            <w:top w:val="none" w:sz="0" w:space="0" w:color="auto"/>
            <w:left w:val="none" w:sz="0" w:space="0" w:color="auto"/>
            <w:bottom w:val="none" w:sz="0" w:space="0" w:color="auto"/>
            <w:right w:val="none" w:sz="0" w:space="0" w:color="auto"/>
          </w:divBdr>
        </w:div>
        <w:div w:id="1876195917">
          <w:marLeft w:val="0"/>
          <w:marRight w:val="0"/>
          <w:marTop w:val="120"/>
          <w:marBottom w:val="120"/>
          <w:divBdr>
            <w:top w:val="none" w:sz="0" w:space="0" w:color="auto"/>
            <w:left w:val="none" w:sz="0" w:space="0" w:color="auto"/>
            <w:bottom w:val="none" w:sz="0" w:space="0" w:color="auto"/>
            <w:right w:val="none" w:sz="0" w:space="0" w:color="auto"/>
          </w:divBdr>
        </w:div>
        <w:div w:id="292102274">
          <w:marLeft w:val="0"/>
          <w:marRight w:val="0"/>
          <w:marTop w:val="120"/>
          <w:marBottom w:val="120"/>
          <w:divBdr>
            <w:top w:val="none" w:sz="0" w:space="0" w:color="auto"/>
            <w:left w:val="none" w:sz="0" w:space="0" w:color="auto"/>
            <w:bottom w:val="none" w:sz="0" w:space="0" w:color="auto"/>
            <w:right w:val="none" w:sz="0" w:space="0" w:color="auto"/>
          </w:divBdr>
        </w:div>
        <w:div w:id="583035361">
          <w:marLeft w:val="0"/>
          <w:marRight w:val="0"/>
          <w:marTop w:val="120"/>
          <w:marBottom w:val="120"/>
          <w:divBdr>
            <w:top w:val="none" w:sz="0" w:space="0" w:color="auto"/>
            <w:left w:val="none" w:sz="0" w:space="0" w:color="auto"/>
            <w:bottom w:val="none" w:sz="0" w:space="0" w:color="auto"/>
            <w:right w:val="none" w:sz="0" w:space="0" w:color="auto"/>
          </w:divBdr>
        </w:div>
        <w:div w:id="2087142623">
          <w:marLeft w:val="0"/>
          <w:marRight w:val="0"/>
          <w:marTop w:val="120"/>
          <w:marBottom w:val="120"/>
          <w:divBdr>
            <w:top w:val="none" w:sz="0" w:space="0" w:color="auto"/>
            <w:left w:val="none" w:sz="0" w:space="0" w:color="auto"/>
            <w:bottom w:val="none" w:sz="0" w:space="0" w:color="auto"/>
            <w:right w:val="none" w:sz="0" w:space="0" w:color="auto"/>
          </w:divBdr>
        </w:div>
        <w:div w:id="1134760560">
          <w:marLeft w:val="0"/>
          <w:marRight w:val="0"/>
          <w:marTop w:val="120"/>
          <w:marBottom w:val="120"/>
          <w:divBdr>
            <w:top w:val="none" w:sz="0" w:space="0" w:color="auto"/>
            <w:left w:val="none" w:sz="0" w:space="0" w:color="auto"/>
            <w:bottom w:val="none" w:sz="0" w:space="0" w:color="auto"/>
            <w:right w:val="none" w:sz="0" w:space="0" w:color="auto"/>
          </w:divBdr>
        </w:div>
        <w:div w:id="1613318300">
          <w:marLeft w:val="0"/>
          <w:marRight w:val="0"/>
          <w:marTop w:val="120"/>
          <w:marBottom w:val="120"/>
          <w:divBdr>
            <w:top w:val="none" w:sz="0" w:space="0" w:color="auto"/>
            <w:left w:val="none" w:sz="0" w:space="0" w:color="auto"/>
            <w:bottom w:val="none" w:sz="0" w:space="0" w:color="auto"/>
            <w:right w:val="none" w:sz="0" w:space="0" w:color="auto"/>
          </w:divBdr>
        </w:div>
        <w:div w:id="498347184">
          <w:marLeft w:val="0"/>
          <w:marRight w:val="0"/>
          <w:marTop w:val="120"/>
          <w:marBottom w:val="120"/>
          <w:divBdr>
            <w:top w:val="none" w:sz="0" w:space="0" w:color="auto"/>
            <w:left w:val="none" w:sz="0" w:space="0" w:color="auto"/>
            <w:bottom w:val="none" w:sz="0" w:space="0" w:color="auto"/>
            <w:right w:val="none" w:sz="0" w:space="0" w:color="auto"/>
          </w:divBdr>
        </w:div>
      </w:divsChild>
    </w:div>
    <w:div w:id="1982269807">
      <w:bodyDiv w:val="1"/>
      <w:marLeft w:val="0"/>
      <w:marRight w:val="0"/>
      <w:marTop w:val="0"/>
      <w:marBottom w:val="0"/>
      <w:divBdr>
        <w:top w:val="none" w:sz="0" w:space="0" w:color="auto"/>
        <w:left w:val="none" w:sz="0" w:space="0" w:color="auto"/>
        <w:bottom w:val="none" w:sz="0" w:space="0" w:color="auto"/>
        <w:right w:val="none" w:sz="0" w:space="0" w:color="auto"/>
      </w:divBdr>
    </w:div>
    <w:div w:id="2051412963">
      <w:bodyDiv w:val="1"/>
      <w:marLeft w:val="0"/>
      <w:marRight w:val="0"/>
      <w:marTop w:val="0"/>
      <w:marBottom w:val="0"/>
      <w:divBdr>
        <w:top w:val="none" w:sz="0" w:space="0" w:color="auto"/>
        <w:left w:val="none" w:sz="0" w:space="0" w:color="auto"/>
        <w:bottom w:val="none" w:sz="0" w:space="0" w:color="auto"/>
        <w:right w:val="none" w:sz="0" w:space="0" w:color="auto"/>
      </w:divBdr>
    </w:div>
    <w:div w:id="2081518812">
      <w:bodyDiv w:val="1"/>
      <w:marLeft w:val="0"/>
      <w:marRight w:val="0"/>
      <w:marTop w:val="0"/>
      <w:marBottom w:val="0"/>
      <w:divBdr>
        <w:top w:val="none" w:sz="0" w:space="0" w:color="auto"/>
        <w:left w:val="none" w:sz="0" w:space="0" w:color="auto"/>
        <w:bottom w:val="none" w:sz="0" w:space="0" w:color="auto"/>
        <w:right w:val="none" w:sz="0" w:space="0" w:color="auto"/>
      </w:divBdr>
      <w:divsChild>
        <w:div w:id="288049170">
          <w:marLeft w:val="0"/>
          <w:marRight w:val="0"/>
          <w:marTop w:val="120"/>
          <w:marBottom w:val="120"/>
          <w:divBdr>
            <w:top w:val="none" w:sz="0" w:space="0" w:color="auto"/>
            <w:left w:val="none" w:sz="0" w:space="0" w:color="auto"/>
            <w:bottom w:val="none" w:sz="0" w:space="0" w:color="auto"/>
            <w:right w:val="none" w:sz="0" w:space="0" w:color="auto"/>
          </w:divBdr>
        </w:div>
        <w:div w:id="74933810">
          <w:marLeft w:val="0"/>
          <w:marRight w:val="0"/>
          <w:marTop w:val="120"/>
          <w:marBottom w:val="120"/>
          <w:divBdr>
            <w:top w:val="none" w:sz="0" w:space="0" w:color="auto"/>
            <w:left w:val="none" w:sz="0" w:space="0" w:color="auto"/>
            <w:bottom w:val="none" w:sz="0" w:space="0" w:color="auto"/>
            <w:right w:val="none" w:sz="0" w:space="0" w:color="auto"/>
          </w:divBdr>
        </w:div>
        <w:div w:id="777985533">
          <w:marLeft w:val="0"/>
          <w:marRight w:val="0"/>
          <w:marTop w:val="120"/>
          <w:marBottom w:val="120"/>
          <w:divBdr>
            <w:top w:val="none" w:sz="0" w:space="0" w:color="auto"/>
            <w:left w:val="none" w:sz="0" w:space="0" w:color="auto"/>
            <w:bottom w:val="none" w:sz="0" w:space="0" w:color="auto"/>
            <w:right w:val="none" w:sz="0" w:space="0" w:color="auto"/>
          </w:divBdr>
        </w:div>
        <w:div w:id="137963536">
          <w:marLeft w:val="0"/>
          <w:marRight w:val="0"/>
          <w:marTop w:val="120"/>
          <w:marBottom w:val="120"/>
          <w:divBdr>
            <w:top w:val="none" w:sz="0" w:space="0" w:color="auto"/>
            <w:left w:val="none" w:sz="0" w:space="0" w:color="auto"/>
            <w:bottom w:val="none" w:sz="0" w:space="0" w:color="auto"/>
            <w:right w:val="none" w:sz="0" w:space="0" w:color="auto"/>
          </w:divBdr>
        </w:div>
      </w:divsChild>
    </w:div>
    <w:div w:id="211539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8FA5-035C-4384-927D-8BD7EC76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12611</TotalTime>
  <Pages>66</Pages>
  <Words>26796</Words>
  <Characters>152743</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anhminhnguyen53503@gmail.com</cp:lastModifiedBy>
  <cp:revision>163</cp:revision>
  <cp:lastPrinted>2021-11-15T11:08:00Z</cp:lastPrinted>
  <dcterms:created xsi:type="dcterms:W3CDTF">2025-03-24T04:49:00Z</dcterms:created>
  <dcterms:modified xsi:type="dcterms:W3CDTF">2025-08-01T02:02:00Z</dcterms:modified>
</cp:coreProperties>
</file>