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Input: file Daily Outbound Report, header ở dòng 1, data bắt đầu từ dòng 2.</w:t>
        <w:br w:type="textWrapping"/>
        <w:t xml:space="preserve"> Output: file Import tạo mới phiếu chuyển, giữ nguyên header ở dòng 1, data ghi từ dòng 2.</w:t>
      </w:r>
    </w:p>
    <w:p w:rsidR="00000000" w:rsidDel="00000000" w:rsidP="00000000" w:rsidRDefault="00000000" w:rsidRPr="00000000" w14:paraId="00000002">
      <w:pPr>
        <w:spacing w:after="240" w:before="240" w:lineRule="auto"/>
        <w:rPr/>
      </w:pPr>
      <w:r w:rsidDel="00000000" w:rsidR="00000000" w:rsidRPr="00000000">
        <w:rPr>
          <w:rtl w:val="0"/>
        </w:rPr>
        <w:t xml:space="preserve">Bước 1 – Lọc dòng</w:t>
        <w:br w:type="textWrapping"/>
        <w:t xml:space="preserve"> Chỉ lấy những dòng có Store Sub Code (cột AE). Dòng nào Store Sub Code rỗng thì bỏ qua, vì đó là đơn B2C giao cho cá nhân, không phải chuyển hàng về cửa hàng.</w:t>
      </w:r>
    </w:p>
    <w:p w:rsidR="00000000" w:rsidDel="00000000" w:rsidP="00000000" w:rsidRDefault="00000000" w:rsidRPr="00000000" w14:paraId="00000003">
      <w:pPr>
        <w:spacing w:after="240" w:before="240" w:lineRule="auto"/>
        <w:rPr/>
      </w:pPr>
      <w:r w:rsidDel="00000000" w:rsidR="00000000" w:rsidRPr="00000000">
        <w:rPr>
          <w:rtl w:val="0"/>
        </w:rPr>
        <w:t xml:space="preserve">Bước 2 – Mapping từng field</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Tên viết tắt nơi chuyển: cố định FGB10101</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Tên viết tắt nơi nhận: Store Sub Code (cột AE)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Barcode: MCode (cột 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Số lượng chuyển: QTY Shipped (cột 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Mã thùng: Pack ID ở cột V (dạng SO01261001000297#001)</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Ghi chú barcode: rỗng</w:t>
      </w:r>
    </w:p>
    <w:p w:rsidR="00000000" w:rsidDel="00000000" w:rsidP="00000000" w:rsidRDefault="00000000" w:rsidRPr="00000000" w14:paraId="0000000A">
      <w:pPr>
        <w:spacing w:after="240" w:before="240" w:lineRule="auto"/>
        <w:rPr/>
      </w:pPr>
      <w:r w:rsidDel="00000000" w:rsidR="00000000" w:rsidRPr="00000000">
        <w:rPr>
          <w:rtl w:val="0"/>
        </w:rPr>
        <w:t xml:space="preserve">Bước 3 – Gom dòng</w:t>
        <w:br w:type="textWrapping"/>
        <w:t xml:space="preserve"> Gom các dòng có cùng Nơi nhận và Barcode thành 1 dòng: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Số lượng chuyển: cộng dồn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Mã thùng: lấy các mã không trùng nhau, nối bằng dấu phẩy, không có khoảng trắng (ví dụ: SO01261001000297#001,SO01261001000297#002)</w:t>
      </w:r>
    </w:p>
    <w:p w:rsidR="00000000" w:rsidDel="00000000" w:rsidP="00000000" w:rsidRDefault="00000000" w:rsidRPr="00000000" w14:paraId="0000000D">
      <w:pPr>
        <w:spacing w:after="240" w:before="240" w:lineRule="auto"/>
        <w:rPr/>
      </w:pPr>
      <w:r w:rsidDel="00000000" w:rsidR="00000000" w:rsidRPr="00000000">
        <w:rPr>
          <w:rtl w:val="0"/>
        </w:rPr>
        <w:t xml:space="preserve">Lưu ý:</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Cột Barcode phải giữ dạng text, để không bị mất số 0 ở đầu.</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Số lượng lấy theo QTY Shipped, không lấy QTY Ordered, vì có dòng số xuất thực tế khác với số đặt.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File gốc có 2 cột cùng tên Pack ID. Cột P là đơn vị tính (THUNG, CAY…), cột V mới là mã thùng.</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Nếu dòng nào có Store Sub Code mà MCode rỗng thì báo lỗi để kiểm tra, không tự lấy mã khác thay vào.</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