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F26A21"/>
            <w:tcMar>
              <w:top w:w="300" w:type="dxa"/>
              <w:bottom w:w="300" w:type="dxa"/>
              <w:start w:w="320" w:type="dxa"/>
              <w:end w:w="3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K-HOMÈS  ·  HỆ THỐNG QUẢN LÝ MUA HÀNG (PMS)</w:t>
            </w:r>
          </w:p>
          <w:p>
            <w:pPr>
              <w:spacing w:before="120" w:after="40" w:line="240" w:lineRule="auto"/>
            </w:pPr>
            <w:r>
              <w:rPr>
                <w:rFonts w:ascii="Calibri" w:hAnsi="Calibri" w:cs="Calibri"/>
                <w:b/>
                <w:i w:val="0"/>
                <w:color w:val="FFE3CE"/>
                <w:sz w:val="22"/>
              </w:rPr>
              <w:t>HƯỚNG DẪN SỬ DỤNG — QUYỂN 3</w:t>
            </w:r>
          </w:p>
          <w:p>
            <w:pPr>
              <w:spacing w:before="40" w:after="12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52"/>
              </w:rPr>
              <w:t>Dành cho Kế toán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FFF1E6"/>
                <w:sz w:val="24"/>
              </w:rPr>
              <w:t>Hoàn thiện thanh toán, hóa đơn, đối chiếu &amp; theo dõi công nợ</w:t>
            </w:r>
          </w:p>
        </w:tc>
      </w:tr>
    </w:tbl>
    <w:p>
      <w:pPr>
        <w:spacing w:before="280" w:after="40" w:line="293" w:lineRule="auto"/>
      </w:pPr>
      <w:r>
        <w:rPr>
          <w:rFonts w:ascii="Calibri" w:hAnsi="Calibri" w:cs="Calibri"/>
          <w:b/>
          <w:i w:val="0"/>
          <w:color w:val="1F2937"/>
          <w:sz w:val="22"/>
        </w:rPr>
        <w:t xml:space="preserve">Đối tượng sử dụng: </w:t>
      </w:r>
      <w:r>
        <w:rPr>
          <w:rFonts w:ascii="Calibri" w:hAnsi="Calibri" w:cs="Calibri"/>
          <w:b w:val="0"/>
          <w:i w:val="0"/>
          <w:color w:val="1F2937"/>
          <w:sz w:val="22"/>
        </w:rPr>
        <w:t>Kế toán — hoàn thiện &amp; duyệt PRQ, chi tiền, nhập/đối chiếu hóa đơn, công nợ, thuế.</w:t>
      </w:r>
    </w:p>
    <w:p>
      <w:pPr>
        <w:spacing w:before="0" w:after="40" w:line="293" w:lineRule="auto"/>
      </w:pPr>
      <w:r>
        <w:rPr>
          <w:rFonts w:ascii="Calibri" w:hAnsi="Calibri" w:cs="Calibri"/>
          <w:b w:val="0"/>
          <w:i w:val="0"/>
          <w:color w:val="64748B"/>
          <w:sz w:val="20"/>
        </w:rPr>
        <w:t>Phiên bản tài liệu: 1.0  ·  Cập nhật: 09/2026</w:t>
      </w:r>
    </w:p>
    <w:p>
      <w:pPr>
        <w:spacing w:before="0" w:after="120" w:line="293" w:lineRule="auto"/>
      </w:pPr>
      <w:r>
        <w:rPr>
          <w:rFonts w:ascii="Calibri" w:hAnsi="Calibri" w:cs="Calibri"/>
          <w:b w:val="0"/>
          <w:i/>
          <w:color w:val="64748B"/>
          <w:sz w:val="20"/>
        </w:rPr>
        <w:t>Tài liệu nội bộ — vui lòng không chia sẻ ra ngoài.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1. Vai trò của bạn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Bạn xử lý </w:t>
      </w:r>
      <w:r>
        <w:rPr>
          <w:rFonts w:ascii="Calibri" w:hAnsi="Calibri" w:cs="Calibri"/>
          <w:b/>
          <w:i w:val="0"/>
          <w:color w:val="1F2937"/>
          <w:sz w:val="22"/>
        </w:rPr>
        <w:t>phần tài chính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của toàn chuỗi: hoàn thiện Đề nghị thanh toán, duyệt cấp 1 và chi tiền, nhập &amp; đối chiếu hóa đơn, theo dõi công nợ và thuế GTGT. Số liệu công nợ, thuế đều </w:t>
      </w:r>
      <w:r>
        <w:rPr>
          <w:rFonts w:ascii="Calibri" w:hAnsi="Calibri" w:cs="Calibri"/>
          <w:b/>
          <w:i w:val="0"/>
          <w:color w:val="1F2937"/>
          <w:sz w:val="22"/>
        </w:rPr>
        <w:t>tự tính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— bạn không nhập tay.</w:t>
      </w:r>
    </w:p>
    <w:p>
      <w:pPr>
        <w:spacing w:before="80" w:after="160" w:line="336" w:lineRule="auto"/>
      </w:pP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PRQ tự sinh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① Hoàn thiện &amp; duyệt PRQ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② Chi tiền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Hóa đơn &amp; Đối chiếu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Công nợ / Thuế (tự tính)  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2. Đăng nhập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Đăng nhập bằng </w:t>
      </w:r>
      <w:r>
        <w:rPr>
          <w:rFonts w:ascii="Calibri" w:hAnsi="Calibri" w:cs="Calibri"/>
          <w:b/>
          <w:i w:val="0"/>
          <w:color w:val="1F2937"/>
          <w:sz w:val="22"/>
        </w:rPr>
        <w:t>Tên đăng nhập + Mật khẩu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do quản trị cấp; lần đầu bắt buộc đổi mật khẩu.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3. Hoàn thiện &amp; duyệt Đề nghị thanh toán (PRQ)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PRQ </w:t>
      </w:r>
      <w:r>
        <w:rPr>
          <w:rFonts w:ascii="Calibri" w:hAnsi="Calibri" w:cs="Calibri"/>
          <w:b/>
          <w:i w:val="0"/>
          <w:color w:val="1F2937"/>
          <w:sz w:val="22"/>
        </w:rPr>
        <w:t>tự sinh khi PO được duyệt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— mỗi đề nghị cho một nhà cung cấp. Vào menu </w:t>
      </w:r>
      <w:r>
        <w:rPr>
          <w:rFonts w:ascii="Calibri" w:hAnsi="Calibri" w:cs="Calibri"/>
          <w:b/>
          <w:i w:val="0"/>
          <w:color w:val="1F2937"/>
          <w:sz w:val="22"/>
        </w:rPr>
        <w:t>Đề nghị thanh toán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để hoàn thiện: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Bổ sung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số tài khoản / tên ngân hàng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(tự điền từ nhà cung cấp, sửa được), loại thanh toán, ngày đến hạn.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Nhập số tiền từng dòng: gõ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tiền trước thuế + %VAT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→ tự ra số tiền gồm thuế (vẫn sửa tay được).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Có thể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gộp thêm PO cùng nhà cung cấp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vào một đề nghị, hoặc xóa bớt dòng để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trả từng phần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Bấm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“Gửi duyệt”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→ duyệt cấp 1 (Kế toán) → cấp 2 (Quản lý) →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“Xuất Excel (mẫu PRQ)”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theo mẫu công ty (kèm số tiền bằng chữ) để ký và lưu hồ sơ.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EAF2FF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E40AF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/>
                <w:i w:val="0"/>
                <w:color w:val="1E40AF"/>
                <w:sz w:val="21"/>
              </w:rPr>
              <w:t xml:space="preserve">Trả từng phần: 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 xml:space="preserve">bạn có thể chi một số tiền tùy ý nhiều lần; hệ thống ghi sổ </w:t>
            </w:r>
            <w:r>
              <w:rPr>
                <w:rFonts w:ascii="Calibri" w:hAnsi="Calibri" w:cs="Calibri"/>
                <w:b/>
                <w:i w:val="0"/>
                <w:color w:val="1F2937"/>
                <w:sz w:val="21"/>
              </w:rPr>
              <w:t>Đã chi / Còn lại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 xml:space="preserve"> cho từng đề nghị. Không cần khai trước số kỳ (khai kỳ chỉ là tùy chọn).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4. Chi tiền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Với PRQ đã duyệt đủ 2 cấp, mở đề nghị và nhập số tiền chi thực tế cho đợt này.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Ghi nhận → hệ thống cập nhật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Đã chi / Còn lại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 Chi tiếp các đợt sau tương tự cho đến khi đủ.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FFF6E5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925A00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/>
                <w:i w:val="0"/>
                <w:color w:val="925A00"/>
                <w:sz w:val="21"/>
              </w:rPr>
              <w:t xml:space="preserve">Ranh giới kiểm soát: 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>chỉ Kế toán (và Quản trị) được ghi nhận chi tiền. Cấp Quản lý duyệt cấp 2 nhưng không tự chi — tách bạch giữa “duyệt” và “chi”.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5. Nhận hàng (GRN) — tùy chọn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Từ PO (đã gửi/xác nhận) bấm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“Tạo phiếu nhận hàng”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, chọn kho &amp; ngày, nhập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số lượng thực nhận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; ghi chú lý do nếu thiếu.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Nhận đủ → PO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“Đã nhận hàng”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; nhận thiếu →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“Nhận một phần”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, nhận tiếp bằng phiếu khác (hệ thống cộng dồn).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EAF2FF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E40AF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/>
                <w:i w:val="0"/>
                <w:color w:val="1E40AF"/>
                <w:sz w:val="21"/>
              </w:rPr>
              <w:t xml:space="preserve">Nhập nhanh từ Excel: 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>phiếu nhận có thể nhập từ Excel (cột Số PO · Mã hàng · SL nhận) — tự khớp về đúng dòng PO. Nhận hàng không thay đổi số lượng đã đặt trên PO.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6. Hóa đơn &amp; Đối chiếu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Menu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Hóa đơn → “+ Nhập hóa đơn”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(hoặc từ PO). Có thể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tải file XML hóa đơn điện tử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để tự điền.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Nhập số hóa đơn, ngày (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phải ≥ ngày PO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), chọn nhà cung cấp thật, VAT; chọn PO và thêm dòng hàng.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Lưu → hệ thống đối chiếu tự động: Nhà cung cấp · Số lượng · Đơn giá theo dòng · VAT &amp; Tổng tiền. Sai lệch trong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ngưỡng cấu hình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vẫn coi là khớp.</w:t>
            </w:r>
          </w:p>
        </w:tc>
      </w:tr>
    </w:tbl>
    <w:p>
      <w:pPr>
        <w:spacing w:after="40"/>
      </w:pP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Kết quả đối chiếu hiển thị bằng 3 trạng thái: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/>
          <w:i w:val="0"/>
          <w:color w:val="0F763B"/>
          <w:sz w:val="22"/>
        </w:rPr>
        <w:t>KHỚP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— cho thanh toán.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/>
          <w:i w:val="0"/>
          <w:color w:val="925A00"/>
          <w:sz w:val="22"/>
        </w:rPr>
        <w:t>CẢNH BÁO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— kiểm tra lại trước khi trả.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/>
          <w:i w:val="0"/>
          <w:color w:val="9F1F3A"/>
          <w:sz w:val="22"/>
        </w:rPr>
        <w:t>SAI LỆCH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— giữ lại, xử lý trước khi trả.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FFF6E5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925A00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/>
                <w:i w:val="0"/>
                <w:color w:val="925A00"/>
                <w:sz w:val="21"/>
              </w:rPr>
              <w:t xml:space="preserve">Chống trùng &amp; điều chỉnh: 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 xml:space="preserve">cùng nhà cung cấp + cùng số hóa đơn sẽ bị chặn nhập lại. Nếu PO sai so với hóa đơn điện tử → sửa PO rồi bấm </w:t>
            </w:r>
            <w:r>
              <w:rPr>
                <w:rFonts w:ascii="Calibri" w:hAnsi="Calibri" w:cs="Calibri"/>
                <w:b/>
                <w:i w:val="0"/>
                <w:color w:val="1F2937"/>
                <w:sz w:val="21"/>
              </w:rPr>
              <w:t>“Đối chiếu lại”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7. Đồng bộ hóa đơn từ Google Sheet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Hóa đơn điện tử đã gom về Google Sheet được </w:t>
      </w:r>
      <w:r>
        <w:rPr>
          <w:rFonts w:ascii="Calibri" w:hAnsi="Calibri" w:cs="Calibri"/>
          <w:b/>
          <w:i w:val="0"/>
          <w:color w:val="1F2937"/>
          <w:sz w:val="22"/>
        </w:rPr>
        <w:t>tự ghép vào PO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theo khóa: nhà cung cấp (MST) + mã hàng + đơn giá + số tiền — </w:t>
      </w:r>
      <w:r>
        <w:rPr>
          <w:rFonts w:ascii="Calibri" w:hAnsi="Calibri" w:cs="Calibri"/>
          <w:b/>
          <w:i w:val="0"/>
          <w:color w:val="1F2937"/>
          <w:sz w:val="22"/>
        </w:rPr>
        <w:t>không cần nhập Số PO</w:t>
      </w:r>
      <w:r>
        <w:rPr>
          <w:rFonts w:ascii="Calibri" w:hAnsi="Calibri" w:cs="Calibri"/>
          <w:b w:val="0"/>
          <w:i w:val="0"/>
          <w:color w:val="1F2937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Vào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Hóa đơn → “Đồng bộ hóa đơn”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→ bấm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“Quét hóa đơn từ Google Sheet”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Hệ thống chỉ lấy hóa đơn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Mua vào của công ty mình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, hiện mức </w:t>
            </w:r>
            <w:r>
              <w:rPr>
                <w:rFonts w:ascii="Calibri" w:hAnsi="Calibri" w:cs="Calibri"/>
                <w:b/>
                <w:i w:val="0"/>
                <w:color w:val="0F763B"/>
                <w:sz w:val="22"/>
              </w:rPr>
              <w:t>TỰ ĐỘNG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(khớp chắc) hoặc </w:t>
            </w:r>
            <w:r>
              <w:rPr>
                <w:rFonts w:ascii="Calibri" w:hAnsi="Calibri" w:cs="Calibri"/>
                <w:b/>
                <w:i w:val="0"/>
                <w:color w:val="925A00"/>
                <w:sz w:val="22"/>
              </w:rPr>
              <w:t>CẦN XEM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kèm PO gợi ý + lý do.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Tick chọn hóa đơn muốn nhập (mục TỰ ĐỘNG tick sẵn), chỉnh PO nếu cần, rồi bấm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“Nhập N hóa đơn đã chọn”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→ lưu + đối chiếu.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8. Thanh toán nhiều đợt &amp; điều chỉnh giảm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Trên hóa đơn đã </w:t>
      </w:r>
      <w:r>
        <w:rPr>
          <w:rFonts w:ascii="Calibri" w:hAnsi="Calibri" w:cs="Calibri"/>
          <w:b/>
          <w:i w:val="0"/>
          <w:color w:val="1F2937"/>
          <w:sz w:val="22"/>
        </w:rPr>
        <w:t>Khớp/Cảnh báo</w:t>
      </w:r>
      <w:r>
        <w:rPr>
          <w:rFonts w:ascii="Calibri" w:hAnsi="Calibri" w:cs="Calibri"/>
          <w:b w:val="0"/>
          <w:i w:val="0"/>
          <w:color w:val="1F2937"/>
          <w:sz w:val="22"/>
        </w:rPr>
        <w:t>, khung Thanh toán cho thấy Tổng · Đã trả · Còn lại + lịch sử.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Nhập số tiền, chọn phương thức &amp; số tham chiếu →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“Ghi nhận”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(hoặc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“Trả hết”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Trả đủ → hóa đơn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“Đã thanh toán”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(không cho trả vượt).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 xml:space="preserve">Điều chỉnh giảm (Credit Note):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khi trả hàng/giảm giá sau hóa đơn — nhập số tiền giảm, hệ thống trừ vào nghĩa vụ phải trả.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9. Công nợ nhà cung cấp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Menu </w:t>
      </w:r>
      <w:r>
        <w:rPr>
          <w:rFonts w:ascii="Calibri" w:hAnsi="Calibri" w:cs="Calibri"/>
          <w:b/>
          <w:i w:val="0"/>
          <w:color w:val="1F2937"/>
          <w:sz w:val="22"/>
        </w:rPr>
        <w:t>Tài chính → “Công nợ NCC”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. Số phải trả </w:t>
      </w:r>
      <w:r>
        <w:rPr>
          <w:rFonts w:ascii="Calibri" w:hAnsi="Calibri" w:cs="Calibri"/>
          <w:b/>
          <w:i w:val="0"/>
          <w:color w:val="1F2937"/>
          <w:sz w:val="22"/>
        </w:rPr>
        <w:t>tự tính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= hóa đơn − đã thanh toán − điều chỉnh giảm.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Chia theo </w:t>
      </w:r>
      <w:r>
        <w:rPr>
          <w:rFonts w:ascii="Calibri" w:hAnsi="Calibri" w:cs="Calibri"/>
          <w:b/>
          <w:i w:val="0"/>
          <w:color w:val="1F2937"/>
          <w:sz w:val="22"/>
        </w:rPr>
        <w:t>tuổi nợ</w:t>
      </w:r>
      <w:r>
        <w:rPr>
          <w:rFonts w:ascii="Calibri" w:hAnsi="Calibri" w:cs="Calibri"/>
          <w:b w:val="0"/>
          <w:i w:val="0"/>
          <w:color w:val="1F2937"/>
          <w:sz w:val="22"/>
        </w:rPr>
        <w:t>: chưa đến hạn · 1–30 · 31–60 · 61–90 · trên 90 ngày (đến hạn = ngày hóa đơn + điều khoản NET của NCC).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Bấm tên nhà cung cấp để xem từng hóa đơn còn nợ; badge đỏ “Trễ Nn” cho khoản quá hạn.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10. Dashboard thuế GTGT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Menu </w:t>
      </w:r>
      <w:r>
        <w:rPr>
          <w:rFonts w:ascii="Calibri" w:hAnsi="Calibri" w:cs="Calibri"/>
          <w:b/>
          <w:i w:val="0"/>
          <w:color w:val="1F2937"/>
          <w:sz w:val="22"/>
        </w:rPr>
        <w:t>Tài chính → “Dashboard thuế”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. Tổng hợp </w:t>
      </w:r>
      <w:r>
        <w:rPr>
          <w:rFonts w:ascii="Calibri" w:hAnsi="Calibri" w:cs="Calibri"/>
          <w:b/>
          <w:i w:val="0"/>
          <w:color w:val="1F2937"/>
          <w:sz w:val="22"/>
        </w:rPr>
        <w:t>thuế GTGT đầu vào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từ hóa đơn theo tháng và theo nhà cung cấp, chọn năm — phục vụ đối chiếu tờ khai.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11. Danh mục: NCC, Hàng hóa, Khách hàng, Dự án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/>
          <w:i w:val="0"/>
          <w:color w:val="1F2937"/>
          <w:sz w:val="22"/>
        </w:rPr>
        <w:t xml:space="preserve">Thêm/Sửa/Xóa: 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nút </w:t>
      </w:r>
      <w:r>
        <w:rPr>
          <w:rFonts w:ascii="Calibri" w:hAnsi="Calibri" w:cs="Calibri"/>
          <w:b/>
          <w:i w:val="0"/>
          <w:color w:val="1F2937"/>
          <w:sz w:val="22"/>
        </w:rPr>
        <w:t>“+ Thêm”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/ </w:t>
      </w:r>
      <w:r>
        <w:rPr>
          <w:rFonts w:ascii="Calibri" w:hAnsi="Calibri" w:cs="Calibri"/>
          <w:b/>
          <w:i w:val="0"/>
          <w:color w:val="1F2937"/>
          <w:sz w:val="22"/>
        </w:rPr>
        <w:t>“Sửa”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trên mỗi thẻ. Mục đã phát sinh chứng từ sẽ chuyển </w:t>
      </w:r>
      <w:r>
        <w:rPr>
          <w:rFonts w:ascii="Calibri" w:hAnsi="Calibri" w:cs="Calibri"/>
          <w:b/>
          <w:i w:val="0"/>
          <w:color w:val="1F2937"/>
          <w:sz w:val="22"/>
        </w:rPr>
        <w:t>“Ngưng”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thay vì xóa để không vỡ dữ liệu.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/>
          <w:i w:val="0"/>
          <w:color w:val="1F2937"/>
          <w:sz w:val="22"/>
        </w:rPr>
        <w:t xml:space="preserve">Nhập Excel: 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tự dò tiêu đề; trùng mã → cập nhật. Tick </w:t>
      </w:r>
      <w:r>
        <w:rPr>
          <w:rFonts w:ascii="Calibri" w:hAnsi="Calibri" w:cs="Calibri"/>
          <w:b/>
          <w:i w:val="0"/>
          <w:color w:val="1F2937"/>
          <w:sz w:val="22"/>
        </w:rPr>
        <w:t>“Đồng bộ đầy đủ”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để xóa mục không có trong file.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/>
          <w:i w:val="0"/>
          <w:color w:val="1F2937"/>
          <w:sz w:val="22"/>
        </w:rPr>
        <w:t xml:space="preserve">Xuất Excel: </w:t>
      </w:r>
      <w:r>
        <w:rPr>
          <w:rFonts w:ascii="Calibri" w:hAnsi="Calibri" w:cs="Calibri"/>
          <w:b w:val="0"/>
          <w:i w:val="0"/>
          <w:color w:val="1F2937"/>
          <w:sz w:val="22"/>
        </w:rPr>
        <w:t>xuất đúng bộ lọc đang xem; xuất ra rồi nhập lại được.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Dự án có </w:t>
      </w:r>
      <w:r>
        <w:rPr>
          <w:rFonts w:ascii="Calibri" w:hAnsi="Calibri" w:cs="Calibri"/>
          <w:b/>
          <w:i w:val="0"/>
          <w:color w:val="1F2937"/>
          <w:sz w:val="22"/>
        </w:rPr>
        <w:t>ngân sách</w:t>
      </w:r>
      <w:r>
        <w:rPr>
          <w:rFonts w:ascii="Calibri" w:hAnsi="Calibri" w:cs="Calibri"/>
          <w:b w:val="0"/>
          <w:i w:val="0"/>
          <w:color w:val="1F2937"/>
          <w:sz w:val="22"/>
        </w:rPr>
        <w:t>: trang dự án hiện Ngân sách · Đã cam kết (PO) · Còn lại. Đặt ngân sách hợp lý để kiểm soát chặn vượt khi duyệt.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12. Mẹo cho kế toán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Ưu tiên đồng bộ hóa đơn từ Google Sheet để đỡ nhập tay và tránh sai sót.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Hóa đơn SAI LỆCH → kiểm tra PO trước; sửa PO rồi “Đối chiếu lại” thay vì tạo hóa đơn mới.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Xuất Excel PRQ mẫu công ty ngay sau khi duyệt đủ 2 cấp để kịp trình ký.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Công nợ và thuế tự cập nhật theo hóa đơn — đừng chỉnh tay, hãy sửa từ chứng từ gốc.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Hỗ trợ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Nếu gặp trục trặc hoặc cần cấp/đổi tài khoản, vui lòng liên hệ bộ phận quản trị hệ thống. Khi báo lỗi, hãy chụp màn hình và ghi rõ mã chứng từ (PR/PO/PRQ) đang thao tác để được hỗ trợ nhanh.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Trong ứng dụng luôn có mục </w:t>
      </w:r>
      <w:r>
        <w:rPr>
          <w:rFonts w:ascii="Calibri" w:hAnsi="Calibri" w:cs="Calibri"/>
          <w:b/>
          <w:i w:val="0"/>
          <w:color w:val="1F2937"/>
          <w:sz w:val="22"/>
        </w:rPr>
        <w:t>“Hướng dẫn”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ở menu — hiển thị đúng phần việc theo vai trò của bạn và luôn cập nhật theo phiên bản mới nhất.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64748B"/>
        <w:sz w:val="17"/>
      </w:rPr>
      <w:t>K-Homès · Hệ thống Quản lý Mua hàng (PMS)  ·  Quyển 3 — Kế toán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