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jc w:val="center"/>
      </w:pPr>
      <w:r>
        <w:rPr>
          <w:rFonts w:ascii="Times New Roman" w:cs="Times New Roman" w:eastAsia="Times New Roman" w:hAnsi="Times New Roman"/>
          <w:b/>
          <w:bCs/>
          <w:i w:val="false"/>
          <w:iCs w:val="false"/>
          <w:color w:val="CC0000"/>
          <w:sz w:val="32"/>
          <w:szCs w:val="32"/>
        </w:rPr>
        <w:t xml:space="preserve">TÀI LIỆU HIỂU SÂU VÀ CHUẨN BỊ BẢO VỆ LUẬN VĂN THẠC SĨ</w:t>
      </w:r>
    </w:p>
    <w:p>
      <w:pPr>
        <w:spacing w:after="500"/>
        <w:jc w:val="center"/>
      </w:pPr>
      <w:r>
        <w:rPr>
          <w:rFonts w:ascii="Times New Roman" w:cs="Times New Roman" w:eastAsia="Times New Roman" w:hAnsi="Times New Roman"/>
          <w:b w:val="false"/>
          <w:bCs w:val="false"/>
          <w:i/>
          <w:iCs/>
          <w:color w:val="262626"/>
          <w:sz w:val="26"/>
          <w:szCs w:val="26"/>
        </w:rPr>
        <w:t xml:space="preserve">Ứng dụng Khai phá Dữ liệu trong Dự báo Thời gian Xử lý và Tối ưu hóa Giá Báo thầu tại Doanh nghiệp Phân phối Vật tư Công nghiệp B2B</w:t>
      </w:r>
    </w:p>
    <w:p>
      <w:pPr>
        <w:spacing w:after="300"/>
        <w:jc w:val="center"/>
      </w:pPr>
      <w:r>
        <w:rPr>
          <w:rFonts w:ascii="Times New Roman" w:cs="Times New Roman" w:eastAsia="Times New Roman" w:hAnsi="Times New Roman"/>
          <w:b/>
          <w:bCs/>
          <w:i w:val="false"/>
          <w:iCs w:val="false"/>
          <w:color w:val="262626"/>
          <w:sz w:val="26"/>
          <w:szCs w:val="26"/>
        </w:rPr>
        <w:t xml:space="preserve">Lý thuyết — Áp dụng — Ý nghĩa — Câu hỏi phản biện</w:t>
      </w:r>
    </w:p>
    <w:p>
      <w:pPr>
        <w:spacing w:after="200"/>
        <w:jc w:val="center"/>
      </w:pPr>
      <w:r>
        <w:rPr>
          <w:rFonts w:ascii="Times New Roman" w:cs="Times New Roman" w:eastAsia="Times New Roman" w:hAnsi="Times New Roman"/>
          <w:b w:val="false"/>
          <w:bCs w:val="false"/>
          <w:i w:val="false"/>
          <w:iCs w:val="false"/>
          <w:color w:val="262626"/>
          <w:sz w:val="24"/>
          <w:szCs w:val="24"/>
        </w:rPr>
        <w:t xml:space="preserve">Ngành Kỹ thuật Hệ thống Công nghiệp · Học viên Chu Thái Nguyên</w:t>
      </w:r>
    </w:p>
    <w:p>
      <w:pPr>
        <w:spacing w:after="600"/>
        <w:jc w:val="center"/>
      </w:pPr>
      <w:r>
        <w:rPr>
          <w:rFonts w:ascii="Times New Roman" w:cs="Times New Roman" w:eastAsia="Times New Roman" w:hAnsi="Times New Roman"/>
          <w:b w:val="false"/>
          <w:bCs w:val="false"/>
          <w:i/>
          <w:iCs/>
          <w:color w:val="737373"/>
          <w:sz w:val="22"/>
          <w:szCs w:val="22"/>
        </w:rPr>
        <w:t xml:space="preserve">Tài liệu học tập cá nhân — không nộp kèm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Mọi con số trong tài liệu được đọc tự động từ các tệp kết quả JSON của luận văn (thư mục src), nên khớp với bản nộp. Các bảng và hình được đánh số riêng (Bảng 0.x, Hình 0.x) để không lẫn với số bảng, số hình trong luận văn; khi trích dẫn trước hội đồng, hãy dùng số trong luận văn được ghi kèm trong ngoặc.</w:t>
      </w:r>
    </w:p>
    <w:p>
      <w:r>
        <w:br w:type="page"/>
      </w:r>
    </w:p>
    <w:p>
      <w:pPr>
        <w:pStyle w:val="Heading1"/>
        <w:spacing w:after="240"/>
      </w:pPr>
      <w:r>
        <w:rPr>
          <w:rFonts w:ascii="Times New Roman" w:cs="Times New Roman" w:eastAsia="Times New Roman" w:hAnsi="Times New Roman"/>
          <w:b/>
          <w:bCs/>
          <w:i w:val="false"/>
          <w:iCs w:val="false"/>
          <w:color w:val="CC0000"/>
          <w:sz w:val="30"/>
          <w:szCs w:val="30"/>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pPr>
        <w:jc w:val="center"/>
      </w:pPr>
      <w:r>
        <w:rPr>
          <w:rFonts w:ascii="Times New Roman" w:cs="Times New Roman" w:eastAsia="Times New Roman" w:hAnsi="Times New Roman"/>
          <w:b w:val="false"/>
          <w:bCs w:val="false"/>
          <w:i/>
          <w:iCs/>
          <w:color w:val="737373"/>
          <w:sz w:val="20"/>
          <w:szCs w:val="20"/>
        </w:rPr>
        <w:t xml:space="preserve">(Trong Word: nhấp phải vào mục lục → Update Field để hiện số trang)</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0. CÁCH DÙNG TÀI LIỆU VÀ BẢN ĐỒ LUẬN VĂN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0.1. Tài liệu này dùng để làm gì</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Tài liệu được viết để anh đọc hiểu toàn bộ luận văn từ gốc: mỗi phương pháp được trình bày theo ba lớp — ① lý thuyết (trực giác trước, công thức sau), ② cách nó được áp dụng vào dữ liệu của luận văn kèm con số thật, và ③ ý nghĩa — tức điều mà con số đó cho phép và không cho phép kết luận. Cuối mỗi phần là các câu hỏi hội đồng hay hỏi kèm gợi ý trả lời. Mọi con số trong tài liệu được đọc tự động từ cùng các tệp JSON sinh ra luận văn, nên khớp tuyệt đối với bản nộp.</w:t>
      </w:r>
    </w:p>
    <w:p>
      <w:pPr>
        <w:pBdr>
          <w:left w:val="single" w:color="008448" w:sz="18"/>
        </w:pBdr>
        <w:shd w:fill="EEF5EC" w:val="clear"/>
        <w:spacing w:after="140" w:before="100" w:line="300"/>
        <w:ind w:left="160" w:right="80"/>
        <w:jc w:val="left"/>
      </w:pPr>
      <w:r>
        <w:rPr>
          <w:rFonts w:ascii="Times New Roman" w:cs="Times New Roman" w:eastAsia="Times New Roman" w:hAnsi="Times New Roman"/>
          <w:b/>
          <w:bCs/>
          <w:color w:val="008448"/>
          <w:sz w:val="24"/>
          <w:szCs w:val="24"/>
        </w:rPr>
        <w:t xml:space="preserve">Lộ trình đọc gợi ý (khoảng 10–12 buổi)</w:t>
      </w:r>
      <w:r>
        <w:br/>
      </w:r>
      <w:r>
        <w:rPr>
          <w:rFonts w:ascii="Times New Roman" w:cs="Times New Roman" w:eastAsia="Times New Roman" w:hAnsi="Times New Roman"/>
          <w:color w:val="262626"/>
          <w:sz w:val="23"/>
          <w:szCs w:val="23"/>
        </w:rPr>
        <w:t xml:space="preserve">▸ Buổi 1: Phần 0 và Phần I — nắm mạch lập luận và bối cảnh. Tự trình bày lại bằng lời trong 2 phút.</w:t>
      </w:r>
      <w:r>
        <w:br/>
      </w:r>
      <w:r>
        <w:rPr>
          <w:rFonts w:ascii="Times New Roman" w:cs="Times New Roman" w:eastAsia="Times New Roman" w:hAnsi="Times New Roman"/>
          <w:color w:val="262626"/>
          <w:sz w:val="23"/>
          <w:szCs w:val="23"/>
        </w:rPr>
        <w:t xml:space="preserve">▸ Buổi 2–3: Phần II (BT1) — hồi quy, chẩn đoán phần dư, HC3, phân rã phương sai.</w:t>
      </w:r>
      <w:r>
        <w:br/>
      </w:r>
      <w:r>
        <w:rPr>
          <w:rFonts w:ascii="Times New Roman" w:cs="Times New Roman" w:eastAsia="Times New Roman" w:hAnsi="Times New Roman"/>
          <w:color w:val="262626"/>
          <w:sz w:val="23"/>
          <w:szCs w:val="23"/>
        </w:rPr>
        <w:t xml:space="preserve">▸ Buổi 4–5: Phần III (BT2) — logistic, AUC, hiệu chuẩn, rò rỉ dữ liệu, nội sinh.</w:t>
      </w:r>
      <w:r>
        <w:br/>
      </w:r>
      <w:r>
        <w:rPr>
          <w:rFonts w:ascii="Times New Roman" w:cs="Times New Roman" w:eastAsia="Times New Roman" w:hAnsi="Times New Roman"/>
          <w:color w:val="262626"/>
          <w:sz w:val="23"/>
          <w:szCs w:val="23"/>
        </w:rPr>
        <w:t xml:space="preserve">▸ Buổi 6–7: Phần IV (BT3) — tối ưu giá, điều kiện bậc nhất, lý thuyết đấu giá, giá bóng, giả dược.</w:t>
      </w:r>
      <w:r>
        <w:br/>
      </w:r>
      <w:r>
        <w:rPr>
          <w:rFonts w:ascii="Times New Roman" w:cs="Times New Roman" w:eastAsia="Times New Roman" w:hAnsi="Times New Roman"/>
          <w:color w:val="262626"/>
          <w:sz w:val="23"/>
          <w:szCs w:val="23"/>
        </w:rPr>
        <w:t xml:space="preserve">▸ Buổi 8: Phần V (mô phỏng) — hàng đợi, quy tắc ưu tiên, mặt phẳng chuyển pha.</w:t>
      </w:r>
      <w:r>
        <w:br/>
      </w:r>
      <w:r>
        <w:rPr>
          <w:rFonts w:ascii="Times New Roman" w:cs="Times New Roman" w:eastAsia="Times New Roman" w:hAnsi="Times New Roman"/>
          <w:color w:val="262626"/>
          <w:sz w:val="23"/>
          <w:szCs w:val="23"/>
        </w:rPr>
        <w:t xml:space="preserve">▸ Buổi 9: Phần VI–VII — thiết kế thực nghiệm, CRISP-DM và vị trí của IE.</w:t>
      </w:r>
      <w:r>
        <w:br/>
      </w:r>
      <w:r>
        <w:rPr>
          <w:rFonts w:ascii="Times New Roman" w:cs="Times New Roman" w:eastAsia="Times New Roman" w:hAnsi="Times New Roman"/>
          <w:color w:val="262626"/>
          <w:sz w:val="23"/>
          <w:szCs w:val="23"/>
        </w:rPr>
        <w:t xml:space="preserve">▸ Buổi 10–12: Phần VIII–X — điểm yếu, bộ câu hỏi phản biện, bảng tra số liệu. Tập trả lời thành tiếng.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0.2. Mạch lập luận của luận văn trong một trang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Câu chuyện của luận văn có thể kể trong năm bước, và hội đồng sẽ đánh giá anh trước hết ở việc anh kể được mạch này một cách tự nhiên:</w:t>
      </w:r>
    </w:p>
    <w:p>
      <w:pPr>
        <w:spacing w:after="120" w:line="360"/>
        <w:jc w:val="both"/>
      </w:pPr>
      <w:r>
        <w:rPr>
          <w:rFonts w:ascii="Times New Roman" w:cs="Times New Roman" w:eastAsia="Times New Roman" w:hAnsi="Times New Roman"/>
          <w:b/>
          <w:bCs/>
          <w:i w:val="false"/>
          <w:iCs w:val="false"/>
          <w:color w:val="262626"/>
          <w:sz w:val="26"/>
          <w:szCs w:val="26"/>
        </w:rPr>
        <w:t xml:space="preserve">Bước 1 — Vấn đề. </w:t>
      </w:r>
      <w:r>
        <w:rPr>
          <w:rFonts w:ascii="Times New Roman" w:cs="Times New Roman" w:eastAsia="Times New Roman" w:hAnsi="Times New Roman"/>
          <w:b w:val="false"/>
          <w:bCs w:val="false"/>
          <w:i w:val="false"/>
          <w:iCs w:val="false"/>
          <w:color w:val="262626"/>
          <w:sz w:val="26"/>
          <w:szCs w:val="26"/>
        </w:rPr>
        <w:t xml:space="preserve">Doanh nghiệp phân phối vật tư B2B xử lý 1.500 hồ sơ báo giá (RFQ) với 8.249 dòng hàng trong 299 ngày. Có hai bất thường: 37,67% hồ sơ vi phạm cam kết 7 ngày, và hệ số markup gần như không đổi (biên độ 0,35 điểm %) dù tỷ lệ thắng giảm 22,1 điểm % khi cạnh tranh tăng.</w:t>
      </w:r>
    </w:p>
    <w:p>
      <w:pPr>
        <w:spacing w:after="120" w:line="360"/>
        <w:jc w:val="both"/>
      </w:pPr>
      <w:r>
        <w:rPr>
          <w:rFonts w:ascii="Times New Roman" w:cs="Times New Roman" w:eastAsia="Times New Roman" w:hAnsi="Times New Roman"/>
          <w:b/>
          <w:bCs/>
          <w:i w:val="false"/>
          <w:iCs w:val="false"/>
          <w:color w:val="262626"/>
          <w:sz w:val="26"/>
          <w:szCs w:val="26"/>
        </w:rPr>
        <w:t xml:space="preserve">Bước 2 — BT1 (thời gian). </w:t>
      </w:r>
      <w:r>
        <w:rPr>
          <w:rFonts w:ascii="Times New Roman" w:cs="Times New Roman" w:eastAsia="Times New Roman" w:hAnsi="Times New Roman"/>
          <w:b w:val="false"/>
          <w:bCs w:val="false"/>
          <w:i w:val="false"/>
          <w:iCs w:val="false"/>
          <w:color w:val="262626"/>
          <w:sz w:val="26"/>
          <w:szCs w:val="26"/>
        </w:rPr>
        <w:t xml:space="preserve">Biến động thời gian không đồng đều giữa 4 khâu; 47,4% phương sai tổng là đồng biến động giữa các khâu; Pricing là nút thắt và độc lập với khâu đầu. BT1 xuất thời gian dự báo (TAT_pred) cho BT2.</w:t>
      </w:r>
    </w:p>
    <w:p>
      <w:pPr>
        <w:spacing w:after="120" w:line="360"/>
        <w:jc w:val="both"/>
      </w:pPr>
      <w:r>
        <w:rPr>
          <w:rFonts w:ascii="Times New Roman" w:cs="Times New Roman" w:eastAsia="Times New Roman" w:hAnsi="Times New Roman"/>
          <w:b/>
          <w:bCs/>
          <w:i w:val="false"/>
          <w:iCs w:val="false"/>
          <w:color w:val="262626"/>
          <w:sz w:val="26"/>
          <w:szCs w:val="26"/>
        </w:rPr>
        <w:t xml:space="preserve">Bước 3 — BT2 (thắng/thua). </w:t>
      </w:r>
      <w:r>
        <w:rPr>
          <w:rFonts w:ascii="Times New Roman" w:cs="Times New Roman" w:eastAsia="Times New Roman" w:hAnsi="Times New Roman"/>
          <w:b w:val="false"/>
          <w:bCs w:val="false"/>
          <w:i w:val="false"/>
          <w:iCs w:val="false"/>
          <w:color w:val="262626"/>
          <w:sz w:val="26"/>
          <w:szCs w:val="26"/>
        </w:rPr>
        <w:t xml:space="preserve">Logistic dự báo xác suất thắng với AUC ngoài mẫu 0,781; giá quan trọng nhất nhưng yếu tố phi giá rất mạnh; hàng đợi và thời gian phản hồi có liên hệ âm với xác suất thắng (có điều kiện, chưa phải nhân quả).</w:t>
      </w:r>
    </w:p>
    <w:p>
      <w:pPr>
        <w:spacing w:after="120" w:line="360"/>
        <w:jc w:val="both"/>
      </w:pPr>
      <w:r>
        <w:rPr>
          <w:rFonts w:ascii="Times New Roman" w:cs="Times New Roman" w:eastAsia="Times New Roman" w:hAnsi="Times New Roman"/>
          <w:b/>
          <w:bCs/>
          <w:i w:val="false"/>
          <w:iCs w:val="false"/>
          <w:color w:val="262626"/>
          <w:sz w:val="26"/>
          <w:szCs w:val="26"/>
        </w:rPr>
        <w:t xml:space="preserve">Bước 4 — BT3 (giá). </w:t>
      </w:r>
      <w:r>
        <w:rPr>
          <w:rFonts w:ascii="Times New Roman" w:cs="Times New Roman" w:eastAsia="Times New Roman" w:hAnsi="Times New Roman"/>
          <w:b w:val="false"/>
          <w:bCs w:val="false"/>
          <w:i w:val="false"/>
          <w:iCs w:val="false"/>
          <w:color w:val="262626"/>
          <w:sz w:val="26"/>
          <w:szCs w:val="26"/>
        </w:rPr>
        <w:t xml:space="preserve">Tối ưu giá theo xác suất thắng (CBPO) cho +13,91% lợi nhuận kỳ vọng. Cân bằng Bayesian Nash thuần giá (A, B) thất bại; đặc tả C phục hồi nhưng vẫn thua CBPO. Giá bóng năng lực gắn vào giá không tạo giá trị (giả dược).</w:t>
      </w:r>
    </w:p>
    <w:p>
      <w:pPr>
        <w:spacing w:after="120" w:line="360"/>
        <w:jc w:val="both"/>
      </w:pPr>
      <w:r>
        <w:rPr>
          <w:rFonts w:ascii="Times New Roman" w:cs="Times New Roman" w:eastAsia="Times New Roman" w:hAnsi="Times New Roman"/>
          <w:b/>
          <w:bCs/>
          <w:i w:val="false"/>
          <w:iCs w:val="false"/>
          <w:color w:val="262626"/>
          <w:sz w:val="26"/>
          <w:szCs w:val="26"/>
        </w:rPr>
        <w:t xml:space="preserve">Bước 5 — Mô phỏng và kết luận. </w:t>
      </w:r>
      <w:r>
        <w:rPr>
          <w:rFonts w:ascii="Times New Roman" w:cs="Times New Roman" w:eastAsia="Times New Roman" w:hAnsi="Times New Roman"/>
          <w:b w:val="false"/>
          <w:bCs w:val="false"/>
          <w:i w:val="false"/>
          <w:iCs w:val="false"/>
          <w:color w:val="262626"/>
          <w:sz w:val="26"/>
          <w:szCs w:val="26"/>
        </w:rPr>
        <w:t xml:space="preserve">Cùng giá bóng đó, dùng để XẾP THỨ TỰ xử lý tại pha Sales-WBS, vượt giả dược +1,91 đến +6,56 điểm % lợi nhuận ròng trong mô phỏng. Kết luận: giá là đòn bẩy cho biên lợi nhuận; điều phối tiếp nhận là đòn bẩy cho năng lực.</w:t>
      </w:r>
    </w:p>
    <w:p>
      <w:pPr>
        <w:keepNext/>
        <w:spacing w:after="40" w:before="120"/>
        <w:jc w:val="center"/>
      </w:pPr>
      <w:r>
        <w:drawing>
          <wp:inline distT="0" distB="0" distL="0" distR="0">
            <wp:extent cx="5486400" cy="2800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486400" cy="2800350"/>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0.1: Khung phương pháp của luận văn (Hình 3.1 trong bản nộp)</w:t>
      </w:r>
    </w:p>
    <w:p>
      <w:pPr>
        <w:pStyle w:val="Heading2"/>
        <w:spacing w:after="120" w:before="240"/>
      </w:pPr>
      <w:r>
        <w:rPr>
          <w:rFonts w:ascii="Times New Roman" w:cs="Times New Roman" w:eastAsia="Times New Roman" w:hAnsi="Times New Roman"/>
          <w:b/>
          <w:bCs/>
          <w:i w:val="false"/>
          <w:iCs w:val="false"/>
          <w:color w:val="262626"/>
          <w:sz w:val="27"/>
          <w:szCs w:val="27"/>
        </w:rPr>
        <w:t xml:space="preserve">0.3. Bài trình bày 2 phút (thuộc lòng ý, không thuộc lòng chữ)</w:t>
      </w:r>
    </w:p>
    <w:p>
      <w:pPr>
        <w:pBdr>
          <w:left w:val="single" w:color="008448" w:sz="18"/>
        </w:pBdr>
        <w:shd w:fill="EEF5EC" w:val="clear"/>
        <w:spacing w:after="140" w:before="100" w:line="300"/>
        <w:ind w:left="160" w:right="80"/>
        <w:jc w:val="left"/>
      </w:pPr>
      <w:r>
        <w:rPr>
          <w:rFonts w:ascii="Times New Roman" w:cs="Times New Roman" w:eastAsia="Times New Roman" w:hAnsi="Times New Roman"/>
          <w:b/>
          <w:bCs/>
          <w:color w:val="008448"/>
          <w:sz w:val="24"/>
          <w:szCs w:val="24"/>
        </w:rPr>
        <w:t xml:space="preserve">Khung 2 phút</w:t>
      </w:r>
      <w:r>
        <w:br/>
      </w:r>
      <w:r>
        <w:rPr>
          <w:rFonts w:ascii="Times New Roman" w:cs="Times New Roman" w:eastAsia="Times New Roman" w:hAnsi="Times New Roman"/>
          <w:color w:val="262626"/>
          <w:sz w:val="23"/>
          <w:szCs w:val="23"/>
        </w:rPr>
        <w:t xml:space="preserve">▸ Vấn đề: báo giá B2B tần suất cao (≈ 39 quyết định giá/ngày làm việc), 37,7% hồ sơ trễ SLA, markup không phản ứng với cạnh tranh.</w:t>
      </w:r>
      <w:r>
        <w:br/>
      </w:r>
      <w:r>
        <w:rPr>
          <w:rFonts w:ascii="Times New Roman" w:cs="Times New Roman" w:eastAsia="Times New Roman" w:hAnsi="Times New Roman"/>
          <w:color w:val="262626"/>
          <w:sz w:val="23"/>
          <w:szCs w:val="23"/>
        </w:rPr>
        <w:t xml:space="preserve">▸ Câu hỏi: thời gian biến động ở đâu (BT1), cái gì quyết định thắng (BT2), nên chào giá nào và năng lực ảnh hưởng ra sao (BT3).</w:t>
      </w:r>
      <w:r>
        <w:br/>
      </w:r>
      <w:r>
        <w:rPr>
          <w:rFonts w:ascii="Times New Roman" w:cs="Times New Roman" w:eastAsia="Times New Roman" w:hAnsi="Times New Roman"/>
          <w:color w:val="262626"/>
          <w:sz w:val="23"/>
          <w:szCs w:val="23"/>
        </w:rPr>
        <w:t xml:space="preserve">▸ Phương pháp: CRISP-DM cho BT1–BT2; tối ưu giá + lý thuyết đấu giá + quản trị doanh thu cho BT3; mô phỏng hàng đợi cho phần liên kỳ; mọi kết luận có kiểm chứng ngoài mẫu, giả dược và độ nhạy.</w:t>
      </w:r>
      <w:r>
        <w:br/>
      </w:r>
      <w:r>
        <w:rPr>
          <w:rFonts w:ascii="Times New Roman" w:cs="Times New Roman" w:eastAsia="Times New Roman" w:hAnsi="Times New Roman"/>
          <w:color w:val="262626"/>
          <w:sz w:val="23"/>
          <w:szCs w:val="23"/>
        </w:rPr>
        <w:t xml:space="preserve">▸ Kết quả: CBPO +13,9%; cân bằng thuần giá thất bại; giá bóng chỉ có giá trị khi dùng để phân luồng.</w:t>
      </w:r>
      <w:r>
        <w:br/>
      </w:r>
      <w:r>
        <w:rPr>
          <w:rFonts w:ascii="Times New Roman" w:cs="Times New Roman" w:eastAsia="Times New Roman" w:hAnsi="Times New Roman"/>
          <w:color w:val="262626"/>
          <w:sz w:val="23"/>
          <w:szCs w:val="23"/>
        </w:rPr>
        <w:t xml:space="preserve">▸ Đóng góp: cổng 3 bước kiểm tra mô hình cân bằng; khung định giá hiệu chuẩn; nguyên tắc tách đòn bẩy giá và đòn bẩy điều phối; thiết kế A/B 3 nhánh.</w:t>
      </w:r>
      <w:r>
        <w:br/>
      </w:r>
      <w:r>
        <w:rPr>
          <w:rFonts w:ascii="Times New Roman" w:cs="Times New Roman" w:eastAsia="Times New Roman" w:hAnsi="Times New Roman"/>
          <w:color w:val="262626"/>
          <w:sz w:val="23"/>
          <w:szCs w:val="23"/>
        </w:rPr>
        <w:t xml:space="preserve">▸ Giới hạn: một doanh nghiệp, dữ liệu quan sát, mô phỏng là bằng chứng định hướng; cần thực nghiệm để khẳng định nhân quả.</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I. BỐI CẢNH VÀ CÁCH NHÌN CỦA KỸ THUẬT HỆ THỐNG CÔNG NGHIỆP</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I.1. Quy trình báo giá là một hệ thống sản xuất dịch vụ</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Trong Kỹ thuật Hệ thống Công nghiệp (IE/ISE), một quy trình được nhìn như hệ thống gồm dòng vào (arrivals), các trạm xử lý (servers/stations) có năng lực hữu hạn, hàng đợi (queues) giữa các trạm, và chỉ tiêu đầu ra (throughput, thời gian chu kỳ, tỷ lệ đáp ứng cam kết). Ba công cụ nền tảng của IE xuất hiện xuyên suốt luận văn: thống kê và dự báo (để đo và giải thích biến động), vận trù học (để tối ưu quyết định), và mô phỏng/thiết kế thực nghiệm (để đánh giá chính sách trước khi triển khai).</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Mỗi hồ sơ RFQ đi qua bốn khâu tuần tự: Sales tiếp nhận → WBS phân rã kỹ thuật → Pricing tính giá → Supply Chain kiểm tra nguồn cung. Thời gian tổng (TAT — turnaround time) có trung vị 6,20 ngày, phân vị 90 là 9,89 ngày; cam kết SLA là 7 ngày. Khâu Pricing có trung bình 2,39 ngày — dài nhất — và chính là nơi ra quyết định giá. Đây là điểm mấu chốt: nguồn lực khan hiếm về thời gian và nguồn lực ra quyết định giá là cùng một đội ngũ.</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Nhìn bằng lăng kính IE, luận văn không chỉ là một bài toán học máy dự báo, mà là bài toán thiết kế hệ thống ra quyết định: dự báo (BT1, BT2) cung cấp đầu vào cho tối ưu (BT3), và tối ưu phải tôn trọng ràng buộc năng lực của hệ thống (giá bóng, mô phỏng hàng đợi). Đây là câu trả lời cho câu hỏi “luận văn này thuộc ngành IE ở điểm nào?”.</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I.2. Hai bất thường làm nên tính cấp thiết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1800"/>
        <w:gridCol w:w="2300"/>
        <w:gridCol w:w="2300"/>
      </w:tblGrid>
      <w:tr>
        <w:trPr>
          <w:cantSplit/>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Cường độ cạnh tranh</w:t>
            </w:r>
          </w:p>
        </w:tc>
        <w:tc>
          <w:tcPr>
            <w:tcW w:type="dxa" w:w="1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Số dòng hàng</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Markup trung bình</w:t>
            </w:r>
          </w:p>
        </w:tc>
        <w:tc>
          <w:tcPr>
            <w:tcW w:type="dxa" w:w="2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Tỷ lệ thắng</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Thấp</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2.123</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1,2705</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74,94%</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Trung bình</w:t>
            </w:r>
          </w:p>
        </w:tc>
        <w:tc>
          <w:tcPr>
            <w:tcW w:type="dxa" w:w="1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4.029</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1,2690</w:t>
            </w:r>
          </w:p>
        </w:tc>
        <w:tc>
          <w:tcPr>
            <w:tcW w:type="dxa" w:w="2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62,84%</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Cao</w:t>
            </w:r>
          </w:p>
        </w:tc>
        <w:tc>
          <w:tcPr>
            <w:tcW w:type="dxa" w:w="1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2.097</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1,2671</w:t>
            </w:r>
          </w:p>
        </w:tc>
        <w:tc>
          <w:tcPr>
            <w:tcW w:type="dxa" w:w="2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52,84%</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0.1: Markup bất động trong khi tỷ lệ thắng biến thiên mạnh (Bảng 1.2 trong bản nộp)</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Diễn giải: nếu doanh nghiệp định giá có tính đến cạnh tranh, markup phải thấp hơn khi nhiều đối thủ. Dữ liệu cho thấy markup gần như hằng số — đây là dấu hiệu của định giá cost-plus (giá = giá vốn × hệ số cố định). Hai khả năng mở ra: doanh nghiệp đang để lại biên lợi nhuận ở nhóm ít cạnh tranh, hoặc mất đơn có thể thắng ở nhóm cạnh tranh cao. Phân định hai khả năng đó là lý do của BT3.</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Vì sao bài toán này xứng đáng là đề tài thạc sĩ chứ không chỉ là việc tác nghiệp?</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Vì ba lý do: (1) đây là quyết định lặp lại tần suất cao — khoảng 38,6 quyết định giá mỗi ngày làm việc — nên cải thiện nhỏ mỗi quyết định nhân lên thành giá trị lớn; (2) có hai bất thường đo được (markup bất động, 37,7% vi phạm SLA); (3) hai bài toán thời gian và giá ràng buộc nhau qua cùng một nguồn lực, nên không thể giải riêng — đó là khoảng trống mà tài liệu chưa xử lý trên dữ liệu B2B thực.</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Đơn vị phân tích của từng bài toán là gì và vì sao?</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BT1 ở cấp hồ sơ (thời gian là thuộc tính của cả hồ sơ, n = 1.500); BT2 và BT3 ở cấp dòng hàng (thắng/thua và giá được ghi cho từng mặt hàng). Vì trung bình 5,50 dòng hàng/hồ sơ, các dòng cùng hồ sơ không độc lập — nên phải tách tập kiểm tra theo hồ sơ, dùng sai số chuẩn cụm, và ngẫu nhiên hóa theo hồ sơ trong A/B.</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II. BÀI TOÁN 1 — HỒI QUY, CHẨN ĐOÁN GIẢ ĐỊNH VÀ PHÂN TÍCH BIẾN ĐỘNG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II.1. Hồi quy tuyến tính OLS và định lý Gauss–Markov</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Hồi quy tuyến tính mô hình hóa biến phụ thuộc y như tổ hợp tuyến tính của các biến độc lập cộng nhiễu. Ước lượng bình phương nhỏ nhất (OLS) chọn hệ số sao cho tổng bình phương phần dư nhỏ nhất, cho nghiệm dạng đóng.</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y = Xβ + ε        β̂ = (X'X)⁻¹ X'y        phần dư e = y − Xβ̂</w:t>
      </w:r>
      <w:r>
        <w:br/>
      </w:r>
      <w:r>
        <w:rPr>
          <w:rFonts w:ascii="Times New Roman" w:cs="Times New Roman" w:eastAsia="Times New Roman" w:hAnsi="Times New Roman"/>
          <w:color w:val="262626"/>
          <w:sz w:val="22"/>
          <w:szCs w:val="22"/>
        </w:rPr>
        <w:t xml:space="preserve">Gauss–Markov: nếu (G1) E[ε|X] = 0, (G2) Var(ε|X) = σ²I, (G3) không tự tương quan, (G4) X đủ hạng</w:t>
      </w:r>
      <w:r>
        <w:br/>
      </w:r>
      <w:r>
        <w:rPr>
          <w:rFonts w:ascii="Times New Roman" w:cs="Times New Roman" w:eastAsia="Times New Roman" w:hAnsi="Times New Roman"/>
          <w:color w:val="262626"/>
          <w:sz w:val="22"/>
          <w:szCs w:val="22"/>
        </w:rPr>
        <w:t xml:space="preserve">thì β̂ là BLUE — ước lượng tuyến tính không chệch có phương sai nhỏ nhất.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Trực giác cần nhớ: giả định phân phối chuẩn KHÔNG cần cho tính không chệch của hệ số; nó chỉ cần cho tính đúng của kiểm định t, F ở mẫu nhỏ. Còn phương sai không đều (vi phạm G2) không làm hệ số chệch, nhưng làm sai số chuẩn — và do đó p-value — sai.</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TAT tổng được hồi quy theo 5 biến quan sát được lúc tiếp nhận: số cấp phê duyệt, số lần làm rõ bản vẽ, độ sâu hàng đợi Pricing, kinh nghiệm kỹ sư, năng suất gần đây. R² = 0,740; VIF của cả 5 biến xấp xỉ 1 nên không có đa cộng tuyến. Biến làm rõ bản vẽ có hệ số lớn nhất ở mọi khâu (Pricing: 0,619 ngày/lần).</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số là “ngày tăng thêm khi biến tăng một đơn vị, giữ các biến khác cố định”. Khi biến đã chuẩn hóa Z-score (Phụ lục A), hệ số là “ngày tăng thêm khi biến tăng một độ lệch chuẩn” — so sánh được giữa các biến khác đơn vị.</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II.2. Chẩn đoán phần dư: Breusch–Pagan, White, Jarque–Bera</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Breusch–Pagan: hồi quy e² theo X → LM = n·R²_phụ ~ χ²(K);  H0: phương sai đều</w:t>
      </w:r>
      <w:r>
        <w:br/>
      </w:r>
      <w:r>
        <w:rPr>
          <w:rFonts w:ascii="Times New Roman" w:cs="Times New Roman" w:eastAsia="Times New Roman" w:hAnsi="Times New Roman"/>
          <w:color w:val="262626"/>
          <w:sz w:val="22"/>
          <w:szCs w:val="22"/>
        </w:rPr>
        <w:t xml:space="preserve">White: hồi quy e² theo X, X², tích chéo → không cần giả định dạng của phương sai thay đổi</w:t>
      </w:r>
      <w:r>
        <w:br/>
      </w:r>
      <w:r>
        <w:rPr>
          <w:rFonts w:ascii="Times New Roman" w:cs="Times New Roman" w:eastAsia="Times New Roman" w:hAnsi="Times New Roman"/>
          <w:color w:val="262626"/>
          <w:sz w:val="22"/>
          <w:szCs w:val="22"/>
        </w:rPr>
        <w:t xml:space="preserve">Jarque–Bera: JB = (n/6)·[S² + (K−3)²/4] ~ χ²(2);  S = độ lệch, K = độ nhọn;  H0: phần dư chuẩn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Hình ảnh trực quan: vẽ phần dư theo giá trị dự báo. Nếu đám điểm loe ra như cái phễu, phương sai tăng theo mức dự báo — đó là phương sai thay đổi (heteroskedasticity). Nếu đám điểm cân đối nhưng có đuôi dài một phía, đó là phần dư lệch (skewness) — một vấn đề khác.</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500"/>
        <w:gridCol w:w="1900"/>
        <w:gridCol w:w="1700"/>
      </w:tblGrid>
      <w:tr>
        <w:trPr>
          <w:cantSplit/>
          <w:tblHeader/>
        </w:trPr>
        <w:tc>
          <w:tcPr>
            <w:tcW w:type="dxa" w:w="2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Thang đo</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BP p</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White p</w:t>
            </w:r>
          </w:p>
        </w:tc>
        <w:tc>
          <w:tcPr>
            <w:tcW w:type="dxa" w:w="1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Độ lệch phần dư</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MAE (ngày)</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TAT gốc</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0,609</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0,553</w:t>
            </w:r>
          </w:p>
        </w:tc>
        <w:tc>
          <w:tcPr>
            <w:tcW w:type="dxa" w:w="1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3,91</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0,8399</w:t>
            </w:r>
          </w:p>
        </w:tc>
      </w:tr>
      <w:tr>
        <w:trPr>
          <w:cantSplit/>
        </w:trPr>
        <w:tc>
          <w:tcPr>
            <w:tcW w:type="dxa" w:w="2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log(TAT)</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&lt; 0,0001</w:t>
            </w:r>
          </w:p>
        </w:tc>
        <w:tc>
          <w:tcPr>
            <w:tcW w:type="dxa" w:w="1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0,20</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0,9107</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0.2: Thang gốc thỏa phương sai đều; log làm xuất hiện phương sai thay đổi</w:t>
      </w:r>
    </w:p>
    <w:p>
      <w:pPr>
        <w:keepNext/>
        <w:spacing w:after="40" w:before="120"/>
        <w:jc w:val="center"/>
      </w:pPr>
      <w:r>
        <w:drawing>
          <wp:inline distT="0" distB="0" distL="0" distR="0">
            <wp:extent cx="5486400" cy="2057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486400" cy="2057400"/>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0.2: Phần dư thang gốc (A) không có dạng phễu; sau log (B) xuất hiện phễu</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Đây là một điểm “ăn điểm” trước hội đồng vì nó cho thấy anh làm theo quy trình chứ không theo thói quen. GVHD dặn “phần dư bất ổn thì transform”. Luận văn kiểm tra TRƯỚC: thang gốc đã có phương sai đều (BP p = 0,609); vấn đề thật là phần dư lệch (độ lệch 3,91). Lấy log sửa được độ lệch nhưng lại TẠO RA phương sai thay đổi và làm MAE xấu đi 8,4%. Vì vậy chọn thang gốc + sai số chuẩn vững HC3.</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II.3. Sai số chuẩn vững HC3 và các phương án xử lý khác</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Var_HC3(β̂) = (X'X)⁻¹ [ Σᵢ eᵢ² / (1 − hᵢᵢ)² · xᵢxᵢ' ] (X'X)⁻¹</w:t>
      </w:r>
      <w:r>
        <w:br/>
      </w:r>
      <w:r>
        <w:rPr>
          <w:rFonts w:ascii="Times New Roman" w:cs="Times New Roman" w:eastAsia="Times New Roman" w:hAnsi="Times New Roman"/>
          <w:color w:val="262626"/>
          <w:sz w:val="22"/>
          <w:szCs w:val="22"/>
        </w:rPr>
        <w:t xml:space="preserve">hᵢᵢ = đòn bẩy (leverage) của quan sát i — phần tử đường chéo của H = X(X'X)⁻¹X'</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HC3 (MacKinnon &amp; White, 1985) giữ nguyên hệ số OLS, chỉ sửa ma trận phương sai để suy luận đúng khi phương sai không đều hoặc phần dư không chuẩn. Chia cho (1−h)² phạt mạnh các điểm đòn bẩy cao, nên HC3 có tính chất mẫu hữu hạn tốt hơn HC0–HC2. Ba nhóm biện pháp khi giả định bị vi phạm: (1) biến đổi biến phụ thuộc (log, Box–Cox) — đổi thang đo và mô hình; (2) sai số vững — giữ thang đo, sửa suy luận; (3) GLM (ví dụ Gamma–log) — đổi giả định phân phối.</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Bốn đặc tả được so sánh (Bảng 4.2): OLS gốc, OLS log, OLS + HC3, GLM Gamma. OLS + HC3 có MAE thấp nhất (0,8399) và thỏa phương sai đều; GLM Gamma có MAE 0,9007 và phương sai không đều.</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quả thực tiễn: dự báo TAT nằm đúng đơn vị “ngày” mà quản lý hiểu được, không cần chuyển ngược từ log (vốn gây chệch khi lấy exp của trung bình log).</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Phần dư không chuẩn (JB bác bỏ) thì kết quả có còn tin được không?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Có, với hai lý do. Thứ nhất, tính không chệch của OLS không cần phân phối chuẩn. Thứ hai, với n = 1.500, định lý giới hạn trung tâm làm phân phối của hệ số xấp xỉ chuẩn; và HC3 bảo vệ suy luận trước cả phương sai không đều lẫn phần dư lệch. Ngoài ra luận văn đánh giá bằng sai số ngoài mẫu (kiểm chứng chéo 5 lớp), không phụ thuộc giả định phân phối.</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Tại sao không dùng log như công trình trước?</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Vì chẩn đoán bác bỏ nó: log làm Breusch–Pagan từ p = 0,609 thành p &lt; 0,0001 và MAE xấu đi 8,4%. Log phù hợp khi phương sai tăng theo mức kỳ vọng (quan hệ nhân); ở đây vấn đề là đuôi lệch, không phải phễu.</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II.4. Chuẩn hóa (standardize) khác co giãn (normalize)</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Z-score:   z = (x − mean) / sd   → trung bình 0, độ lệch chuẩn 1; không bị chặn</w:t>
      </w:r>
      <w:r>
        <w:br/>
      </w:r>
      <w:r>
        <w:rPr>
          <w:rFonts w:ascii="Times New Roman" w:cs="Times New Roman" w:eastAsia="Times New Roman" w:hAnsi="Times New Roman"/>
          <w:color w:val="262626"/>
          <w:sz w:val="22"/>
          <w:szCs w:val="22"/>
        </w:rPr>
        <w:t xml:space="preserve">Min–Max:   x' = (x − min) / (max − min)  → [0,1]; nhạy với ngoại lai ở hai đầu</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Luận văn dùng Z-score cho mọi hệ số cần so sánh (BT1 Phụ lục A, BT2 Bảng 4.6). Với BT2, trung bình và độ lệch chuẩn được tính CHỈ trên tập huấn luyện rồi áp cho tập kiểm tra — nếu tính trên toàn bộ dữ liệu sẽ rò rỉ thông tin tập kiểm tra. TAT có giá trị lớn nhất 24,66 ngày so với trung vị 6,20; Min–Max sẽ dồn đa số quan sát vào một khoảng hẹp.</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II.5. R², R² hiệu chỉnh, AIC, BIC và kiểm chứng chéo</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R² = 1 − SSE/SST  (không bao giờ giảm khi thêm biến)</w:t>
      </w:r>
      <w:r>
        <w:br/>
      </w:r>
      <w:r>
        <w:rPr>
          <w:rFonts w:ascii="Times New Roman" w:cs="Times New Roman" w:eastAsia="Times New Roman" w:hAnsi="Times New Roman"/>
          <w:color w:val="262626"/>
          <w:sz w:val="22"/>
          <w:szCs w:val="22"/>
        </w:rPr>
        <w:t xml:space="preserve">R²_adj = 1 − (1 − R²)(n − 1)/(n − K − 1)</w:t>
      </w:r>
      <w:r>
        <w:br/>
      </w:r>
      <w:r>
        <w:rPr>
          <w:rFonts w:ascii="Times New Roman" w:cs="Times New Roman" w:eastAsia="Times New Roman" w:hAnsi="Times New Roman"/>
          <w:color w:val="262626"/>
          <w:sz w:val="22"/>
          <w:szCs w:val="22"/>
        </w:rPr>
        <w:t xml:space="preserve">AIC = n·ln(SSE/n) + 2(K+1)        BIC = n·ln(SSE/n) + (K+1)·ln n</w:t>
      </w:r>
      <w:r>
        <w:br/>
      </w:r>
      <w:r>
        <w:rPr>
          <w:rFonts w:ascii="Times New Roman" w:cs="Times New Roman" w:eastAsia="Times New Roman" w:hAnsi="Times New Roman"/>
          <w:color w:val="262626"/>
          <w:sz w:val="22"/>
          <w:szCs w:val="22"/>
        </w:rPr>
        <w:t xml:space="preserve">Kiểm chứng chéo k lớp: chia dữ liệu k phần, lần lượt giữ 1 phần để đánh giá</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Lưu ý kỹ thuật hay bị hỏi: hệ số tương quan bội R = √R² là biến đổi đơn điệu của R², nên bị thổi phồng y hệt R² khi thêm biến. Công cụ đúng là chỉ số có phạt số biến (R²_adj, AIC, BIC) hoặc đánh giá ngoài mẫu.</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Phụ lục A.2 làm một thí nghiệm có kiểm soát: thêm 5, 10, 20, 40 biến nhiễu ngẫu nhiên. R² tăng từ 0,7395 lên 0,7464; R² hiệu chỉnh gần như đứng yên (0,7386 → 0,7386); BIC tăng 5258 → 5510; R² kiểm chứng chéo giảm 0,7437 → 0,7337.</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Đây là bằng chứng thực nghiệm cho yêu cầu của GVHD: không dùng R² để so sánh mô hình khác số biến. Câu nói gọn: “R² thưởng cho độ phức tạp, BIC và kiểm chứng chéo phạt nó.”</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II.6. So sánh mức biến động giữa các khâu</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Hệ số biến thiên CV = SD / Mean  (biến động tương đối, so sánh được giữa thang khác nhau)</w:t>
      </w:r>
      <w:r>
        <w:br/>
      </w:r>
      <w:r>
        <w:rPr>
          <w:rFonts w:ascii="Times New Roman" w:cs="Times New Roman" w:eastAsia="Times New Roman" w:hAnsi="Times New Roman"/>
          <w:color w:val="262626"/>
          <w:sz w:val="22"/>
          <w:szCs w:val="22"/>
        </w:rPr>
        <w:t xml:space="preserve">Bartlett: kiểm định phương sai bằng nhau, rất nhạy với phi chuẩn</w:t>
      </w:r>
      <w:r>
        <w:br/>
      </w:r>
      <w:r>
        <w:rPr>
          <w:rFonts w:ascii="Times New Roman" w:cs="Times New Roman" w:eastAsia="Times New Roman" w:hAnsi="Times New Roman"/>
          <w:color w:val="262626"/>
          <w:sz w:val="22"/>
          <w:szCs w:val="22"/>
        </w:rPr>
        <w:t xml:space="preserve">Levene / Brown–Forsythe: dùng |x − trung vị| → vững trước phi chuẩn</w:t>
      </w:r>
      <w:r>
        <w:br/>
      </w:r>
      <w:r>
        <w:rPr>
          <w:rFonts w:ascii="Times New Roman" w:cs="Times New Roman" w:eastAsia="Times New Roman" w:hAnsi="Times New Roman"/>
          <w:color w:val="262626"/>
          <w:sz w:val="22"/>
          <w:szCs w:val="22"/>
        </w:rPr>
        <w:t xml:space="preserve">Kruskal–Wallis: kiểm định phi tham số dựa trên hạng — phân phối các nhóm như nhau?</w:t>
      </w:r>
      <w:r>
        <w:br/>
      </w:r>
      <w:r>
        <w:rPr>
          <w:rFonts w:ascii="Times New Roman" w:cs="Times New Roman" w:eastAsia="Times New Roman" w:hAnsi="Times New Roman"/>
          <w:color w:val="262626"/>
          <w:sz w:val="22"/>
          <w:szCs w:val="22"/>
        </w:rPr>
        <w:t xml:space="preserve">Bootstrap (Efron, 1979): lấy mẫu lại có hoàn lại 2.000 lần để dựng khoảng tin cậy cho chênh lệch CV</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kiểm định cùng bác bỏ (Levene W = 176,1, Bartlett χ² = 805,3, Kruskal H = 1705,1, đều p &lt; 0,0001). CV: Sales 0,760, WBS 0,478, SC 0,498, Pricing 0,521. Bootstrap cho thấy Sales khác cả ba khâu còn lại; ba khâu kia gần như đồng nhất.</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thước đo, hai kết luận, cả hai đều đúng: Pricing tốn thời gian nhất (tuyệt đối), Sales khó đoán nhất (tương đối). Cấu trúc là “một khâu tách biệt + ba khâu tương đồng”. Lý do dùng cả ba kiểm định: nếu chỉ dùng Bartlett, hội đồng có thể bác vì dữ liệu lệch; khi cả kiểm định vững và phi tham số đều bác bỏ, kết luận không phụ thuộc giả định.</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II.7. Phân rã phương sai và ý nghĩa hiệp phương sai</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Var(T_Sales + T_WBS + T_SC + T_Pricing) = Σ Var(T_s) + 2 Σ_{s&lt;t} Cov(T_s , T_t)</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Bốn khâu đóng góp riêng 25,3% (Pricing), 12,0% (WBS), 8,7% (Sales), 6,7% (SC); phần còn lại 47,4% là hiệp phương sai. Tương quan WBS–SC = 0,653, nhưng Sales–Pricing = −0,037.</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Gần nửa biến thiên không thuộc khâu nào mà thuộc về “độ phức tạp chung của hồ sơ” — hồ sơ chậm ở khâu này thường chậm ở khâu khác. Hệ quả quản trị: cải tiến cục bộ một khâu chỉ chạm một phần biến động; can thiệp hiệu quả hơn là ở đầu vào (ví dụ giảm số lần làm rõ bản vẽ). Riêng Pricing gần như không tương quan với Sales: hàng đợi Pricing do tồn đọng của chính nó quyết định — cơ sở để mô phỏng Pricing như một hàng đợi riêng ở Mục 4.4.</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II.8. Hai đường tính TAT và dự báo ngoài lớp (OOF)</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Dự báo ngoài lớp (out-of-fold): chia dữ liệu 5 lớp; giá trị dự báo cho mỗi hồ sơ lấy từ mô hình được huấn luyện trên 4 lớp KHÔNG chứa hồ sơ đó. Nhờ vậy khi đưa TAT_pred làm biến cho BT2, nó không mang thông tin từ chính kết quả của hồ sơ — tránh rò rỉ dữ liệu (data leakage).</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Đường trực tiếp có MAE 0,8437 ngày; đường cộng dồn 4 mô hình khâu có MAE 0,8372 ngày — chênh 0,77%. TAT_pred OOF có MAE 0,8437, R² ngoài mẫu 0,7368.</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Phát biểu thẳng (và nên chủ động nói trước khi bị hỏi): tách theo khâu KHÔNG cải thiện dự báo tổng một cách đáng kể. Giá trị của nó nằm ở chẩn đoán — biết biến động đến từ đâu và cả 4 mô hình khâu đều có phương sai thay đổi (bị che khi cộng gộp).</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Nếu tách khâu chỉ cải thiện 0,77% thì làm để làm gì?</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Mục tiêu của tách khâu là chẩn đoán, không phải dự báo. Nó trả lời câu hỏi mà mô hình tổng không trả lời được: biến động nằm ở đâu (Sales khó đoán nhất), các khâu đồng biến động ra sao (47,4% hiệp phương sai), và Pricing có độc lập không (có). Hai đường tính nhất quán cũng là một kiểm tra dạng hàm.</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Vì sao TAT_pred phải là dự báo chứ không phải TAT thực tế?</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Vì tại thời điểm ra quyết định giá, TAT thực tế của hồ sơ chưa xảy ra. Dùng TAT thực là dùng thông tin tương lai, làm mô hình tốt giả tạo và không triển khai được. Thêm vào đó, TAT_pred phải là OOF để không chứa thông tin từ chính kết quả của hồ sơ đó.</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Khung diễn giải đăng ký trước (Bảng 3.3) có ý nghĩa gì?</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Nó chốt trước cách hiểu từng kịch bản kết quả (biến động đồng đều → vấn đề hệ thống; khác nhau → độ phức tạp không đều; hiệp phương sai lớn → yếu tố chung; không tương quan → độc lập) để tránh diễn giải hậu nghiệm theo hướng có lợi. Đây là tinh thần pre-registration trong nghiên cứu thực nghiệm.</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III. BÀI TOÁN 2 — HỒI QUY LOGISTIC VÀ XÁC SUẤT THẮNG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III.1. Hồi quy logistic: mô hình, ước lượng, diễn giải</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Khi biến phụ thuộc là nhị phân (thắng = 1, thua = 0), hồi quy tuyến tính không phù hợp vì dự báo có thể ra ngoài [0, 1]. Logistic mô hình hóa logarit tỷ số chênh (log-odds) như hàm tuyến tính, rồi đưa về xác suất qua hàm sigmoid.</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η = β₀ + Σ βₖ xₖ        ln[p/(1−p)] = η        p = 1/(1 + e^(−η))</w:t>
      </w:r>
      <w:r>
        <w:br/>
      </w:r>
      <w:r>
        <w:rPr>
          <w:rFonts w:ascii="Times New Roman" w:cs="Times New Roman" w:eastAsia="Times New Roman" w:hAnsi="Times New Roman"/>
          <w:color w:val="262626"/>
          <w:sz w:val="22"/>
          <w:szCs w:val="22"/>
        </w:rPr>
        <w:t xml:space="preserve">Hợp lý cực đại: ℓ(β) = Σ [yᵢ ln pᵢ + (1−yᵢ) ln(1−pᵢ)];  điều kiện bậc nhất X'(y − p) = 0 → giải bằng Newton–Raphson/IRLS</w:t>
      </w:r>
      <w:r>
        <w:br/>
      </w:r>
      <w:r>
        <w:rPr>
          <w:rFonts w:ascii="Times New Roman" w:cs="Times New Roman" w:eastAsia="Times New Roman" w:hAnsi="Times New Roman"/>
          <w:color w:val="262626"/>
          <w:sz w:val="22"/>
          <w:szCs w:val="22"/>
        </w:rPr>
        <w:t xml:space="preserve">Tỷ số chênh: OR = e^β — tăng x một đơn vị nhân odds thắng với OR</w:t>
      </w:r>
      <w:r>
        <w:br/>
      </w:r>
      <w:r>
        <w:rPr>
          <w:rFonts w:ascii="Times New Roman" w:cs="Times New Roman" w:eastAsia="Times New Roman" w:hAnsi="Times New Roman"/>
          <w:color w:val="262626"/>
          <w:sz w:val="22"/>
          <w:szCs w:val="22"/>
        </w:rPr>
        <w:t xml:space="preserve">Hiệu ứng biên lên xác suất: ∂p/∂x = β · p(1−p) — lớn nhất khi p = 0,5</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Cách đọc đúng: OR là phép NHÂN lên odds, không phải lên xác suất. OR = 2,31 nghĩa là odds thắng gấp 2,31 lần, chứ không phải xác suất gấp 2,31 lần. Khi biến đã Z-score, OR là “mỗi một độ lệch chuẩn”.</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Mẫu 7.519 dòng hàng hợp lệ (loại khuyết theo danh sách), 6.153 huấn luyện / 1.366 kiểm tra (295 hồ sơ). 13 biến trong 6 nhóm có cơ chế kinh tế và dấu kỳ vọng đăng ký trước (Bảng 3.4). Kết quả chính: chỉ số cạnh tranh giá β = +0,838 (OR 2,31); điểm chất lượng NCC +0,410; cường độ cạnh tranh −0,133; hàng đợi −0,222; TAT dự báo −0,093 (p = 0,0038).</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Mọi hệ số có ý nghĩa đều đúng dấu kỳ vọng — đây là một dạng kiểm tra tính hợp lệ của mô hình (face validity). Giá là yếu tố mạnh nhất, nhưng bốn biến năng lực nhà cung cấp cộng lại cũng rất mạnh: thị trường không cạnh tranh thuần giá.</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III.2. Vì sao biến giá là T/p chứ không phải markup</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ứng viên: markup = p/c (từ giá vốn của chính doanh nghiệp) và chỉ số cạnh tranh giá r = T/p (giá mục tiêu của khách / giá chào). Markup: β = +0,0142, p = 0,614, AUC 0,7191 — ngang mô hình không có giá. T/p: AUC 0,7808.</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Markup không chứa thông tin thị trường vì nó gần như hằng số (cost-plus) và trong dữ liệu đã chuẩn hóa, giá chào = giá vốn × markup. Khách hàng không quan tâm giá vốn của ta; họ so giá chào với giá họ kỳ vọng — đó là T/p. Vì r = T/p là nghịch đảo giá, dấu kỳ vọng là DƯƠNG (r tăng = chào rẻ hơn tương đối = dễ thắng hơn).</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III.3. Đánh giá mô hình: AUC, Brier, pseudo R², hiệu chuẩn</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AUC = P(điểm của một ca thắng ngẫu nhiên &gt; điểm của một ca thua ngẫu nhiên)  — đo khả năng XẾP HẠNG</w:t>
      </w:r>
      <w:r>
        <w:br/>
      </w:r>
      <w:r>
        <w:rPr>
          <w:rFonts w:ascii="Times New Roman" w:cs="Times New Roman" w:eastAsia="Times New Roman" w:hAnsi="Times New Roman"/>
          <w:color w:val="262626"/>
          <w:sz w:val="22"/>
          <w:szCs w:val="22"/>
        </w:rPr>
        <w:t xml:space="preserve">Brier = (1/n) Σ (pᵢ − yᵢ)²  — đo độ chính xác của XÁC SUẤT (càng nhỏ càng tốt)</w:t>
      </w:r>
      <w:r>
        <w:br/>
      </w:r>
      <w:r>
        <w:rPr>
          <w:rFonts w:ascii="Times New Roman" w:cs="Times New Roman" w:eastAsia="Times New Roman" w:hAnsi="Times New Roman"/>
          <w:color w:val="262626"/>
          <w:sz w:val="22"/>
          <w:szCs w:val="22"/>
        </w:rPr>
        <w:t xml:space="preserve">McFadden R² = 1 − ℓ(β̂)/ℓ(β̂₀);  McFadden hiệu chỉnh = 1 − (ℓ − K)/ℓ₀;  Nagelkerke = Cox–Snell chuẩn hóa về [0,1]</w:t>
      </w:r>
      <w:r>
        <w:br/>
      </w:r>
      <w:r>
        <w:rPr>
          <w:rFonts w:ascii="Times New Roman" w:cs="Times New Roman" w:eastAsia="Times New Roman" w:hAnsi="Times New Roman"/>
          <w:color w:val="262626"/>
          <w:sz w:val="22"/>
          <w:szCs w:val="22"/>
        </w:rPr>
        <w:t xml:space="preserve">Hiệu chuẩn (calibration): trong nhóm có p dự báo ≈ 0,7 thì tỷ lệ thắng thực ≈ 70%</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Điểm khái niệm quan trọng nhất của BT2: một mô hình có thể xếp hạng tốt (AUC cao) nhưng xác suất sai mức (hiệu chuẩn kém). Vì BT3 nhân xác suất với biên lợi nhuận để tính lợi nhuận kỳ vọng, sai mức xác suất truyền thẳng sang quyết định giá — nên hiệu chuẩn là điều kiện bắt buộc, không phải trang trí.</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AUC kiểm tra 0,7808 [KTC 95% bootstrap 0,7579; 0,8051], AUC huấn luyện 0,7675 (không quá khớp). Brier 0,1814. McFadden hiệu chỉnh 0,1611. Hiệu chuẩn tổng hợp: dự báo 880,0 dòng thắng so với 853 thực tế (+3,16%) — lạc quan nhẹ.</w:t>
      </w:r>
    </w:p>
    <w:p>
      <w:pPr>
        <w:keepNext/>
        <w:spacing w:after="40" w:before="120"/>
        <w:jc w:val="center"/>
      </w:pPr>
      <w:r>
        <w:drawing>
          <wp:inline distT="0" distB="0" distL="0" distR="0">
            <wp:extent cx="5486400" cy="2066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486400" cy="206692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0.3: Đường cong hiệu chuẩn và ROC ngoài mẫu (Hình 4.4)</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McFadden R² khoảng 0,16 nghe có vẻ thấp nhưng KHÔNG so được với R² của OLS: McFadden 0,2–0,4 đã được coi là khớp tốt (McFadden, 1974). Hội đồng hay hỏi điểm này. Phụ lục B.1 cũng cho thấy McFadden thô và Nagelkerke tăng khi thêm biến nhiễu, chỉ bản hiệu chỉnh và BIC phản ứng đúng.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III.4. Rò rỉ dữ liệu và phân chia theo cụm</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Rò rỉ dữ liệu (data leakage) xảy ra khi thông tin của tập kiểm tra lọt vào quá trình huấn luyện, làm chỉ số tốt giả tạo. Với dữ liệu phân cụm (nhiều dòng hàng/hồ sơ), chia ngẫu nhiên theo dòng sẽ đưa các dòng của cùng hồ sơ vào cả hai tập — mô hình “nhận ra” hồ sơ chứ không học quy luật. Giải pháp: GroupShuffleSplit — toàn bộ dòng của một hồ sơ nằm trọn một phía.</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lớp chống rò rỉ trong luận văn: (1) tách tập kiểm tra theo hồ sơ (80/20); (2) chuẩn hóa Z-score bằng thống kê của tập huấn luyện; (3) TAT_pred là dự báo ngoài lớp từ BT1.</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III.5. Ablation và chuẩn so sánh XGBoost</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500"/>
        <w:gridCol w:w="2700"/>
        <w:gridCol w:w="2800"/>
      </w:tblGrid>
      <w:tr>
        <w:trPr>
          <w:cantSplit/>
          <w:tblHeader/>
        </w:trPr>
        <w:tc>
          <w:tcPr>
            <w:tcW w:type="dxa" w:w="3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Nhóm bị loại</w:t>
            </w:r>
          </w:p>
        </w:tc>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AUC còn lại</w:t>
            </w:r>
          </w:p>
        </w:tc>
        <w:tc>
          <w:tcPr>
            <w:tcW w:type="dxa" w:w="28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Thay đổi</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Giá</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0,7187</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−0,0621</w:t>
            </w:r>
          </w:p>
        </w:tc>
      </w:tr>
      <w:tr>
        <w:trPr>
          <w:cantSplit/>
        </w:trPr>
        <w:tc>
          <w:tcPr>
            <w:tcW w:type="dxa" w:w="3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NCC</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0,7338</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−0,0470</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Quan hệ KH</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0,7701</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−0,0107</w:t>
            </w:r>
          </w:p>
        </w:tc>
      </w:tr>
      <w:tr>
        <w:trPr>
          <w:cantSplit/>
        </w:trPr>
        <w:tc>
          <w:tcPr>
            <w:tcW w:type="dxa" w:w="3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Cạnh tranh</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0,7786</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−0,0022</w:t>
            </w:r>
          </w:p>
        </w:tc>
      </w:tr>
      <w:tr>
        <w:trPr>
          <w:cantSplit/>
        </w:trPr>
        <w:tc>
          <w:tcPr>
            <w:tcW w:type="dxa" w:w="3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Rủi ro TM</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0,7808</w:t>
            </w:r>
          </w:p>
        </w:tc>
        <w:tc>
          <w:tcPr>
            <w:tcW w:type="dxa" w:w="28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+0,0000</w:t>
            </w:r>
          </w:p>
        </w:tc>
      </w:tr>
      <w:tr>
        <w:trPr>
          <w:cantSplit/>
        </w:trPr>
        <w:tc>
          <w:tcPr>
            <w:tcW w:type="dxa" w:w="3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Năng lực xử lý</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0,7688</w:t>
            </w:r>
          </w:p>
        </w:tc>
        <w:tc>
          <w:tcPr>
            <w:tcW w:type="dxa" w:w="28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−0,0120</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0.3: Ablation theo nhóm biến (Bảng 4.8)</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Ablation = loại từng nhóm biến và đo AUC giảm bao nhiêu → đóng góp của nhóm. Điểm then chốt: loại toàn bộ biến giá, AUC vẫn 0,7187 — yếu tố phi giá tự nó dự báo được kết quả. XGBoost (cây tăng cường gradient) đạt AUC 0,7837, chỉ hơn logistic 2,9 phần nghìn — nằm trong KTC của logistic, nên không có quan hệ phi tuyến lớn bị bỏ sót; logistic được giữ vì diễn giải được và hiệu chuẩn tốt.</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III.6. Liên hệ có điều kiện, nội sinh và kiểm tra độ vững</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Hệ số hồi quy trên dữ liệu quan sát là liên hệ có điều kiện (conditional association): “trong số các hồ sơ giống nhau về các biến đã kiểm soát, hồ sơ có hàng đợi sâu hơn có xác suất thắng thấp hơn”. Nó trở thành hiệu ứng nhân quả chỉ khi không còn biến ẩn ảnh hưởng đồng thời đến cả biến độc lập và kết quả. Khi tồn tại biến ẩn như vậy, biến độc lập bị nội sinh (endogeneity) và hệ số bị chệch.</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β_Queue = −0,2220 và β_TAT = −0,0927. Nguồn nội sinh hợp lý: độ phức tạp không quan sát được của hồ sơ có thể vừa làm chờ lâu, vừa làm khó thắng. Kiểm tra độ vững (Mục 4.2.1): trên trạng thái đơn hàng trước bước đối soát cuối kỳ (2,3% số dòng đổi kết quả, tập trung ở hàng đợi sâu), β_Queue = −0,0605 (p = 0,060) và β_TAT = +0,0556 (p = 0,089) — không còn ý nghĩa.</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Đây là điểm yếu số một mà hội đồng có thể khai thác, và cách đứng vững là KHÔNG chối: thừa nhận hai hệ số này là liên hệ có điều kiện, nhạy với cách chốt biến kết quả, rồi chỉ ra luận văn đã thiết kế để không phụ thuộc vào chúng — mặt phẳng chuyển pha quét k từ 0 đến 3, và quy tắc G2 vẫn vượt giả dược ngay cả khi k = 0. Đề xuất thực nghiệm ngẫu nhiên hóa thứ tự xử lý (Hướng 3, Chương 6) để nhận dạng nhân quả.</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Vì sao chọn logistic chứ không phải mô hình học máy mạnh hơn?</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Vì đầu ra của BT2 đi vào bài toán tối ưu: cần (1) hệ số diễn giải được để kiểm tra dấu kinh tế, (2) xác suất hiệu chuẩn tốt, và (3) một hàm trơn theo giá để lấy đạo hàm và giải điều kiện bậc nhất. XGBoost chỉ hơn 2,9 phần nghìn AUC nên không đáng đánh đổi.</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AUC 0,78 có đủ tốt không?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Đủ cho mục đích: theo thang thường dùng (Hosmer, Lemeshow &amp; Sturdivant, 2013), 0,7–0,8 là phân biệt chấp nhận được, 0,8–0,9 là tốt. Quan trọng hơn với BT3 là hiệu chuẩn — sai lệch tổng hợp chỉ khoảng 3%. Ngoài ra AUC đo trên tập tách theo hồ sơ, tức ước lượng thận trọng.</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Hàng đợi làm giảm xác suất thắng — anh có chắc đó là nhân quả không?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Không, và luận văn không khẳng định. Đó là liên hệ có điều kiện trên dữ liệu quan sát; có thể có nội sinh từ độ phức tạp ẩn, và kết quả nhạy với cách chốt trạng thái đơn hàng. Vì vậy mô phỏng quét hệ số nhân k, kể cả k = 0, và đề xuất thực nghiệm ngẫu nhiên hóa thứ tự xử lý để nhận dạng hiệu ứng thật.</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Loại bỏ theo danh sách đầy đủ có gây chệch không?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Kiểm tra cho thấy tỷ lệ thắng sau khi loại (63,80%) gần như bằng toàn bộ (63,41%); tỷ lệ khuyết dưới 5% và chỉ ở biến độc lập. Gán khuyết bằng mô hình sẽ thêm một tầng bất định vào chính biến giá — biến quan trọng nhất.</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IV. BÀI TOÁN 3 — TỐI ƯU GIÁ, LÝ THUYẾT ĐẤU GIÁ VÀ GIÁ BÓNG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IV.1. Khung Friedman: tối đa hóa lợi nhuận kỳ vọng</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E[π(p)] = (p − c) · P(Win | p, x)        p* = argmax_p E[π(p)]</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Đánh đổi cốt lõi: tăng giá làm tăng biên (p − c) nhưng giảm xác suất thắng. Friedman (1956) là nền móng; giới hạn của nó là coi hành vi đối thủ cố định (ngoại sinh) — đối thủ không phản ứng với chính sách mới của ta. Đây là tối ưu một phía (best-response), không phải cân bằng.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IV.2. Dẫn xuất điều kiện bậc nhất (FOC) — nên tự làm lại được trên bảng</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Từ BT2:  η(p) = α + γ·(T/p) + x'δ ,   P = 1/(1 + e^(−η)) ,   γ = β_PC / sd_PC &gt; 0</w:t>
      </w:r>
      <w:r>
        <w:br/>
      </w:r>
      <w:r>
        <w:rPr>
          <w:rFonts w:ascii="Times New Roman" w:cs="Times New Roman" w:eastAsia="Times New Roman" w:hAnsi="Times New Roman"/>
          <w:color w:val="262626"/>
          <w:sz w:val="22"/>
          <w:szCs w:val="22"/>
        </w:rPr>
        <w:t xml:space="preserve">Bước 1:  ∂η/∂p = −γT/p²     ⇒   ∂P/∂p = P(1−P)·(−γT/p²) &lt; 0</w:t>
      </w:r>
      <w:r>
        <w:br/>
      </w:r>
      <w:r>
        <w:rPr>
          <w:rFonts w:ascii="Times New Roman" w:cs="Times New Roman" w:eastAsia="Times New Roman" w:hAnsi="Times New Roman"/>
          <w:color w:val="262626"/>
          <w:sz w:val="22"/>
          <w:szCs w:val="22"/>
        </w:rPr>
        <w:t xml:space="preserve">Bước 2:  ∂E[π]/∂p = P + (p − c)·∂P/∂p = P − (p − c)·P(1−P)·γT/p²</w:t>
      </w:r>
      <w:r>
        <w:br/>
      </w:r>
      <w:r>
        <w:rPr>
          <w:rFonts w:ascii="Times New Roman" w:cs="Times New Roman" w:eastAsia="Times New Roman" w:hAnsi="Times New Roman"/>
          <w:color w:val="262626"/>
          <w:sz w:val="22"/>
          <w:szCs w:val="22"/>
        </w:rPr>
        <w:t xml:space="preserve">Bước 3:  đặt = 0 và chia cho P &gt; 0  ⇒   γ·T·(p − c)·(1 − P(p)) = p²</w:t>
      </w:r>
      <w:r>
        <w:br/>
      </w:r>
      <w:r>
        <w:rPr>
          <w:rFonts w:ascii="Times New Roman" w:cs="Times New Roman" w:eastAsia="Times New Roman" w:hAnsi="Times New Roman"/>
          <w:color w:val="262626"/>
          <w:sz w:val="22"/>
          <w:szCs w:val="22"/>
        </w:rPr>
        <w:t xml:space="preserve">p xuất hiện cả hai vế và bên trong P(p) ⇒ không có nghiệm dạng đóng ⇒ giải số (dò lưới + Brent)</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cách giải độc lập (dò lưới 60.001 điểm và thuật toán Brent trên FOC) cho sai lệch tối đa 0,0022 USD trên 6 dòng hàng (Bảng 4.10). Đạo hàm bậc hai đổi dấu (từ 0,0030 xuống −0,0401): hàm lồi ở giá thấp, lõm quanh cực đại → cực đại nội suy duy nhất.</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Trả lời câu hỏi “hàm mục tiêu tuyến tính hay phi tuyến?”: phi tuyến, vì là tích của một hàm tuyến tính và một hàm logistic của nghịch đảo giá. Nếu tuyến tính thì không có cực đại nội suy.</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IV.3. Dải kẹp [P5; P95] và CBPO Realistic</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Markup đề xuất được kẹp trong dải lịch sử [1,1529; 1,3863]. Lý do: mô hình logistic chỉ được học trong vùng giá đã quan sát; ra ngoài vùng đó là ngoại suy, không đáng tin. CBPO Realistic: +13,91%, xác suất thắng 0,624 → 0,575; 36,4% dòng có nghiệm tự do nằm ngoài dải (bị kẹp). Bản không kẹp: +19,05% — không dùng làm khuyến nghị.</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Hai mốc so sánh phải nói được: (1) Cost-Plus chỉ chênh +0,27% so với thực tế — chính sách hiện hành thực chất là cost-plus; (2) tại giá lịch sử, mô hình dự báo lợi nhuận cao hơn thực nhận +1,94% — mọi uplift có độ lạc quan nhẹ tương tự.</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IV.4. Lý thuyết đấu giá: giá trị riêng độc lập và cân bằng Bayesian Nash</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Đấu thầu ngược (reverse auction): người mua chọn giá thấp nhất. Mô hình giá trị riêng độc lập (IPV): mỗi nhà thầu biết chi phí của mình cᵢ, chỉ biết phân phối F của chi phí đối thủ. Cân bằng Nash (Nash, 1950): không ai lợi khi đơn phương đổi chiến lược. Bayesian Nash (Harsanyi, 1967): mở rộng cho thông tin không đầy đủ — mỗi bên tối ưu kỳ vọng theo niềm tin về loại (chi phí) của đối thủ.</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Chiến lược cân bằng đối xứng (Krishna, 2009):</w:t>
      </w:r>
      <w:r>
        <w:br/>
      </w:r>
      <w:r>
        <w:rPr>
          <w:rFonts w:ascii="Times New Roman" w:cs="Times New Roman" w:eastAsia="Times New Roman" w:hAnsi="Times New Roman"/>
          <w:color w:val="262626"/>
          <w:sz w:val="22"/>
          <w:szCs w:val="22"/>
        </w:rPr>
        <w:t xml:space="preserve">  β*(c) = c + ∫_c^c̄ [ (1 − F(x)) / (1 − F(c)) ]^(N−1) dx  = E[ chi phí thấp nhất của N−1 đối thủ | tất cả &gt; c ]</w:t>
      </w:r>
      <w:r>
        <w:br/>
      </w:r>
      <w:r>
        <w:rPr>
          <w:rFonts w:ascii="Times New Roman" w:cs="Times New Roman" w:eastAsia="Times New Roman" w:hAnsi="Times New Roman"/>
          <w:color w:val="262626"/>
          <w:sz w:val="22"/>
          <w:szCs w:val="22"/>
        </w:rPr>
        <w:t xml:space="preserve">Trường hợp đều trên [c_min , c̄]:  (1−F(x))/(1−F(c)) = (c̄ − x)/(c̄ − c)</w:t>
      </w:r>
      <w:r>
        <w:br/>
      </w:r>
      <w:r>
        <w:rPr>
          <w:rFonts w:ascii="Times New Roman" w:cs="Times New Roman" w:eastAsia="Times New Roman" w:hAnsi="Times New Roman"/>
          <w:color w:val="262626"/>
          <w:sz w:val="22"/>
          <w:szCs w:val="22"/>
        </w:rPr>
        <w:t xml:space="preserve">  ⇒ ∫ = (c̄ − c)/N   ⇒   β*(c) = c + (c̄ − c)/N</w:t>
      </w:r>
      <w:r>
        <w:br/>
      </w:r>
      <w:r>
        <w:rPr>
          <w:rFonts w:ascii="Times New Roman" w:cs="Times New Roman" w:eastAsia="Times New Roman" w:hAnsi="Times New Roman"/>
          <w:color w:val="262626"/>
          <w:sz w:val="22"/>
          <w:szCs w:val="22"/>
        </w:rPr>
        <w:t xml:space="preserve">Hai hệ quả: biên giá ∝ 1/N (độ co giãn log–log = −1) và xác suất thắng đối xứng = 1/N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Trực giác: nhà thầu cộng vào chi phí một khoản bằng khoảng cách kỳ vọng tới đối thủ mạnh nhất; càng nhiều đối thủ, khoảng cách càng nhỏ. Đây là “bóng mờ giá” (bid shading) theo cạnh tranh.</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IV.5. Ba đặc tả miền chi phí A, B, C</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1300"/>
        <w:gridCol w:w="900"/>
        <w:gridCol w:w="1000"/>
        <w:gridCol w:w="2700"/>
      </w:tblGrid>
      <w:tr>
        <w:trPr>
          <w:cantSplit/>
          <w:tblHeader/>
        </w:trPr>
        <w:tc>
          <w:tcPr>
            <w:tcW w:type="dxa" w:w="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Đặc tả</w:t>
            </w:r>
          </w:p>
        </w:tc>
        <w:tc>
          <w:tcPr>
            <w:tcW w:type="dxa" w:w="2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Cận trên c̄</w:t>
            </w:r>
          </w:p>
        </w:tc>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w:t>
            </w:r>
          </w:p>
        </w:tc>
        <w:tc>
          <w:tcPr>
            <w:tcW w:type="dxa" w:w="9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Kẹp</w:t>
            </w:r>
          </w:p>
        </w:tc>
        <w:tc>
          <w:tcPr>
            <w:tcW w:type="dxa" w:w="1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Uplift</w:t>
            </w:r>
          </w:p>
        </w:tc>
        <w:tc>
          <w:tcPr>
            <w:tcW w:type="dxa" w:w="2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Bản chất</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P99 giá vốn trong nhóm vật liệu</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Hiệu chỉnh lai</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85%</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+4,1%</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Cận chung quá xa cho hàng giá vốn thấp → kẹp trần</w:t>
            </w:r>
          </w:p>
        </w:tc>
      </w:tr>
      <w:tr>
        <w:trPr>
          <w:cantSplit/>
        </w:trPr>
        <w:tc>
          <w:tcPr>
            <w:tcW w:type="dxa" w:w="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w:t>
            </w:r>
          </w:p>
        </w:tc>
        <w:tc>
          <w:tcPr>
            <w:tcW w:type="dxa" w:w="2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c(1+δ), δ = 0,181</w:t>
            </w:r>
          </w:p>
        </w:tc>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Hiệu chỉnh lai</w:t>
            </w:r>
          </w:p>
        </w:tc>
        <w:tc>
          <w:tcPr>
            <w:tcW w:type="dxa" w:w="9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100%</w:t>
            </w:r>
          </w:p>
        </w:tc>
        <w:tc>
          <w:tcPr>
            <w:tcW w:type="dxa" w:w="1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−29,9%</w:t>
            </w:r>
          </w:p>
        </w:tc>
        <w:tc>
          <w:tcPr>
            <w:tcW w:type="dxa" w:w="2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Biên δ/N quá nhỏ → kẹp sàn</w:t>
            </w:r>
          </w:p>
        </w:tc>
      </w:tr>
      <w:tr>
        <w:trPr>
          <w:cantSplit/>
        </w:trPr>
        <w:tc>
          <w:tcPr>
            <w:tcW w:type="dxa" w:w="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Market_Reserve_Bound (cận dự trữ dòng hàng)</w:t>
            </w:r>
          </w:p>
        </w:tc>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Thực tế từ CRM</w:t>
            </w:r>
          </w:p>
        </w:tc>
        <w:tc>
          <w:tcPr>
            <w:tcW w:type="dxa" w:w="9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32%</w:t>
            </w:r>
          </w:p>
        </w:tc>
        <w:tc>
          <w:tcPr>
            <w:tcW w:type="dxa" w:w="1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+10,5%</w:t>
            </w:r>
          </w:p>
        </w:tc>
        <w:tc>
          <w:tcPr>
            <w:tcW w:type="dxa" w:w="2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Tỷ lệ với δ_C ≈ 0,99 → nội suy ở N ≥ 3</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0.4: Ba đặc tả cân bằng (rút gọn từ Bảng 4.13 và 5.4)</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Bài học: thất bại của A, B không do số đối thủ (thay bằng N thực tế, A vẫn kẹp 78%, B 100%) mà do cận trên đo chi phí đối thủ, trong khi giá thực đạt được phản ánh mức sẵn lòng trả của khách hàng có tính lợi thế phi giá. C dùng cận từ phía cầu nên phục hồi. Nhưng phải nói đúng mức: C về cấu trúc là đặc tả tỷ lệ với δ lớn hơn B khoảng 5,5 lần; ở N = 2 vẫn kẹp 99%; và vẫn thấp hơn CBPO (dạng đóng thuần +11,68%, lai +12,85%).</w:t>
      </w:r>
    </w:p>
    <w:p>
      <w:pPr>
        <w:pBdr>
          <w:left w:val="single" w:color="008448" w:sz="18"/>
        </w:pBdr>
        <w:shd w:fill="EEF5EC" w:val="clear"/>
        <w:spacing w:after="140" w:before="100" w:line="300"/>
        <w:ind w:left="160" w:right="80"/>
        <w:jc w:val="left"/>
      </w:pPr>
      <w:r>
        <w:rPr>
          <w:rFonts w:ascii="Times New Roman" w:cs="Times New Roman" w:eastAsia="Times New Roman" w:hAnsi="Times New Roman"/>
          <w:b/>
          <w:bCs/>
          <w:color w:val="008448"/>
          <w:sz w:val="24"/>
          <w:szCs w:val="24"/>
        </w:rPr>
        <w:t xml:space="preserve">Tỷ lệ kẹp biên — chỉ báo chẩn đoán rẻ và mạnh</w:t>
      </w:r>
      <w:r>
        <w:br/>
      </w:r>
      <w:r>
        <w:rPr>
          <w:rFonts w:ascii="Times New Roman" w:cs="Times New Roman" w:eastAsia="Times New Roman" w:hAnsi="Times New Roman"/>
          <w:color w:val="262626"/>
          <w:sz w:val="23"/>
          <w:szCs w:val="23"/>
        </w:rPr>
        <w:t xml:space="preserve">▸ Nếu đa số khuyến nghị bị kẹp vào biên, đầu ra do ràng buộc kỹ thuật quyết định, không do công thức.</w:t>
      </w:r>
      <w:r>
        <w:br/>
      </w:r>
      <w:r>
        <w:rPr>
          <w:rFonts w:ascii="Times New Roman" w:cs="Times New Roman" w:eastAsia="Times New Roman" w:hAnsi="Times New Roman"/>
          <w:color w:val="262626"/>
          <w:sz w:val="23"/>
          <w:szCs w:val="23"/>
        </w:rPr>
        <w:t xml:space="preserve">▸ Uplift khi đó chỉ là hiệu ứng “nâng giá đồng loạt về trần” — phải kiểm bằng giả dược.</w:t>
      </w:r>
      <w:r>
        <w:br/>
      </w:r>
      <w:r>
        <w:rPr>
          <w:rFonts w:ascii="Times New Roman" w:cs="Times New Roman" w:eastAsia="Times New Roman" w:hAnsi="Times New Roman"/>
          <w:color w:val="262626"/>
          <w:sz w:val="23"/>
          <w:szCs w:val="23"/>
        </w:rPr>
        <w:t xml:space="preserve">▸ Đây là bước 3 của “Cổng ba bước” (Bảng 6.1).</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IV.6. Kiểm định H1 hai mặt và sai số chuẩn cụm</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ln(biên giá) = a + b·ln N + u ;  H0(BNE): b = −1 ;  H0(cost-plus): b = 0</w:t>
      </w:r>
      <w:r>
        <w:br/>
      </w:r>
      <w:r>
        <w:rPr>
          <w:rFonts w:ascii="Times New Roman" w:cs="Times New Roman" w:eastAsia="Times New Roman" w:hAnsi="Times New Roman"/>
          <w:color w:val="262626"/>
          <w:sz w:val="22"/>
          <w:szCs w:val="22"/>
        </w:rPr>
        <w:t xml:space="preserve">Sai số chuẩn cụm: V = (X'X)⁻¹ [Σ_g X_g' u_g u_g' X_g] (X'X)⁻¹ — cho phép sai số tương quan trong cùng hồ sơ</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(1) Lịch sử: b = −0,0033 (p = 0,169) — không khác 0, bác bỏ −1 → cost-plus. (2a) Giá tối ưu FOC: b = −0,370 — bác bỏ cả 0 lẫn −1 → mô hình phản ứng đúng chiều nhưng chỉ ~37% độ lớn lý thuyết. (2b) Đặc tả C: b = −1,121 — gần −1 THEO ĐỊNH NGHĨA vì ln(p*/c − 1) = ln δ − ln N.</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Điều hội đồng đánh giá cao: anh tự chỉ ra dòng (2b) là đồng nhất thức, không phải bằng chứng. Nếu ai đó lấy giá do công thức 1/N sinh ra rồi hồi quy theo N, đương nhiên ra −1 — đó là lập luận vòng tròn. Sai số chuẩn cụm cần thiết vì 7.519 dòng hàng nằm trong 1.475 hồ sơ, sai số trong cùng hồ sơ tương quan; bỏ qua sẽ làm SE quá nhỏ.</w:t>
      </w:r>
    </w:p>
    <w:p>
      <w:pPr>
        <w:keepNext/>
        <w:spacing w:after="40" w:before="120"/>
        <w:jc w:val="center"/>
      </w:pPr>
      <w:r>
        <w:drawing>
          <wp:inline distT="0" distB="0" distL="0" distR="0">
            <wp:extent cx="5486400" cy="19907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486400" cy="1990725"/>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0.4: H1 hai mặt (A) và giả dược tĩnh (B) — Hình 4.6</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IV.7. Quản trị doanh thu: giá bóng và bid-price control</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Giá bóng (shadow price) của một tài nguyên = giá trị cận biên của thêm một đơn vị tài nguyên đó — trong quy hoạch tuyến tính chính là biến đối ngẫu (Lagrange multiplier). Gallego &amp; van Ryzin (1994): giá tối ưu trong định giá động bằng chi phí biên cộng giá trị cận biên của năng lực còn lại. Talluri &amp; van Ryzin (2004): bid-price control — chấp nhận một yêu cầu khi giá trị của nó ≥ tổng giá bóng của các tài nguyên nó tiêu thụ. Lưu ý: bid-price là quy tắc TIẾP NHẬN, không phải quy tắc giá.</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Bước 1:  P_breach(Q) = 1/(1 + e^(−(α₀ + α₁Q)))   — logit xác suất vi phạm theo độ sâu hàng đợi</w:t>
      </w:r>
      <w:r>
        <w:br/>
      </w:r>
      <w:r>
        <w:rPr>
          <w:rFonts w:ascii="Times New Roman" w:cs="Times New Roman" w:eastAsia="Times New Roman" w:hAnsi="Times New Roman"/>
          <w:color w:val="262626"/>
          <w:sz w:val="22"/>
          <w:szCs w:val="22"/>
        </w:rPr>
        <w:t xml:space="preserve">Bước 2:  Δ(Q) = (Q+1)·P_breach(Q+1) − Q·P_breach(Q)   — số vi phạm kỳ vọng tăng thêm khi nhận thêm 1 hồ sơ</w:t>
      </w:r>
      <w:r>
        <w:br/>
      </w:r>
      <w:r>
        <w:rPr>
          <w:rFonts w:ascii="Times New Roman" w:cs="Times New Roman" w:eastAsia="Times New Roman" w:hAnsi="Times New Roman"/>
          <w:color w:val="262626"/>
          <w:sz w:val="22"/>
          <w:szCs w:val="22"/>
        </w:rPr>
        <w:t xml:space="preserve">Bước 3:  λ(Q) = π_SLA · Δ(Q);   bản trọng số: λ_U(Q) = U · λ(Q)</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α₀ = −1,387, α₁ = 0,0863; π_SLA = 0,5 × biên 35,01 USD. λ mỗi dòng hàng: 0,73 (Q=0) → 4,23 USD (Q=30), trung bình 2,05 USD ≈ 5,9% biên. Δ(Q) là ngoại tác tắc nghẽn: nhận thêm hồ sơ làm tăng xác suất trễ của chính nó và của những hồ sơ đang chờ.</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IV.8. Kiểm chứng giả dược — trái tim phương pháp luận</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Một chính sách phức tạp tốt hơn hiện trạng có thể vì cơ chế của nó, hoặc chỉ vì nó nâng mặt bằng giá. Giả dược (placebo) thay thành phần phụ thuộc trạng thái (λ(Q)) bằng hằng số có cùng trung bình (λ̄), giữ nguyên mọi thứ khác. Chênh lệch giữa hai nhánh = đóng góp riêng của cơ chế điều tiết. Đây là logic của nhóm đối chứng trong y học áp dụng vào đánh giá chính sách.</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CBPO + λ(Q): +14,96% — nhìn qua tưởng hơn CBPO 1,05 điểm. Giả dược λ̄: +15,14%. Chênh lệch −0,18 điểm (bản λ·U: −0,23). Toàn bộ “lợi ích” là nâng giá đồng loạt.</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Không có giả dược, luận văn sẽ kết luận sai rằng thành phần năng lực tạo thêm lợi nhuận. Thêm nữa: trong đánh giá tĩnh, tỷ lệ vi phạm trên tập kiểm tra là 40,68% dưới MỌI chính sách giá — vì giá quyết định SAU khi việc đã phát sinh. Đó là lý do cần mô phỏng liên kỳ.</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Tại sao kết quả dương duy nhất bền vững là CBPO?</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Vì CBPO không phụ thuộc tham số không nhận dạng được (N, họ phân phối F, cận chi phí, π_SLA). Đặc tả A đổi dấu khi N tầng thấp vượt khoảng 2,5 hoặc đổi họ phân phối; đặc tả C đổi dấu khi N tăng 50%; chính sách có λ luôn bám giả dược. CBPO giữ +13,91% qua mọi kịch bản (Bảng 4.15).</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Không quan sát được giá đối thủ, sao biết N?</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Không biết chính xác — đó là lý do luận văn hiệu chỉnh bằng bốn phương pháp và cho thấy chúng phân tán mạnh (N không được nhận dạng từ dữ liệu), rồi bổ sung N thực tế ghi trên CRM. Mọi kết luận phụ thuộc N đều có phân tích độ nhạy. Ước lượng cấu trúc (Guerre, Perrigne &amp; Vuong, 2000) cần giá chào của tất cả bên — không có trong dữ liệu.</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Vì sao không dùng đấu giá chấm điểm (Che, 1993)?</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Về lý thuyết đó là khung đúng cho cạnh tranh đa chiều, nhưng cần hàm điểm của khách hàng — không quan sát được trong ERP; ước lượng nó là một đề tài riêng. Luận văn đã khai báo loại trừ từ Mục 2.2.5 và đưa vào Hướng 1 của Chương 6. Đặc tả C có thể xem là một bước gần tinh thần đó, vì cận trên đến từ phía cầu.</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Tỷ lệ thắng 75% ở tầng cạnh tranh thấp nói lên điều gì?</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Trong cân bằng đối xứng, xác suất thắng là 1/N — tối đa 50% với N = 2. Tỷ lệ thắng quan sát vượt hẳn giới hạn đó, nên thị trường không đối xứng thuần giá: doanh nghiệp có lợi thế phi giá. Đây là bước 1 của Cổng ba bước.</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V. NGHIÊN CỨU MÔ PHỎNG — HÀNG ĐỢI, QUY TẮC ƯU TIÊN, MẶT PHẲNG CHUYỂN PHA</w:t>
      </w:r>
    </w:p>
    <w:p>
      <w:pPr>
        <w:pStyle w:val="Heading2"/>
        <w:spacing w:after="120" w:before="240"/>
      </w:pPr>
      <w:r>
        <w:rPr>
          <w:rFonts w:ascii="Times New Roman" w:cs="Times New Roman" w:eastAsia="Times New Roman" w:hAnsi="Times New Roman"/>
          <w:b/>
          <w:bCs/>
          <w:i w:val="false"/>
          <w:iCs w:val="false"/>
          <w:color w:val="262626"/>
          <w:sz w:val="27"/>
          <w:szCs w:val="27"/>
        </w:rPr>
        <w:t xml:space="preserve">V.1. Vì sao cần mô phỏng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Đánh giá tĩnh định giá từng dòng hàng trên trạng thái hàng đợi đã xảy ra; nó không thể đo tác động của một chính sách lên thứ tự xử lý và thời gian chờ của các hồ sơ đến sau. Mô phỏng rời rạc theo sự kiện (discrete-event simulation — DES) là công cụ chuẩn của IE cho câu hỏi “nếu vận hành theo quy tắc khác thì hệ thống sẽ ra sao” khi không thể thử trực tiếp.</w:t>
      </w:r>
    </w:p>
    <w:p>
      <w:pPr>
        <w:pStyle w:val="Heading2"/>
        <w:spacing w:after="120" w:before="240"/>
      </w:pPr>
      <w:r>
        <w:rPr>
          <w:rFonts w:ascii="Times New Roman" w:cs="Times New Roman" w:eastAsia="Times New Roman" w:hAnsi="Times New Roman"/>
          <w:b/>
          <w:bCs/>
          <w:i w:val="false"/>
          <w:iCs w:val="false"/>
          <w:color w:val="262626"/>
          <w:sz w:val="27"/>
          <w:szCs w:val="27"/>
        </w:rPr>
        <w:t xml:space="preserve">V.2. Kiến thức hàng đợi cần nắm</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Ký hiệu Kendall:  M/G/m — đến Poisson (M), thời gian phục vụ tổng quát (G), m máy song song</w:t>
      </w:r>
      <w:r>
        <w:br/>
      </w:r>
      <w:r>
        <w:rPr>
          <w:rFonts w:ascii="Times New Roman" w:cs="Times New Roman" w:eastAsia="Times New Roman" w:hAnsi="Times New Roman"/>
          <w:color w:val="262626"/>
          <w:sz w:val="22"/>
          <w:szCs w:val="22"/>
        </w:rPr>
        <w:t xml:space="preserve">Hệ số sử dụng:   ρ = λ·E[S] / m   (phải &lt; 1 thì hệ ổn định)</w:t>
      </w:r>
      <w:r>
        <w:br/>
      </w:r>
      <w:r>
        <w:rPr>
          <w:rFonts w:ascii="Times New Roman" w:cs="Times New Roman" w:eastAsia="Times New Roman" w:hAnsi="Times New Roman"/>
          <w:color w:val="262626"/>
          <w:sz w:val="22"/>
          <w:szCs w:val="22"/>
        </w:rPr>
        <w:t xml:space="preserve">Định luật Little: L = λ·W   — số trong hệ = tốc độ đến × thời gian trong hệ (đúng cho mọi kỷ luật phục vụ)</w:t>
      </w:r>
      <w:r>
        <w:br/>
      </w:r>
      <w:r>
        <w:rPr>
          <w:rFonts w:ascii="Times New Roman" w:cs="Times New Roman" w:eastAsia="Times New Roman" w:hAnsi="Times New Roman"/>
          <w:color w:val="262626"/>
          <w:sz w:val="22"/>
          <w:szCs w:val="22"/>
        </w:rPr>
        <w:t xml:space="preserve">Kỷ luật không ngắt (non-preemptive): hồ sơ đang xử lý không bị chen ngang</w:t>
      </w:r>
      <w:r>
        <w:br/>
      </w:r>
      <w:r>
        <w:rPr>
          <w:rFonts w:ascii="Times New Roman" w:cs="Times New Roman" w:eastAsia="Times New Roman" w:hAnsi="Times New Roman"/>
          <w:color w:val="262626"/>
          <w:sz w:val="22"/>
          <w:szCs w:val="22"/>
        </w:rPr>
        <w:t xml:space="preserve">Định luật bảo toàn (Kleinrock): với hệ bảo toàn công việc, đổi thứ tự không đổi tổng công việc chờ —</w:t>
      </w:r>
      <w:r>
        <w:br/>
      </w:r>
      <w:r>
        <w:rPr>
          <w:rFonts w:ascii="Times New Roman" w:cs="Times New Roman" w:eastAsia="Times New Roman" w:hAnsi="Times New Roman"/>
          <w:color w:val="262626"/>
          <w:sz w:val="22"/>
          <w:szCs w:val="22"/>
        </w:rPr>
        <w:t xml:space="preserve">  chỉ PHÂN BỔ LẠI thời gian chờ giữa các hồ sơ</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Tốc độ đến ≈ 5,02 hồ sơ/ngày; Pricing trung bình 2,39 ngày → theo Little, số hồ sơ trong khâu Pricing ≈ 12,0, cùng bậc với độ sâu hàng đợi quan sát trung bình 10. Định luật bảo toàn giải thích vì sao phân luồng giảm vi phạm khiêm tốn: nó không giảm tổng công việc, chỉ dời thời gian chờ từ hồ sơ này sang hồ sơ khác.</w:t>
      </w:r>
    </w:p>
    <w:p>
      <w:pPr>
        <w:pStyle w:val="Heading2"/>
        <w:spacing w:after="120" w:before="240"/>
      </w:pPr>
      <w:r>
        <w:rPr>
          <w:rFonts w:ascii="Times New Roman" w:cs="Times New Roman" w:eastAsia="Times New Roman" w:hAnsi="Times New Roman"/>
          <w:b/>
          <w:bCs/>
          <w:i w:val="false"/>
          <w:iCs w:val="false"/>
          <w:color w:val="262626"/>
          <w:sz w:val="27"/>
          <w:szCs w:val="27"/>
        </w:rPr>
        <w:t xml:space="preserve">V.3. Thiết kế mô phỏng: neo vào quan sát, hai hiệu chỉnh, CRN, bất định tham số</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Bốn kỹ thuật làm nên độ tin cậy của mô phỏng:</w:t>
      </w:r>
    </w:p>
    <w:p>
      <w:pPr>
        <w:spacing w:after="120" w:line="360"/>
        <w:jc w:val="both"/>
      </w:pPr>
      <w:r>
        <w:rPr>
          <w:rFonts w:ascii="Times New Roman" w:cs="Times New Roman" w:eastAsia="Times New Roman" w:hAnsi="Times New Roman"/>
          <w:b/>
          <w:bCs/>
          <w:i w:val="false"/>
          <w:iCs w:val="false"/>
          <w:color w:val="262626"/>
          <w:sz w:val="26"/>
          <w:szCs w:val="26"/>
        </w:rPr>
        <w:t xml:space="preserve">Neo vào quan sát (anchored counterfactual). </w:t>
      </w:r>
      <w:r>
        <w:rPr>
          <w:rFonts w:ascii="Times New Roman" w:cs="Times New Roman" w:eastAsia="Times New Roman" w:hAnsi="Times New Roman"/>
          <w:b w:val="false"/>
          <w:bCs w:val="false"/>
          <w:i w:val="false"/>
          <w:iCs w:val="false"/>
          <w:color w:val="262626"/>
          <w:sz w:val="26"/>
          <w:szCs w:val="26"/>
        </w:rPr>
        <w:t xml:space="preserve">Phát lại đúng 1.500 hồ sơ thật; chỉ thời gian chờ Pricing thay đổi. Kết quả phản thực = giá trị quan sát + (chờ dưới chính sách − chờ dưới FIFO). Nhờ vậy kịch bản hiện trạng tái lập chính xác dữ liệu (37,67% vi phạm), và mô phỏng chỉ đóng vai trò tạo chênh lệch.</w:t>
      </w:r>
    </w:p>
    <w:p>
      <w:pPr>
        <w:spacing w:after="120" w:line="360"/>
        <w:jc w:val="both"/>
      </w:pPr>
      <w:r>
        <w:rPr>
          <w:rFonts w:ascii="Times New Roman" w:cs="Times New Roman" w:eastAsia="Times New Roman" w:hAnsi="Times New Roman"/>
          <w:b/>
          <w:bCs/>
          <w:i w:val="false"/>
          <w:iCs w:val="false"/>
          <w:color w:val="262626"/>
          <w:sz w:val="26"/>
          <w:szCs w:val="26"/>
        </w:rPr>
        <w:t xml:space="preserve">Hai cách hiệu chỉnh (C1, C2). </w:t>
      </w:r>
      <w:r>
        <w:rPr>
          <w:rFonts w:ascii="Times New Roman" w:cs="Times New Roman" w:eastAsia="Times New Roman" w:hAnsi="Times New Roman"/>
          <w:b w:val="false"/>
          <w:bCs w:val="false"/>
          <w:i w:val="false"/>
          <w:iCs w:val="false"/>
          <w:color w:val="262626"/>
          <w:sz w:val="26"/>
          <w:szCs w:val="26"/>
        </w:rPr>
        <w:t xml:space="preserve">Tham số (m, κ) chọn để thời gian chờ FIFO khớp mục tiêu: C1 lấy phần thời gian Pricing quy được cho hàng đợi (0,412 ngày, m = 11, κ = 0,77) — cận dưới thận trọng; C2 lấy phần thời gian tổng quy được cho tải (1,165 ngày, m = 9, κ = 0,69) — cận trên.</w:t>
      </w:r>
    </w:p>
    <w:p>
      <w:pPr>
        <w:spacing w:after="120" w:line="360"/>
        <w:jc w:val="both"/>
      </w:pPr>
      <w:r>
        <w:rPr>
          <w:rFonts w:ascii="Times New Roman" w:cs="Times New Roman" w:eastAsia="Times New Roman" w:hAnsi="Times New Roman"/>
          <w:b/>
          <w:bCs/>
          <w:i w:val="false"/>
          <w:iCs w:val="false"/>
          <w:color w:val="262626"/>
          <w:sz w:val="26"/>
          <w:szCs w:val="26"/>
        </w:rPr>
        <w:t xml:space="preserve">Số ngẫu nhiên chung (CRN). </w:t>
      </w:r>
      <w:r>
        <w:rPr>
          <w:rFonts w:ascii="Times New Roman" w:cs="Times New Roman" w:eastAsia="Times New Roman" w:hAnsi="Times New Roman"/>
          <w:b w:val="false"/>
          <w:bCs w:val="false"/>
          <w:i w:val="false"/>
          <w:iCs w:val="false"/>
          <w:color w:val="262626"/>
          <w:sz w:val="26"/>
          <w:szCs w:val="26"/>
        </w:rPr>
        <w:t xml:space="preserve">Mọi chính sách dùng cùng chuỗi ngẫu nhiên trong mỗi lần lặp. Vì Var(X − Y) = Var X + Var Y − 2Cov(X,Y), CRN làm Cov lớn nên chênh lệch giữa hai chính sách được ước lượng rất chính xác — đó là lý do khoảng tin cậy hẹp.</w:t>
      </w:r>
    </w:p>
    <w:p>
      <w:pPr>
        <w:spacing w:after="120" w:line="360"/>
        <w:jc w:val="both"/>
      </w:pPr>
      <w:r>
        <w:rPr>
          <w:rFonts w:ascii="Times New Roman" w:cs="Times New Roman" w:eastAsia="Times New Roman" w:hAnsi="Times New Roman"/>
          <w:b/>
          <w:bCs/>
          <w:i w:val="false"/>
          <w:iCs w:val="false"/>
          <w:color w:val="262626"/>
          <w:sz w:val="26"/>
          <w:szCs w:val="26"/>
        </w:rPr>
        <w:t xml:space="preserve">Bất định tham số. </w:t>
      </w:r>
      <w:r>
        <w:rPr>
          <w:rFonts w:ascii="Times New Roman" w:cs="Times New Roman" w:eastAsia="Times New Roman" w:hAnsi="Times New Roman"/>
          <w:b w:val="false"/>
          <w:bCs w:val="false"/>
          <w:i w:val="false"/>
          <w:iCs w:val="false"/>
          <w:color w:val="262626"/>
          <w:sz w:val="26"/>
          <w:szCs w:val="26"/>
        </w:rPr>
        <w:t xml:space="preserve">Mỗi lần lặp rút lại bộ hệ số BT2 từ phân phối chuẩn nhiều chiều với ma trận hiệp phương sai ước lượng; 200 lần lặp. Kết quả vì vậy phản ánh cả sai số ước lượng của β_TAT, β_Queue.</w:t>
      </w:r>
    </w:p>
    <w:p>
      <w:pPr>
        <w:pStyle w:val="Heading2"/>
        <w:spacing w:after="120" w:before="240"/>
      </w:pPr>
      <w:r>
        <w:rPr>
          <w:rFonts w:ascii="Times New Roman" w:cs="Times New Roman" w:eastAsia="Times New Roman" w:hAnsi="Times New Roman"/>
          <w:b/>
          <w:bCs/>
          <w:i w:val="false"/>
          <w:iCs w:val="false"/>
          <w:color w:val="262626"/>
          <w:sz w:val="27"/>
          <w:szCs w:val="27"/>
        </w:rPr>
        <w:t xml:space="preserve">V.4. Bảy cơ chế và hai quy tắc phân luồng</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Quy tắc cμ (Cox &amp; Smith, 1961): phục vụ theo thứ tự giảm dần của c/w (chi phí chờ / thời gian xử lý)</w:t>
      </w:r>
      <w:r>
        <w:br/>
      </w:r>
      <w:r>
        <w:rPr>
          <w:rFonts w:ascii="Times New Roman" w:cs="Times New Roman" w:eastAsia="Times New Roman" w:hAnsi="Times New Roman"/>
          <w:color w:val="262626"/>
          <w:sz w:val="22"/>
          <w:szCs w:val="22"/>
        </w:rPr>
        <w:t xml:space="preserve">Quy tắc ATC (Vepsalainen &amp; Morton, 1987): I = (ω/w)·exp(−max(d − w − t, 0)/(K·w̄))</w:t>
      </w:r>
      <w:r>
        <w:br/>
      </w:r>
      <w:r>
        <w:rPr>
          <w:rFonts w:ascii="Times New Roman" w:cs="Times New Roman" w:eastAsia="Times New Roman" w:hAnsi="Times New Roman"/>
          <w:color w:val="262626"/>
          <w:sz w:val="22"/>
          <w:szCs w:val="22"/>
        </w:rPr>
        <w:t xml:space="preserve">G1 — ngưỡng giá bóng thuần: vào làn nhanh nếu còn kịp SLA và U·E[π] ≥ giá bóng suất xử lý</w:t>
      </w:r>
      <w:r>
        <w:br/>
      </w:r>
      <w:r>
        <w:rPr>
          <w:rFonts w:ascii="Times New Roman" w:cs="Times New Roman" w:eastAsia="Times New Roman" w:hAnsi="Times New Roman"/>
          <w:color w:val="262626"/>
          <w:sz w:val="22"/>
          <w:szCs w:val="22"/>
        </w:rPr>
        <w:t xml:space="preserve">G2 — chỉ số chi phí trễ: I = [λ_U(Q_t)·exp(−độ dư thời gian / w̄) + r·w̄] / ŵ với hồ sơ còn kịp;</w:t>
      </w:r>
      <w:r>
        <w:br/>
      </w:r>
      <w:r>
        <w:rPr>
          <w:rFonts w:ascii="Times New Roman" w:cs="Times New Roman" w:eastAsia="Times New Roman" w:hAnsi="Times New Roman"/>
          <w:color w:val="262626"/>
          <w:sz w:val="22"/>
          <w:szCs w:val="22"/>
        </w:rPr>
        <w:t xml:space="preserve">       hồ sơ đã chắc chắn trễ chỉ giữ thành phần xói mòn lợi nhuận r và xếp sau</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Trực giác G2: ưu tiên hồ sơ (i) nhạy cảm cam kết và đang sát hạn (thành phần λ_U·exp), (ii) có lợi nhuận bị xói mòn nhanh khi chờ (r, tính từ β_TAT, β_Queue), (iii) xử lý nhanh (chia cho ŵ — tinh thần cμ). Hồ sơ đã chắc chắn trễ bị đẩy ra sau vì cứu chúng không còn tránh được vi phạm.</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3400"/>
        <w:gridCol w:w="1500"/>
        <w:gridCol w:w="1100"/>
        <w:gridCol w:w="1500"/>
        <w:gridCol w:w="1100"/>
      </w:tblGrid>
      <w:tr>
        <w:trPr>
          <w:cantSplit/>
          <w:tblHeader/>
        </w:trPr>
        <w:tc>
          <w:tcPr>
            <w:tcW w:type="dxa" w:w="3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Cơ chế</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C1: lợi nhuận ròng vs P1</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C1: vi phạm</w:t>
            </w:r>
          </w:p>
        </w:tc>
        <w:tc>
          <w:tcPr>
            <w:tcW w:type="dxa" w:w="15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C2: lợi nhuận ròng vs P1</w:t>
            </w:r>
          </w:p>
        </w:tc>
        <w:tc>
          <w:tcPr>
            <w:tcW w:type="dxa" w:w="11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C2: vi phạm</w:t>
            </w:r>
          </w:p>
        </w:tc>
      </w:tr>
      <w:tr>
        <w:trPr>
          <w:cantSplit/>
        </w:trP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P1 Hiện trạng (giá lịch sử + FIFO)</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+0,00%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r>
      <w:tr>
        <w:trPr>
          <w:cantSplit/>
        </w:trPr>
        <w:tc>
          <w:tcPr>
            <w:tcW w:type="dxa" w:w="3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P2 CBPO + FIFO</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+14,65%</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+14,65%</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r>
      <w:tr>
        <w:trPr>
          <w:cantSplit/>
        </w:trP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P3 Giả dược λ̄ + FIFO</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+17,17%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+17,17%</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r>
      <w:tr>
        <w:trPr>
          <w:cantSplit/>
        </w:trPr>
        <w:tc>
          <w:tcPr>
            <w:tcW w:type="dxa" w:w="3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P4 Đồng bộ: phân luồng G2 + CBPO + λ(Q)·U</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+19,09%</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36,0%</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+23,73%</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32,2%</w:t>
            </w:r>
          </w:p>
        </w:tc>
      </w:tr>
      <w:tr>
        <w:trPr>
          <w:cantSplit/>
        </w:trP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P5 Chỉ phân luồng G2 + CBPO</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+17,04%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36,0%</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+21,74%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32,2%</w:t>
            </w:r>
          </w:p>
        </w:tc>
      </w:tr>
      <w:tr>
        <w:trPr>
          <w:cantSplit/>
        </w:trPr>
        <w:tc>
          <w:tcPr>
            <w:tcW w:type="dxa" w:w="3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P6 CBPO + λ(Q)·U + FIFO</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+16,76%</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c>
          <w:tcPr>
            <w:tcW w:type="dxa" w:w="15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+16,76%</w:t>
            </w:r>
          </w:p>
        </w:tc>
        <w:tc>
          <w:tcPr>
            <w:tcW w:type="dxa" w:w="11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37,7%</w:t>
            </w:r>
          </w:p>
        </w:tc>
      </w:tr>
      <w:tr>
        <w:trPr>
          <w:cantSplit/>
        </w:trPr>
        <w:tc>
          <w:tcPr>
            <w:tcW w:type="dxa" w:w="3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P7 Biến thể G1 (ngưỡng giá bóng) + CBPO + λ(Q)·U</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+17,74%</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37,1%</w:t>
            </w:r>
          </w:p>
        </w:tc>
        <w:tc>
          <w:tcPr>
            <w:tcW w:type="dxa" w:w="15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+19,20%</w:t>
            </w:r>
          </w:p>
        </w:tc>
        <w:tc>
          <w:tcPr>
            <w:tcW w:type="dxa" w:w="11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36,0%</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0.5: Kết quả mô phỏng tại π_SLA = 1 (Bảng 4.17)</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P4 − P3 (đồng bộ − giả dược): +1,91 điểm (C1), +6,56 điểm (C2). Phân rã: riêng phân luồng P5 − P2 = +2,40 (C1); riêng λ động trong giá P6 − P3 = −0,41 → giá trị đến hoàn toàn từ phân luồng. Vi phạm chỉ giảm xuống 36,0%–32,2% vì 85% hồ sơ vi phạm vượt 7 ngày nhiều hơn phần chờ có thể sắp xếp lại (C1) — muốn giảm sâu phải giảm khối lượng việc.</w:t>
      </w:r>
    </w:p>
    <w:p>
      <w:pPr>
        <w:pBdr>
          <w:left w:val="single" w:color="008448" w:sz="18"/>
        </w:pBdr>
        <w:shd w:fill="EEF5EC" w:val="clear"/>
        <w:spacing w:after="140" w:before="100" w:line="300"/>
        <w:ind w:left="160" w:right="80"/>
        <w:jc w:val="left"/>
      </w:pPr>
      <w:r>
        <w:rPr>
          <w:rFonts w:ascii="Times New Roman" w:cs="Times New Roman" w:eastAsia="Times New Roman" w:hAnsi="Times New Roman"/>
          <w:b/>
          <w:bCs/>
          <w:color w:val="008448"/>
          <w:sz w:val="24"/>
          <w:szCs w:val="24"/>
        </w:rPr>
        <w:t xml:space="preserve">Tại sao biến thể G1 thất bại khi π_SLA cao</w:t>
      </w:r>
      <w:r>
        <w:br/>
      </w:r>
      <w:r>
        <w:rPr>
          <w:rFonts w:ascii="Times New Roman" w:cs="Times New Roman" w:eastAsia="Times New Roman" w:hAnsi="Times New Roman"/>
          <w:color w:val="262626"/>
          <w:sz w:val="23"/>
          <w:szCs w:val="23"/>
        </w:rPr>
        <w:t xml:space="preserve">▸ Bid-price gốc là quy tắc TỪ CHỐI: từ chối giải phóng năng lực.</w:t>
      </w:r>
      <w:r>
        <w:br/>
      </w:r>
      <w:r>
        <w:rPr>
          <w:rFonts w:ascii="Times New Roman" w:cs="Times New Roman" w:eastAsia="Times New Roman" w:hAnsi="Times New Roman"/>
          <w:color w:val="262626"/>
          <w:sz w:val="23"/>
          <w:szCs w:val="23"/>
        </w:rPr>
        <w:t xml:space="preserve">▸ Trong báo giá, doanh nghiệp thường HOÃN chứ không từ chối: hồ sơ bị hoãn vẫn được xử lý và vẫn chịu vi phạm.</w:t>
      </w:r>
      <w:r>
        <w:br/>
      </w:r>
      <w:r>
        <w:rPr>
          <w:rFonts w:ascii="Times New Roman" w:cs="Times New Roman" w:eastAsia="Times New Roman" w:hAnsi="Times New Roman"/>
          <w:color w:val="262626"/>
          <w:sz w:val="23"/>
          <w:szCs w:val="23"/>
        </w:rPr>
        <w:t xml:space="preserve">▸ Khi giá bóng lớn, G1 hoãn nhiều hồ sơ → tự tạo thêm vi phạm; G2 đưa chi phí vi phạm của chính hồ sơ vào chỉ số nên tránh được.</w:t>
      </w:r>
      <w:r>
        <w:br/>
      </w:r>
      <w:r>
        <w:rPr>
          <w:rFonts w:ascii="Times New Roman" w:cs="Times New Roman" w:eastAsia="Times New Roman" w:hAnsi="Times New Roman"/>
          <w:color w:val="262626"/>
          <w:sz w:val="23"/>
          <w:szCs w:val="23"/>
        </w:rPr>
        <w:t xml:space="preserve">▸ Thứ tự xây dựng (G1 trước, G2 sau khi thấy G1 thất bại) đã được khai báo trong Mục 3.4.6 — hãy nói thẳng nếu bị hỏi.</w:t>
      </w:r>
    </w:p>
    <w:p>
      <w:pPr>
        <w:pStyle w:val="Heading2"/>
        <w:spacing w:after="120" w:before="240"/>
      </w:pPr>
      <w:r>
        <w:rPr>
          <w:rFonts w:ascii="Times New Roman" w:cs="Times New Roman" w:eastAsia="Times New Roman" w:hAnsi="Times New Roman"/>
          <w:b/>
          <w:bCs/>
          <w:i w:val="false"/>
          <w:iCs w:val="false"/>
          <w:color w:val="262626"/>
          <w:sz w:val="27"/>
          <w:szCs w:val="27"/>
        </w:rPr>
        <w:t xml:space="preserve">V.5. Mặt phẳng chuyển pha</w:t>
      </w:r>
    </w:p>
    <w:p>
      <w:pPr>
        <w:keepNext/>
        <w:spacing w:after="40" w:before="120"/>
      </w:pPr>
      <w:r>
        <w:rPr>
          <w:rFonts w:ascii="Times New Roman" w:cs="Times New Roman" w:eastAsia="Times New Roman" w:hAnsi="Times New Roman"/>
          <w:b/>
          <w:bCs/>
          <w:color w:val="004774"/>
          <w:sz w:val="24"/>
          <w:szCs w:val="24"/>
        </w:rPr>
        <w:t xml:space="preserve">① Lý thuyết</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“Mặt phẳng chuyển pha” (regime/phase diagram) quét hai tham số không chắc chắn và vẽ dấu/độ lớn của kết quả trên lưới, để thấy kết luận đúng trong vùng nào. Ở đây: k nhân |β_TAT|, |β_Queue| (độ nhạy thời gian của khách) và π_SLA (chi phí một lần vi phạm).</w:t>
      </w:r>
    </w:p>
    <w:p>
      <w:pPr>
        <w:keepNext/>
        <w:spacing w:after="40" w:before="120"/>
        <w:jc w:val="center"/>
      </w:pPr>
      <w:r>
        <w:drawing>
          <wp:inline distT="0" distB="0" distL="0" distR="0">
            <wp:extent cx="5486400" cy="1657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486400" cy="1657350"/>
                    </a:xfrm>
                    <a:prstGeom prst="rect">
                      <a:avLst/>
                    </a:prstGeom>
                  </pic:spPr>
                </pic:pic>
              </a:graphicData>
            </a:graphic>
          </wp:inline>
        </w:drawing>
      </w:r>
    </w:p>
    <w:p>
      <w:pPr>
        <w:spacing w:after="200" w:before="60"/>
        <w:jc w:val="center"/>
      </w:pPr>
      <w:r>
        <w:rPr>
          <w:rFonts w:ascii="Times New Roman" w:cs="Times New Roman" w:eastAsia="Times New Roman" w:hAnsi="Times New Roman"/>
          <w:b w:val="false"/>
          <w:bCs w:val="false"/>
          <w:i/>
          <w:iCs/>
          <w:color w:val="4D4D4D"/>
          <w:sz w:val="22"/>
          <w:szCs w:val="22"/>
        </w:rPr>
        <w:t xml:space="preserve">Hình 0.5: Mặt phẳng chuyển pha (Hình 4.9)</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G2 dương ở mọi ô (C1 từ +0,17 đến +6,76 điểm), kể cả k = 0 (+0,30 ở π = 1) — tức bền vững về DẤU kể cả khi khách hàng không phạt chậm. G1 có ranh giới đổi dấu thật: dương ở π thấp/k cao, âm ở π cao/k thấp (15/30 ô âm). Đây là cách mô phỏng “trả lời” điểm yếu nội sinh của BT2.</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Mô phỏng có phải bằng chứng không?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Không phải bằng chứng nhân quả. Nó là bằng chứng định hướng có điều kiện trên các giả định của mô hình: hàng đợi một tầng, quy luật phản hồi từ BT2, hai cách hiệu chỉnh. Khoảng tin cậy chỉ phản ánh nhiễu mô phỏng và bất định β, không phản ánh sai lệch đặc tả. Vai trò của nó là chọn chính sách đáng thử nghiệm và xác định tham số cần đo.</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Khoảng tin cậy hẹp như vậy có đáng ngờ không?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Hẹp là do số ngẫu nhiên chung (CRN): mọi chính sách chạy trên cùng chuỗi ngẫu nhiên nên phần nhiễu chung triệt tiêu khi lấy chênh lệch. Điều đó đúng về kỹ thuật, nhưng không nói gì về độ đúng của mô hình — nên luận văn trình bày hai kịch bản C1, C2 và mặt phẳng chuyển pha thay vì một con số.</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Vì sao giá không ảnh hưởng hàng đợi trong mô phỏng?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Vì công việc định giá phát sinh khi hồ sơ được tiếp nhận, trước quyết định giá; thắng hay thua thì Pricing vẫn phải làm. Đây là giả định được giữ tường minh để mô phỏng kiểm tra đúng lập luận Trụ cột II.</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VI. THIẾT KẾ THỰC NGHIỆM A/B THEO CỤM</w:t>
      </w:r>
    </w:p>
    <w:p>
      <w:pPr>
        <w:keepNext/>
        <w:spacing w:after="40" w:before="120"/>
      </w:pPr>
      <w:r>
        <w:rPr>
          <w:rFonts w:ascii="Times New Roman" w:cs="Times New Roman" w:eastAsia="Times New Roman" w:hAnsi="Times New Roman"/>
          <w:b/>
          <w:bCs/>
          <w:color w:val="004774"/>
          <w:sz w:val="24"/>
          <w:szCs w:val="24"/>
        </w:rPr>
        <w:t xml:space="preserve">① Lý thuyết</w:t>
      </w:r>
    </w:p>
    <w:p>
      <w:pPr>
        <w:keepLines/>
        <w:pBdr>
          <w:top w:val="single" w:color="DCE6EE" w:sz="2"/>
          <w:bottom w:val="single" w:color="DCE6EE" w:sz="2"/>
          <w:left w:val="single" w:color="004774" w:sz="14"/>
          <w:right w:val="single" w:color="DCE6EE" w:sz="2"/>
        </w:pBdr>
        <w:shd w:fill="F2F6F9" w:val="clear"/>
        <w:spacing w:after="100" w:before="80" w:line="280"/>
        <w:ind w:left="120" w:right="60"/>
        <w:jc w:val="left"/>
      </w:pPr>
      <w:r>
        <w:rPr>
          <w:rFonts w:ascii="Times New Roman" w:cs="Times New Roman" w:eastAsia="Times New Roman" w:hAnsi="Times New Roman"/>
          <w:color w:val="262626"/>
          <w:sz w:val="22"/>
          <w:szCs w:val="22"/>
        </w:rPr>
        <w:t xml:space="preserve">ICC (ANOVA một chiều) = (MSB − MSW) / (MSB + (m̄ − 1)·MSW)</w:t>
      </w:r>
      <w:r>
        <w:br/>
      </w:r>
      <w:r>
        <w:rPr>
          <w:rFonts w:ascii="Times New Roman" w:cs="Times New Roman" w:eastAsia="Times New Roman" w:hAnsi="Times New Roman"/>
          <w:color w:val="262626"/>
          <w:sz w:val="22"/>
          <w:szCs w:val="22"/>
        </w:rPr>
        <w:t xml:space="preserve">Hiệu ứng thiết kế:  DEFF = 1 + (m̄ − 1)·ICC   → cỡ mẫu hiệu dụng = n / DEFF</w:t>
      </w:r>
      <w:r>
        <w:br/>
      </w:r>
      <w:r>
        <w:rPr>
          <w:rFonts w:ascii="Times New Roman" w:cs="Times New Roman" w:eastAsia="Times New Roman" w:hAnsi="Times New Roman"/>
          <w:color w:val="262626"/>
          <w:sz w:val="22"/>
          <w:szCs w:val="22"/>
        </w:rPr>
        <w:t xml:space="preserve">Cỡ mẫu mỗi nhánh:   n = 2·(z_{1−α/2} + z_{1−β})²·σ² / δ² × DEFF</w:t>
      </w:r>
      <w:r>
        <w:br/>
      </w:r>
      <w:r>
        <w:rPr>
          <w:rFonts w:ascii="Times New Roman" w:cs="Times New Roman" w:eastAsia="Times New Roman" w:hAnsi="Times New Roman"/>
          <w:color w:val="262626"/>
          <w:sz w:val="22"/>
          <w:szCs w:val="22"/>
        </w:rPr>
        <w:t xml:space="preserve">MDE = (z_{1−α/2} + z_{1−β})·σ·√(2·DEFF/n)</w:t>
      </w:r>
      <w:r>
        <w:br/>
      </w:r>
      <w:r>
        <w:rPr>
          <w:rFonts w:ascii="Times New Roman" w:cs="Times New Roman" w:eastAsia="Times New Roman" w:hAnsi="Times New Roman"/>
          <w:color w:val="262626"/>
          <w:sz w:val="22"/>
          <w:szCs w:val="22"/>
        </w:rPr>
        <w:t xml:space="preserve">Ba nhánh, hai so sánh với đối chứng → Bonferroni: α/2 cho mỗi so sánh</w:t>
      </w:r>
    </w:p>
    <w:p>
      <w:pPr>
        <w:keepNext/>
        <w:spacing w:after="40" w:before="120"/>
      </w:pPr>
      <w:r>
        <w:rPr>
          <w:rFonts w:ascii="Times New Roman" w:cs="Times New Roman" w:eastAsia="Times New Roman" w:hAnsi="Times New Roman"/>
          <w:b/>
          <w:bCs/>
          <w:color w:val="90112C"/>
          <w:sz w:val="24"/>
          <w:szCs w:val="24"/>
        </w:rPr>
        <w:t xml:space="preserve">② Áp dụng trong luận văn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Ngẫu nhiên hóa theo HỒ SƠ (không thể chào hai chính sách giá cho các dòng của cùng một báo giá). ICC lợi nhuận = 0,1995, m̄ = 5,10 → DEFF = 1,818: mỗi dòng hàng chỉ mang khoảng 55% thông tin. Uplift 14%: hai nhánh cần 316 hồ sơ/nhánh (4,1 tháng); ba nhánh cần 382 hồ sơ/nhánh (7,5 tháng). Chỉ tiêu bảo vệ tỷ lệ thắng (biên 5 điểm, ba nhánh): 12,3 tháng.</w:t>
      </w:r>
    </w:p>
    <w:p>
      <w:pPr>
        <w:keepNext/>
        <w:spacing w:after="40" w:before="120"/>
      </w:pPr>
      <w:r>
        <w:rPr>
          <w:rFonts w:ascii="Times New Roman" w:cs="Times New Roman" w:eastAsia="Times New Roman" w:hAnsi="Times New Roman"/>
          <w:b/>
          <w:bCs/>
          <w:color w:val="008448"/>
          <w:sz w:val="24"/>
          <w:szCs w:val="24"/>
        </w:rPr>
        <w:t xml:space="preserve">③ Ý nghĩa và cách diễn giải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Ba nhánh = đối chứng (hiện trạng) + can thiệp (CBPO có neo C) + giả dược (nâng giá đồng loạt cùng tác động trung bình). Nhánh giả dược đắt về thời gian nhưng bắt buộc — bài học của Mục 4.3.6. Chỉ tiêu bảo vệ (guardrail) là tỷ lệ thắng, với biên không thua kém đăng ký trước.</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Vì sao không ngẫu nhiên hóa theo dòng hàng để có nhiều mẫu hơn?</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Không khả thi về vận hành (một báo giá gửi đi như một chỉnh thể) và sai về thống kê: dòng hàng cùng hồ sơ tương quan (ICC ≈ 0,2), nên coi chúng độc lập sẽ đánh giá thấp phương sai gần một nửa và cho p-value quá nhỏ.</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VII. CRISP-DM VÀ VỊ TRÍ CỦA LUẬN VĂN TRONG NGÀNH IE</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CRISP-DM (Wirth &amp; Hipp, 2000) gồm 6 pha: hiểu nghiệp vụ → hiểu dữ liệu → chuẩn bị dữ liệu → mô hình hóa → đánh giá → triển khai. Nó bao trọn BT1, BT2. Nhưng BT3 và mô phỏng (dẫn xuất cân bằng, giá bóng, đánh giá phản thực, thiết kế thực nghiệm) không thuộc pha nào của CRISP-DM — chúng thuộc vận trù học và kinh tế lượng. Vì vậy luận văn tổ chức theo hai trục chồng lên nhau (Hình 0.1).</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rPr>
          <w:cantSplit/>
          <w:tblHeader/>
        </w:trPr>
        <w:tc>
          <w:tcPr>
            <w:tcW w:type="dxa" w:w="3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Mảng kiến thức IE/ISE</w:t>
            </w:r>
          </w:p>
        </w:tc>
        <w:tc>
          <w:tcPr>
            <w:tcW w:type="dxa" w:w="60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Xuất hiện ở đâu trong luận văn</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Thống kê ứng dụng &amp; kinh tế lượng</w:t>
            </w:r>
          </w:p>
        </w:tc>
        <w:tc>
          <w:tcPr>
            <w:tcW w:type="dxa" w:w="6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OLS, HC3, chẩn đoán phần dư, logistic, sai số chuẩn cụm, nội sinh (BT1, BT2, H1)</w:t>
            </w:r>
          </w:p>
        </w:tc>
      </w:tr>
      <w:tr>
        <w:trPr>
          <w:cantSplit/>
        </w:trPr>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Khai phá dữ liệu / học máy</w:t>
            </w:r>
          </w:p>
        </w:tc>
        <w:tc>
          <w:tcPr>
            <w:tcW w:type="dxa" w:w="6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CRISP-DM, kiểm chứng chéo, chống rò rỉ, ablation, XGBoost, hiệu chuẩn</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Vận trù học / tối ưu</w:t>
            </w:r>
          </w:p>
        </w:tc>
        <w:tc>
          <w:tcPr>
            <w:tcW w:type="dxa" w:w="6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Tối ưu giá phi tuyến, điều kiện bậc nhất, giải số Brent, giá bóng (đối ngẫu)</w:t>
            </w:r>
          </w:p>
        </w:tc>
      </w:tr>
      <w:tr>
        <w:trPr>
          <w:cantSplit/>
        </w:trPr>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Lý thuyết trò chơi / đấu giá</w:t>
            </w:r>
          </w:p>
        </w:tc>
        <w:tc>
          <w:tcPr>
            <w:tcW w:type="dxa" w:w="6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Bayesian Nash, Krishna (2009), số đối thủ hiệu dụng</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Quản trị doanh thu</w:t>
            </w:r>
          </w:p>
        </w:tc>
        <w:tc>
          <w:tcPr>
            <w:tcW w:type="dxa" w:w="6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Gallego &amp; van Ryzin (1994), bid-price control (Talluri &amp; van Ryzin, 2004)</w:t>
            </w:r>
          </w:p>
        </w:tc>
      </w:tr>
      <w:tr>
        <w:trPr>
          <w:cantSplit/>
        </w:trPr>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Lý thuyết hàng đợi &amp; điều độ</w:t>
            </w:r>
          </w:p>
        </w:tc>
        <w:tc>
          <w:tcPr>
            <w:tcW w:type="dxa" w:w="6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M/G/m, định luật Little, quy tắc cμ, ATC, kỷ luật không ngắt</w:t>
            </w:r>
          </w:p>
        </w:tc>
      </w:tr>
      <w:tr>
        <w:trPr>
          <w:cantSplit/>
        </w:trPr>
        <w:tc>
          <w:tcPr>
            <w:tcW w:type="dxa" w:w="3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Mô phỏng</w:t>
            </w:r>
          </w:p>
        </w:tc>
        <w:tc>
          <w:tcPr>
            <w:tcW w:type="dxa" w:w="60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Mô phỏng rời rạc theo sự kiện, CRN, hiệu chỉnh, phân tích chế độ</w:t>
            </w:r>
          </w:p>
        </w:tc>
      </w:tr>
      <w:tr>
        <w:trPr>
          <w:cantSplit/>
        </w:trPr>
        <w:tc>
          <w:tcPr>
            <w:tcW w:type="dxa" w:w="3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Thiết kế thực nghiệm (DOE)</w:t>
            </w:r>
          </w:p>
        </w:tc>
        <w:tc>
          <w:tcPr>
            <w:tcW w:type="dxa" w:w="60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ICC, DEFF, MDE, phân tầng, Bonferroni, giả dược, guardrail</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0.6: Luận văn chạm tới những mảng nào của IE/ISE</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VIII. ĐIỂM YẾU CỦA LUẬN VĂN VÀ CÁCH ĐỨNG VỮNG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Nguyên tắc chung: hội đồng không đánh rớt vì luận văn có hạn chế, mà vì học viên không thấy hoặc che hạn chế. Với mỗi điểm yếu dưới đây, hãy (1) thừa nhận rõ, (2) nói luận văn đã làm gì để kiểm soát, (3) nói cần gì tiếp theo.</w:t>
      </w:r>
    </w:p>
    <w:p>
      <w:pPr>
        <w:pBdr>
          <w:left w:val="single" w:color="CC0000" w:sz="18"/>
        </w:pBdr>
        <w:shd w:fill="FDEEEE" w:val="clear"/>
        <w:spacing w:after="140" w:before="100" w:line="300"/>
        <w:ind w:left="160" w:right="80"/>
        <w:jc w:val="left"/>
      </w:pPr>
      <w:r>
        <w:rPr>
          <w:rFonts w:ascii="Times New Roman" w:cs="Times New Roman" w:eastAsia="Times New Roman" w:hAnsi="Times New Roman"/>
          <w:b/>
          <w:bCs/>
          <w:color w:val="CC0000"/>
          <w:sz w:val="24"/>
          <w:szCs w:val="24"/>
        </w:rPr>
        <w:t xml:space="preserve">1. Kênh thời gian phản hồi (β_Queue, β_TAT) là liên hệ có điều kiện và nhạy với cách chốt kết quả</w:t>
      </w:r>
      <w:r>
        <w:br/>
      </w:r>
      <w:r>
        <w:rPr>
          <w:rFonts w:ascii="Times New Roman" w:cs="Times New Roman" w:eastAsia="Times New Roman" w:hAnsi="Times New Roman"/>
          <w:color w:val="262626"/>
          <w:sz w:val="23"/>
          <w:szCs w:val="23"/>
        </w:rPr>
        <w:t xml:space="preserve">▸ Thừa nhận: nội sinh từ độ phức tạp ẩn; trên trạng thái trước đối soát (2,3% dòng đổi, tập trung ở hàng đợi sâu) hai hệ số không còn ý nghĩa.</w:t>
      </w:r>
      <w:r>
        <w:br/>
      </w:r>
      <w:r>
        <w:rPr>
          <w:rFonts w:ascii="Times New Roman" w:cs="Times New Roman" w:eastAsia="Times New Roman" w:hAnsi="Times New Roman"/>
          <w:color w:val="262626"/>
          <w:sz w:val="23"/>
          <w:szCs w:val="23"/>
        </w:rPr>
        <w:t xml:space="preserve">▸ Đã kiểm soát: kiểm tra độ vững được báo cáo (Mục 4.2.1, 5.5.1); mặt phẳng chuyển pha quét k từ 0; G2 vẫn dương khi k = 0.</w:t>
      </w:r>
      <w:r>
        <w:br/>
      </w:r>
      <w:r>
        <w:rPr>
          <w:rFonts w:ascii="Times New Roman" w:cs="Times New Roman" w:eastAsia="Times New Roman" w:hAnsi="Times New Roman"/>
          <w:color w:val="262626"/>
          <w:sz w:val="23"/>
          <w:szCs w:val="23"/>
        </w:rPr>
        <w:t xml:space="preserve">▸ Cần làm: lưu hồ sơ đối soát trạng thái đơn hàng để trình khi được hỏi; thực nghiệm ngẫu nhiên hóa thứ tự xử lý.</w:t>
      </w:r>
    </w:p>
    <w:p>
      <w:pPr>
        <w:pBdr>
          <w:left w:val="single" w:color="CC0000" w:sz="18"/>
        </w:pBdr>
        <w:shd w:fill="FDEEEE" w:val="clear"/>
        <w:spacing w:after="140" w:before="100" w:line="300"/>
        <w:ind w:left="160" w:right="80"/>
        <w:jc w:val="left"/>
      </w:pPr>
      <w:r>
        <w:rPr>
          <w:rFonts w:ascii="Times New Roman" w:cs="Times New Roman" w:eastAsia="Times New Roman" w:hAnsi="Times New Roman"/>
          <w:b/>
          <w:bCs/>
          <w:color w:val="CC0000"/>
          <w:sz w:val="24"/>
          <w:szCs w:val="24"/>
        </w:rPr>
        <w:t xml:space="preserve">2. Dữ liệu đã chuẩn hóa/ẩn danh; giá chào = giá vốn × markup</w:t>
      </w:r>
      <w:r>
        <w:br/>
      </w:r>
      <w:r>
        <w:rPr>
          <w:rFonts w:ascii="Times New Roman" w:cs="Times New Roman" w:eastAsia="Times New Roman" w:hAnsi="Times New Roman"/>
          <w:color w:val="262626"/>
          <w:sz w:val="23"/>
          <w:szCs w:val="23"/>
        </w:rPr>
        <w:t xml:space="preserve">▸ Thừa nhận: markup không mang thông tin thị trường; con số tuyệt đối kém bền hơn kết luận định tính.</w:t>
      </w:r>
      <w:r>
        <w:br/>
      </w:r>
      <w:r>
        <w:rPr>
          <w:rFonts w:ascii="Times New Roman" w:cs="Times New Roman" w:eastAsia="Times New Roman" w:hAnsi="Times New Roman"/>
          <w:color w:val="262626"/>
          <w:sz w:val="23"/>
          <w:szCs w:val="23"/>
        </w:rPr>
        <w:t xml:space="preserve">▸ Đã kiểm soát: dùng T/p làm biến giá (mang thông tin về giá khách kỳ vọng); báo cáo kết luận định tính.</w:t>
      </w:r>
    </w:p>
    <w:p>
      <w:pPr>
        <w:pBdr>
          <w:left w:val="single" w:color="CC0000" w:sz="18"/>
        </w:pBdr>
        <w:shd w:fill="FDEEEE" w:val="clear"/>
        <w:spacing w:after="140" w:before="100" w:line="300"/>
        <w:ind w:left="160" w:right="80"/>
        <w:jc w:val="left"/>
      </w:pPr>
      <w:r>
        <w:rPr>
          <w:rFonts w:ascii="Times New Roman" w:cs="Times New Roman" w:eastAsia="Times New Roman" w:hAnsi="Times New Roman"/>
          <w:b/>
          <w:bCs/>
          <w:color w:val="CC0000"/>
          <w:sz w:val="24"/>
          <w:szCs w:val="24"/>
        </w:rPr>
        <w:t xml:space="preserve">3. Các trường liên kết có quan hệ chặt với trường cũ</w:t>
      </w:r>
      <w:r>
        <w:br/>
      </w:r>
      <w:r>
        <w:rPr>
          <w:rFonts w:ascii="Times New Roman" w:cs="Times New Roman" w:eastAsia="Times New Roman" w:hAnsi="Times New Roman"/>
          <w:color w:val="262626"/>
          <w:sz w:val="23"/>
          <w:szCs w:val="23"/>
        </w:rPr>
        <w:t xml:space="preserve">▸ Effective_Competitors_N trùng Competitor_Intensity ở tầng thấp và trung bình (2, 3); chỉ tầng cao tách 4/5.</w:t>
      </w:r>
      <w:r>
        <w:br/>
      </w:r>
      <w:r>
        <w:rPr>
          <w:rFonts w:ascii="Times New Roman" w:cs="Times New Roman" w:eastAsia="Times New Roman" w:hAnsi="Times New Roman"/>
          <w:color w:val="262626"/>
          <w:sz w:val="23"/>
          <w:szCs w:val="23"/>
        </w:rPr>
        <w:t xml:space="preserve">▸ Urgency_SLA_Sensitivity là chỉ số thiết kế từ Is_Strategic và số cấp phê duyệt — không mang thông tin độc lập; được dùng làm TRỌNG SỐ chi phí vi phạm, không làm biến giải thích.</w:t>
      </w:r>
      <w:r>
        <w:br/>
      </w:r>
      <w:r>
        <w:rPr>
          <w:rFonts w:ascii="Times New Roman" w:cs="Times New Roman" w:eastAsia="Times New Roman" w:hAnsi="Times New Roman"/>
          <w:color w:val="262626"/>
          <w:sz w:val="23"/>
          <w:szCs w:val="23"/>
        </w:rPr>
        <w:t xml:space="preserve">▸ Market_Reserve_Bound ≈ 1,99 × giá vốn (biến thiên nhỏ) — vì vậy đặc tả C về cấu trúc là đặc tả tỷ lệ; đã nói rõ ở Mục 5.2.3.</w:t>
      </w:r>
    </w:p>
    <w:p>
      <w:pPr>
        <w:pBdr>
          <w:left w:val="single" w:color="CC0000" w:sz="18"/>
        </w:pBdr>
        <w:shd w:fill="FDEEEE" w:val="clear"/>
        <w:spacing w:after="140" w:before="100" w:line="300"/>
        <w:ind w:left="160" w:right="80"/>
        <w:jc w:val="left"/>
      </w:pPr>
      <w:r>
        <w:rPr>
          <w:rFonts w:ascii="Times New Roman" w:cs="Times New Roman" w:eastAsia="Times New Roman" w:hAnsi="Times New Roman"/>
          <w:b/>
          <w:bCs/>
          <w:color w:val="CC0000"/>
          <w:sz w:val="24"/>
          <w:szCs w:val="24"/>
        </w:rPr>
        <w:t xml:space="preserve">4. N không được nhận dạng; mô phỏng là mô hình; một doanh nghiệp</w:t>
      </w:r>
      <w:r>
        <w:br/>
      </w:r>
      <w:r>
        <w:rPr>
          <w:rFonts w:ascii="Times New Roman" w:cs="Times New Roman" w:eastAsia="Times New Roman" w:hAnsi="Times New Roman"/>
          <w:color w:val="262626"/>
          <w:sz w:val="23"/>
          <w:szCs w:val="23"/>
        </w:rPr>
        <w:t xml:space="preserve">▸ N: bốn phương pháp phân tán → độ nhạy đầy đủ; CBPO không phụ thuộc N.</w:t>
      </w:r>
      <w:r>
        <w:br/>
      </w:r>
      <w:r>
        <w:rPr>
          <w:rFonts w:ascii="Times New Roman" w:cs="Times New Roman" w:eastAsia="Times New Roman" w:hAnsi="Times New Roman"/>
          <w:color w:val="262626"/>
          <w:sz w:val="23"/>
          <w:szCs w:val="23"/>
        </w:rPr>
        <w:t xml:space="preserve">▸ Mô phỏng: hai kịch bản C1/C2, đọc như khoảng định hướng.</w:t>
      </w:r>
      <w:r>
        <w:br/>
      </w:r>
      <w:r>
        <w:rPr>
          <w:rFonts w:ascii="Times New Roman" w:cs="Times New Roman" w:eastAsia="Times New Roman" w:hAnsi="Times New Roman"/>
          <w:color w:val="262626"/>
          <w:sz w:val="23"/>
          <w:szCs w:val="23"/>
        </w:rPr>
        <w:t xml:space="preserve">▸ Khái quát hóa: đóng góp chuyển giao được là quy trình chẩn đoán (Cổng 3 bước), không phải con số.</w:t>
      </w:r>
    </w:p>
    <w:p>
      <w:pPr>
        <w:pBdr>
          <w:left w:val="single" w:color="CC0000" w:sz="18"/>
        </w:pBdr>
        <w:shd w:fill="FDEEEE" w:val="clear"/>
        <w:spacing w:after="140" w:before="100" w:line="300"/>
        <w:ind w:left="160" w:right="80"/>
        <w:jc w:val="left"/>
      </w:pPr>
      <w:r>
        <w:rPr>
          <w:rFonts w:ascii="Times New Roman" w:cs="Times New Roman" w:eastAsia="Times New Roman" w:hAnsi="Times New Roman"/>
          <w:b/>
          <w:bCs/>
          <w:color w:val="CC0000"/>
          <w:sz w:val="24"/>
          <w:szCs w:val="24"/>
        </w:rPr>
        <w:t xml:space="preserve">5. Minh bạch về công cụ hỗ trợ trong quá trình làm luận văn</w:t>
      </w:r>
      <w:r>
        <w:br/>
      </w:r>
      <w:r>
        <w:rPr>
          <w:rFonts w:ascii="Times New Roman" w:cs="Times New Roman" w:eastAsia="Times New Roman" w:hAnsi="Times New Roman"/>
          <w:color w:val="262626"/>
          <w:sz w:val="23"/>
          <w:szCs w:val="23"/>
        </w:rPr>
        <w:t xml:space="preserve">▸ Nếu luận văn có dùng công cụ AI hỗ trợ viết mã, phân tích hoặc soạn thảo, hãy tra quy định hiện hành của trường/khoa về sử dụng AI và khai báo theo đúng quy định (ví dụ một mục trong Lời cam đoan hoặc Phụ lục C).</w:t>
      </w:r>
      <w:r>
        <w:br/>
      </w:r>
      <w:r>
        <w:rPr>
          <w:rFonts w:ascii="Times New Roman" w:cs="Times New Roman" w:eastAsia="Times New Roman" w:hAnsi="Times New Roman"/>
          <w:color w:val="262626"/>
          <w:sz w:val="23"/>
          <w:szCs w:val="23"/>
        </w:rPr>
        <w:t xml:space="preserve">▸ Khi được hỏi, trả lời trung thực về cách anh đã dùng công cụ, và chứng tỏ anh hiểu, kiểm chứng và chịu trách nhiệm với từng bước — đó chính là mục đích của tài liệu này.</w:t>
      </w:r>
      <w:r>
        <w:br/>
      </w:r>
      <w:r>
        <w:rPr>
          <w:rFonts w:ascii="Times New Roman" w:cs="Times New Roman" w:eastAsia="Times New Roman" w:hAnsi="Times New Roman"/>
          <w:color w:val="262626"/>
          <w:sz w:val="23"/>
          <w:szCs w:val="23"/>
        </w:rPr>
        <w:t xml:space="preserve">▸ Tránh mọi câu trả lời mâu thuẫn với Lời cam đoan; nếu Lời cam đoan hiện chưa phản ánh đúng thực tế, nên điều chỉnh với GVHD trước khi nộp.</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IX. BỘ CÂU HỎI PHẢN BIỆN TỔNG HỢP</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IX.1. Câu hỏi tổng quát</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Đóng góp mới của luận văn là gì, nói trong một câu?</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Trên dữ liệu báo giá B2B thực, luận văn cho thấy giá bóng của năng lực chỉ tạo giá trị khi dùng để điều phối thứ tự tiếp nhận chứ không khi gắn vào giá chào, và cân bằng thuần giá chỉ áp dụng được khi miền chi phí được định nghĩa từ phía cầu ở cấp dòng hàng — kèm một quy trình kiểm chứng (giả dược, tỷ lệ kẹp, độ nhạy) để phát hiện những điều đó.</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Nếu chỉ được giữ một kết quả, anh giữ kết quả nào?</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CBPO +13,91%: dương, bền vững qua mọi phân tích độ nhạy, không phụ thuộc tham số không nhận dạng được, và có bản thiết kế A/B sẵn để xác nhận.</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Hai giả thuyết H1, H2 kết luận thế nào?</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H1 bị bác bỏ: hành vi lịch sử là cost-plus (b ≈ 0); giá tối ưu phản ứng với N nhưng yếu (b = −0,37); đặc tả cân bằng tốt nhất vẫn thua CBPO. H2: bác bỏ ở dạng tín hiệu giá (giả dược); được ủng hộ có điều kiện trong mô phỏng ở dạng quy tắc phân luồng.</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Vì sao gọi là “kết quả âm có giá trị”?</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Vì nó được chẩn đoán đầy đủ: biết vì sao thất bại (ba trụ cột), điều kiện đảo chiều (N, π_SLA, k), và một bộ tiêu chí để nghiên cứu sau kiểm tra trước khi đầu tư. Kết quả âm có chẩn đoán tích lũy tri thức; kết quả dương chưa kiểm chứng thì không.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IX.2. Câu hỏi kỹ thuật thống kê</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Breusch–Pagan và White khác gì nhau?</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BP hồi quy bình phương phần dư theo các biến độc lập — phát hiện phương sai thay đổi tuyến tính theo X. White thêm bình phương và tích chéo — tổng quát hơn, không cần giả định dạng. Trên thang gốc cả hai đều không bác bỏ.</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HC3 khác HC0 thế nào?</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HC0 dùng eᵢ² trực tiếp; HC3 chia cho (1 − hᵢᵢ)², phạt điểm đòn bẩy cao, nên ít bị đánh giá thấp phương sai ở mẫu hữu hạn (MacKinnon &amp; White, 1985).</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R² hiệu chỉnh có thể âm không?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Có, khi mô hình giải thích kém hơn mức kỳ vọng do ngẫu nhiên với số biến đó. Nó không phải bình phương của đại lượng nào.</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AUC có bị ảnh hưởng bởi tỷ lệ thắng (mất cân bằng lớp) không?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AUC không phụ thuộc ngưỡng và ít nhạy với mất cân bằng; nhưng Brier và hiệu chuẩn thì có. Vì vậy luận văn báo cáo cả ba.</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Vì sao dùng bootstrap cho khoảng tin cậy AUC?</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Phân phối mẫu của AUC không có dạng đóng đơn giản; bootstrap (1.000 lần lấy mẫu lại) cho khoảng tin cậy thực nghiệm mà không cần giả định phân phối.</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Sai số chuẩn cụm khác HC3 ra sao?</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HC3 cho phép phương sai khác nhau giữa quan sát nhưng giả định chúng độc lập. Sai số chuẩn cụm cho phép thêm tương quan trong cùng cụm (hồ sơ) — cần khi nhiều dòng hàng thuộc một hồ sơ.</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Nếu bỏ TAT_pred khỏi BT2 thì sao?</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Nhóm năng lực xử lý (hàng đợi, kinh nghiệm, TAT_pred) khi bị loại làm AUC giảm 0,0120 — đóng góp vừa. TAT_pred là cầu nối BT1 → BT2; bỏ nó thì BT1 không còn vai trò đầu vào.</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IX.3. Câu hỏi về tối ưu và lý thuyết</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Hãy viết điều kiện bậc nhất của bài toán giá.</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E[π] = (p − c)P(p). Đạo hàm: P + (p − c)P(1−P)(−γT/p²) = 0. Chia cho P: γT(p − c)(1 − P) = p². Vì P phụ thuộc p, phương trình ẩn → giải số. Đạo hàm bậc hai đổi dấu → phi tuyến, có cực đại nội suy duy nhất trên miền.</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Vì sao phải kẹp trong [P5; P95]?</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Mô hình xác suất thắng chỉ được học trong vùng giá đã quan sát; ra ngoài là ngoại suy. Kẹp giữ khuyến nghị trong vùng mô hình đáng tin, và báo cáo tỷ lệ kẹp cho biết đầu ra do công thức hay do ràng buộc quyết định.</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Best-response khác cân bằng Nash thế nào?</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Best-response tối ưu trước hành vi lịch sử của đối thủ (coi là cố định). Cân bằng Nash: mỗi bên tối ưu đồng thời trước chiến lược cân bằng của bên kia — hành vi đối thủ là nội sinh. CBPO là best-response một phía, không phải Nash; luận văn không gọi nó là Nash.</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P(Win|p,x) có phải xác suất hậu nghiệm Bayes không?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Không. Đó là ước lượng thực nghiệm dạng rút gọn từ hồi quy logistic, không phải hậu nghiệm của một mô hình Bayes. Chữ “Bayesian” chỉ xuất hiện trong “Bayesian Nash” — khái niệm cân bằng với thông tin không đầy đủ.</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Giá bóng trong luận văn có phải biến đối ngẫu của một bài toán quy hoạch không?</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Về tinh thần là có (giá trị cận biên của năng lực), nhưng luận văn không giải bài toán quy hoạch tuyến tính; λ(Q) được xây từ ngoại tác tắc nghẽn: số vi phạm kỳ vọng tăng thêm khi nhận thêm một hồ sơ, nhân với chi phí một lần vi phạm.</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π_SLA lấy ở đâu?</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Không có số liệu kế toán, nên hiệu chỉnh 0,5 lần biên lợi nhuận và quét từ 0,25 đến 5 lần. Ngưỡng hòa vốn để giá bóng ngang lợi nhuận hồ sơ trung vị là khoảng 149 USD (4,2 lần biên) — tham số doanh nghiệp cần xác định.</w:t>
      </w:r>
    </w:p>
    <w:p>
      <w:pPr>
        <w:pStyle w:val="Heading2"/>
        <w:spacing w:after="120" w:before="240"/>
      </w:pPr>
      <w:r>
        <w:rPr>
          <w:rFonts w:ascii="Times New Roman" w:cs="Times New Roman" w:eastAsia="Times New Roman" w:hAnsi="Times New Roman"/>
          <w:b/>
          <w:bCs/>
          <w:i w:val="false"/>
          <w:iCs w:val="false"/>
          <w:color w:val="262626"/>
          <w:sz w:val="27"/>
          <w:szCs w:val="27"/>
        </w:rPr>
        <w:t xml:space="preserve">IX.4. Câu hỏi về dữ liệu và ứng dụng</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Bộ dữ liệu được lấy và xử lý thế nào?</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Trích từ ERP, liên kết CRM và Sourcing; 11.694 bản ghi thô → 8.249 hợp lệ sau loại trùng, thiếu khóa, trạng thái không xác định; đã ẩn danh hóa và tiêm nhiễu theo yêu cầu bảo mật; BT2 loại khuyết còn 7.519 dòng. Biến kết quả theo trạng thái đơn hàng cuối kỳ.</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Doanh nghiệp nên làm gì ngày mai?</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Bốn việc theo Bảng 6.3: chạy A/B ba nhánh cho định giá hiệu chuẩn; thí điểm bộ lọc phân luồng G2 ở chế độ xếp thứ tự tại pha Sales-WBS; xác định chi phí kế toán của một lần trễ hạn và đo độ nhạy thời gian của khách; giảm số lần làm rõ bản vẽ ở khâu tiếp nhận.</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Vì sao bộ lọc đặt ở pha Sales-WBS?</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Vì đó là điểm cuối cùng trước khi hồ sơ vào hàng đợi Pricing — sau đó không còn đòn bẩy nào chạm được vào thời gian chờ. Sales cũng là khâu biến động tương đối cao nhất, nơi phân loại hồ sơ theo độ phức tạp có giá trị nhất.</w:t>
      </w:r>
    </w:p>
    <w:p>
      <w:pPr>
        <w:keepNext/>
        <w:spacing w:after="60" w:before="160"/>
      </w:pPr>
      <w:r>
        <w:rPr>
          <w:rFonts w:ascii="Times New Roman" w:cs="Times New Roman" w:eastAsia="Times New Roman" w:hAnsi="Times New Roman"/>
          <w:b/>
          <w:bCs/>
          <w:color w:val="004774"/>
          <w:sz w:val="24"/>
          <w:szCs w:val="24"/>
        </w:rPr>
        <w:t xml:space="preserve">Hỏi: </w:t>
      </w:r>
      <w:r>
        <w:rPr>
          <w:rFonts w:ascii="Times New Roman" w:cs="Times New Roman" w:eastAsia="Times New Roman" w:hAnsi="Times New Roman"/>
          <w:b/>
          <w:bCs/>
          <w:i/>
          <w:iCs/>
          <w:color w:val="262626"/>
          <w:sz w:val="24"/>
          <w:szCs w:val="24"/>
        </w:rPr>
        <w:t xml:space="preserve">Mô hình triển khai thế nào trong thực tế?</w:t>
      </w:r>
    </w:p>
    <w:p>
      <w:pPr>
        <w:spacing w:after="120" w:line="330"/>
        <w:ind w:left="360"/>
        <w:jc w:val="both"/>
      </w:pPr>
      <w:r>
        <w:rPr>
          <w:rFonts w:ascii="Times New Roman" w:cs="Times New Roman" w:eastAsia="Times New Roman" w:hAnsi="Times New Roman"/>
          <w:b/>
          <w:bCs/>
          <w:color w:val="008448"/>
          <w:sz w:val="24"/>
          <w:szCs w:val="24"/>
        </w:rPr>
        <w:t xml:space="preserve">Gợi ý trả lời: </w:t>
      </w:r>
      <w:r>
        <w:rPr>
          <w:rFonts w:ascii="Times New Roman" w:cs="Times New Roman" w:eastAsia="Times New Roman" w:hAnsi="Times New Roman"/>
          <w:color w:val="262626"/>
          <w:sz w:val="24"/>
          <w:szCs w:val="24"/>
        </w:rPr>
        <w:t xml:space="preserve">Giữ vai trò hỗ trợ quyết định: người định giá có quyền ghi đè và mọi lần ghi đè được ghi nhận; quy tắc phân tích đăng ký trước; huấn luyện lại định kỳ và theo dõi chỉ số ổn định; lưu vết dữ liệu trạng thái đơn hàng.</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X. BẢNG TRA CỨU NHANH VÀ THUẬT NGỮ</w:t>
      </w:r>
    </w:p>
    <w:p>
      <w:pPr>
        <w:pStyle w:val="Heading2"/>
        <w:spacing w:after="120" w:before="240"/>
      </w:pPr>
      <w:r>
        <w:rPr>
          <w:rFonts w:ascii="Times New Roman" w:cs="Times New Roman" w:eastAsia="Times New Roman" w:hAnsi="Times New Roman"/>
          <w:b/>
          <w:bCs/>
          <w:i w:val="false"/>
          <w:iCs w:val="false"/>
          <w:color w:val="262626"/>
          <w:sz w:val="27"/>
          <w:szCs w:val="27"/>
        </w:rPr>
        <w:t xml:space="preserve">X.1. Những con số cần thuộc</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rPr>
          <w:cantSplit/>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Nội dung</w:t>
            </w:r>
          </w:p>
        </w:tc>
        <w:tc>
          <w:tcPr>
            <w:tcW w:type="dxa" w:w="6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Giá trị</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Quy mô</w:t>
            </w:r>
          </w:p>
        </w:tc>
        <w:tc>
          <w:tcPr>
            <w:tcW w:type="dxa" w:w="6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1.500 hồ sơ × 31 trường; 8.249 dòng hàng × 23 trường; 220 khách; 299 ngày</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Vi phạm SLA 7 ngày</w:t>
            </w:r>
          </w:p>
        </w:tc>
        <w:tc>
          <w:tcPr>
            <w:tcW w:type="dxa" w:w="6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565/1.500 = 37,67%; TAT trung vị 6,20 ngày</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Tỷ lệ thắng; chênh thấp–cao</w:t>
            </w:r>
          </w:p>
        </w:tc>
        <w:tc>
          <w:tcPr>
            <w:tcW w:type="dxa" w:w="6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63,41%; 22,10 điểm % (markup chỉ 0,35 điểm %)</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BT1</w:t>
            </w:r>
          </w:p>
        </w:tc>
        <w:tc>
          <w:tcPr>
            <w:tcW w:type="dxa" w:w="6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CV Sales 0,760; hiệp phương sai 47,4%; r(Sales,Pricing) −0,037; BP p gốc 0,609; hai đường tính chênh 0,77%</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BT2</w:t>
            </w:r>
          </w:p>
        </w:tc>
        <w:tc>
          <w:tcPr>
            <w:tcW w:type="dxa" w:w="6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AUC 0,7808; Brier 0,1814; β giá +0,838; β hàng đợi −0,222; β TAT −0,093; AUC không giá 0,719</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BT3 chính sách</w:t>
            </w:r>
          </w:p>
        </w:tc>
        <w:tc>
          <w:tcPr>
            <w:tcW w:type="dxa" w:w="6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CBPO +13,91% (kẹp 36%); Nash A/B kẹp 85%/100%; Nash C kẹp 32%, +10,45%</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H1</w:t>
            </w:r>
          </w:p>
        </w:tc>
        <w:tc>
          <w:tcPr>
            <w:tcW w:type="dxa" w:w="6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Lịch sử b = −0,0033; FOC b = −0,370; Nash C b = −1,121 (đồng nhất thức)</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H2 tĩnh (giả dược)</w:t>
            </w:r>
          </w:p>
        </w:tc>
        <w:tc>
          <w:tcPr>
            <w:tcW w:type="dxa" w:w="6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λ(Q) −0,18 điểm; λ(Q)·U −0,23 điểm</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Mô phỏng (π = 1)</w:t>
            </w:r>
          </w:p>
        </w:tc>
        <w:tc>
          <w:tcPr>
            <w:tcW w:type="dxa" w:w="6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P4 − P3: +1,91 (C1) / +6,56 (C2) điểm; vi phạm 36,0% / 32,2%</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A/B</w:t>
            </w:r>
          </w:p>
        </w:tc>
        <w:tc>
          <w:tcPr>
            <w:tcW w:type="dxa" w:w="6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ICC 0,200, DEFF 1,82; 3 nhánh: 382 hồ sơ/nhánh, 7,5 tháng</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0.7: Bảng tra số liệu then chốt</w:t>
      </w:r>
    </w:p>
    <w:p>
      <w:pPr>
        <w:pStyle w:val="Heading2"/>
        <w:spacing w:after="120" w:before="240"/>
      </w:pPr>
      <w:r>
        <w:rPr>
          <w:rFonts w:ascii="Times New Roman" w:cs="Times New Roman" w:eastAsia="Times New Roman" w:hAnsi="Times New Roman"/>
          <w:b/>
          <w:bCs/>
          <w:i w:val="false"/>
          <w:iCs w:val="false"/>
          <w:color w:val="262626"/>
          <w:sz w:val="27"/>
          <w:szCs w:val="27"/>
        </w:rPr>
        <w:t xml:space="preserve">X.2. Thuật ngữ Anh – Việt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300"/>
        <w:gridCol w:w="5700"/>
      </w:tblGrid>
      <w:tr>
        <w:trPr>
          <w:cantSplit/>
          <w:tblHeader/>
        </w:trPr>
        <w:tc>
          <w:tcPr>
            <w:tcW w:type="dxa" w:w="3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Thuật ngữ</w:t>
            </w:r>
          </w:p>
        </w:tc>
        <w:tc>
          <w:tcPr>
            <w:tcW w:type="dxa" w:w="5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Nghĩa ngắn gọn</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Heteroskedasticity</w:t>
            </w:r>
          </w:p>
        </w:tc>
        <w:tc>
          <w:tcPr>
            <w:tcW w:type="dxa" w:w="5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Phương sai sai số thay đổi theo quan sát</w:t>
            </w:r>
          </w:p>
        </w:tc>
      </w:tr>
      <w:tr>
        <w:trPr>
          <w:cantSplit/>
        </w:trP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Robust (HC3) standard error</w:t>
            </w:r>
          </w:p>
        </w:tc>
        <w:tc>
          <w:tcPr>
            <w:tcW w:type="dxa" w:w="5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Sai số chuẩn vững với phương sai thay đổi</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Leverage</w:t>
            </w:r>
          </w:p>
        </w:tc>
        <w:tc>
          <w:tcPr>
            <w:tcW w:type="dxa" w:w="5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Đòn bẩy — mức ảnh hưởng tiềm năng của một quan sát lên đường hồi quy</w:t>
            </w:r>
          </w:p>
        </w:tc>
      </w:tr>
      <w:tr>
        <w:trPr>
          <w:cantSplit/>
        </w:trP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Out-of-fold (OOF)</w:t>
            </w:r>
          </w:p>
        </w:tc>
        <w:tc>
          <w:tcPr>
            <w:tcW w:type="dxa" w:w="5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Dự báo cho quan sát từ mô hình không huấn luyện trên nó</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Data leakage</w:t>
            </w:r>
          </w:p>
        </w:tc>
        <w:tc>
          <w:tcPr>
            <w:tcW w:type="dxa" w:w="5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Rò rỉ dữ liệu — thông tin kiểm tra lọt vào huấn luyện</w:t>
            </w:r>
          </w:p>
        </w:tc>
      </w:tr>
      <w:tr>
        <w:trPr>
          <w:cantSplit/>
        </w:trP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Calibration</w:t>
            </w:r>
          </w:p>
        </w:tc>
        <w:tc>
          <w:tcPr>
            <w:tcW w:type="dxa" w:w="5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Hiệu chuẩn — xác suất dự báo khớp tần suất thực</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Ablation</w:t>
            </w:r>
          </w:p>
        </w:tc>
        <w:tc>
          <w:tcPr>
            <w:tcW w:type="dxa" w:w="5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Loại từng nhóm biến để đo đóng góp</w:t>
            </w:r>
          </w:p>
        </w:tc>
      </w:tr>
      <w:tr>
        <w:trPr>
          <w:cantSplit/>
        </w:trP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Endogeneity</w:t>
            </w:r>
          </w:p>
        </w:tc>
        <w:tc>
          <w:tcPr>
            <w:tcW w:type="dxa" w:w="5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Nội sinh — biến độc lập tương quan với sai số do biến ẩn</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Conditional association</w:t>
            </w:r>
          </w:p>
        </w:tc>
        <w:tc>
          <w:tcPr>
            <w:tcW w:type="dxa" w:w="5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Liên hệ có điều kiện — chưa phải nhân quả</w:t>
            </w:r>
          </w:p>
        </w:tc>
      </w:tr>
      <w:tr>
        <w:trPr>
          <w:cantSplit/>
        </w:trP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Best-response</w:t>
            </w:r>
          </w:p>
        </w:tc>
        <w:tc>
          <w:tcPr>
            <w:tcW w:type="dxa" w:w="5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Tối ưu một phía trước hành vi đối thủ cố định</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Bayesian Nash equilibrium</w:t>
            </w:r>
          </w:p>
        </w:tc>
        <w:tc>
          <w:tcPr>
            <w:tcW w:type="dxa" w:w="5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Cân bằng khi mỗi bên tối ưu theo niềm tin về loại của đối thủ</w:t>
            </w:r>
          </w:p>
        </w:tc>
      </w:tr>
      <w:tr>
        <w:trPr>
          <w:cantSplit/>
        </w:trP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Bid shading</w:t>
            </w:r>
          </w:p>
        </w:tc>
        <w:tc>
          <w:tcPr>
            <w:tcW w:type="dxa" w:w="5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Cộng thêm vào chi phí trong giá chào, giảm khi cạnh tranh tăng</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Shadow price</w:t>
            </w:r>
          </w:p>
        </w:tc>
        <w:tc>
          <w:tcPr>
            <w:tcW w:type="dxa" w:w="5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Giá bóng — giá trị cận biên của một đơn vị tài nguyên</w:t>
            </w:r>
          </w:p>
        </w:tc>
      </w:tr>
      <w:tr>
        <w:trPr>
          <w:cantSplit/>
        </w:trP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Bid-price control</w:t>
            </w:r>
          </w:p>
        </w:tc>
        <w:tc>
          <w:tcPr>
            <w:tcW w:type="dxa" w:w="5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Nhận yêu cầu khi giá trị ≥ tổng giá bóng tài nguyên tiêu thụ</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Placebo arm</w:t>
            </w:r>
          </w:p>
        </w:tc>
        <w:tc>
          <w:tcPr>
            <w:tcW w:type="dxa" w:w="5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Nhánh giả dược — cùng tác động trung bình, bỏ cơ chế</w:t>
            </w:r>
          </w:p>
        </w:tc>
      </w:tr>
      <w:tr>
        <w:trPr>
          <w:cantSplit/>
        </w:trP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Common random numbers</w:t>
            </w:r>
          </w:p>
        </w:tc>
        <w:tc>
          <w:tcPr>
            <w:tcW w:type="dxa" w:w="5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Số ngẫu nhiên chung — giảm phương sai khi so sánh chính sách</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Design effect (DEFF)</w:t>
            </w:r>
          </w:p>
        </w:tc>
        <w:tc>
          <w:tcPr>
            <w:tcW w:type="dxa" w:w="5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Hệ số thổi phồng cỡ mẫu do phân cụm</w:t>
            </w:r>
          </w:p>
        </w:tc>
      </w:tr>
      <w:tr>
        <w:trPr>
          <w:cantSplit/>
        </w:trP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Minimum detectable effect</w:t>
            </w:r>
          </w:p>
        </w:tc>
        <w:tc>
          <w:tcPr>
            <w:tcW w:type="dxa" w:w="5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Hiệu ứng nhỏ nhất phát hiện được với công suất cho trước</w:t>
            </w:r>
          </w:p>
        </w:tc>
      </w:tr>
      <w:tr>
        <w:trPr>
          <w:cantSplit/>
        </w:trPr>
        <w:tc>
          <w:tcPr>
            <w:tcW w:type="dxa" w:w="3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Guardrail metric</w:t>
            </w:r>
          </w:p>
        </w:tc>
        <w:tc>
          <w:tcPr>
            <w:tcW w:type="dxa" w:w="5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Chỉ tiêu bảo vệ — không được xấu đi quá biên cho phép</w:t>
            </w:r>
          </w:p>
        </w:tc>
      </w:tr>
      <w:tr>
        <w:trPr>
          <w:cantSplit/>
        </w:trPr>
        <w:tc>
          <w:tcPr>
            <w:tcW w:type="dxa" w:w="3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Phase / regime diagram</w:t>
            </w:r>
          </w:p>
        </w:tc>
        <w:tc>
          <w:tcPr>
            <w:tcW w:type="dxa" w:w="5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center"/>
            </w:pPr>
            <w:r>
              <w:rPr>
                <w:rFonts w:ascii="Times New Roman" w:cs="Times New Roman" w:eastAsia="Times New Roman" w:hAnsi="Times New Roman"/>
                <w:color w:val="262626"/>
                <w:sz w:val="22"/>
                <w:szCs w:val="22"/>
              </w:rPr>
              <w:t xml:space="preserve">Mặt phẳng chuyển pha — kết luận theo vùng tham số</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0.8: Thuật ngữ</w:t>
      </w:r>
    </w:p>
    <w:p>
      <w:pPr>
        <w:pStyle w:val="Heading2"/>
        <w:spacing w:after="120" w:before="240"/>
      </w:pPr>
      <w:r>
        <w:rPr>
          <w:rFonts w:ascii="Times New Roman" w:cs="Times New Roman" w:eastAsia="Times New Roman" w:hAnsi="Times New Roman"/>
          <w:b/>
          <w:bCs/>
          <w:i w:val="false"/>
          <w:iCs w:val="false"/>
          <w:color w:val="262626"/>
          <w:sz w:val="27"/>
          <w:szCs w:val="27"/>
        </w:rPr>
        <w:t xml:space="preserve">X.3. Bản đồ mã nguồn → mục luận văn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4700"/>
        <w:gridCol w:w="1700"/>
      </w:tblGrid>
      <w:tr>
        <w:trPr>
          <w:cantSplit/>
          <w:tblHeader/>
        </w:trPr>
        <w:tc>
          <w:tcPr>
            <w:tcW w:type="dxa" w:w="26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Tập lệnh</w:t>
            </w:r>
          </w:p>
        </w:tc>
        <w:tc>
          <w:tcPr>
            <w:tcW w:type="dxa" w:w="4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Làm gì</w:t>
            </w:r>
          </w:p>
        </w:tc>
        <w:tc>
          <w:tcPr>
            <w:tcW w:type="dxa" w:w="1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Mục</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ch1_stats.py</w:t>
            </w:r>
          </w:p>
        </w:tc>
        <w:tc>
          <w:tcPr>
            <w:tcW w:type="dxa" w:w="4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Thống kê nền, mô tả dữ liệu</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1.2, 3.1, B.3</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bt1_pertask.py</w:t>
            </w:r>
          </w:p>
        </w:tc>
        <w:tc>
          <w:tcPr>
            <w:tcW w:type="dxa" w:w="4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EDA khâu, kiểm định đồng nhất, bootstrap CV, phân rã phương sai, chẩn đoán phần dư</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4.1</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bt1_models.py</w:t>
            </w:r>
          </w:p>
        </w:tc>
        <w:tc>
          <w:tcPr>
            <w:tcW w:type="dxa" w:w="4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 đặc tả, hai đường tính, hồi quy từng khâu</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4.1.2–4.1.4</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metric_compare.py</w:t>
            </w:r>
          </w:p>
        </w:tc>
        <w:tc>
          <w:tcPr>
            <w:tcW w:type="dxa" w:w="4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Thí nghiệm biến nhiễu R² / pseudo R²</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A.2, B.1</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bt3_form2.py</w:t>
            </w:r>
          </w:p>
        </w:tc>
        <w:tc>
          <w:tcPr>
            <w:tcW w:type="dxa" w:w="4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Kiểm chứng FOC bằng dò lưới và Brent</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4.3.1</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ch4_bt12.py</w:t>
            </w:r>
          </w:p>
        </w:tc>
        <w:tc>
          <w:tcPr>
            <w:tcW w:type="dxa" w:w="4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TAT_pred OOF, logistic, hiệu chuẩn, ablation, XGBoost, kiểm tra độ vững</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4.2</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ch4_bt3.py</w:t>
            </w:r>
          </w:p>
        </w:tc>
        <w:tc>
          <w:tcPr>
            <w:tcW w:type="dxa" w:w="4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Chính sách giá, Nash A/B/C, λ, giả dược, H1, độ nhạy, A/B</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4.3, 4.6</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ch4_sim.py, ch4_sim_figs.py</w:t>
            </w:r>
          </w:p>
        </w:tc>
        <w:tc>
          <w:tcPr>
            <w:tcW w:type="dxa" w:w="4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Mô phỏng hàng đợi, 7 cơ chế, mặt phẳng chuyển pha</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4.4</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ch5_triage.py</w:t>
            </w:r>
          </w:p>
        </w:tc>
        <w:tc>
          <w:tcPr>
            <w:tcW w:type="dxa" w:w="4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Độ lớn giá bóng, ngưỡng hòa vốn</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5.3.4</w:t>
            </w:r>
          </w:p>
        </w:tc>
      </w:tr>
      <w:tr>
        <w:trPr>
          <w:cantSplit/>
        </w:trPr>
        <w:tc>
          <w:tcPr>
            <w:tcW w:type="dxa" w:w="26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ch4_icc_appx.py</w:t>
            </w:r>
          </w:p>
        </w:tc>
        <w:tc>
          <w:tcPr>
            <w:tcW w:type="dxa" w:w="4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ICC, hệ số Phụ lục A</w:t>
            </w:r>
          </w:p>
        </w:tc>
        <w:tc>
          <w:tcPr>
            <w:tcW w:type="dxa" w:w="1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A.1, B.2, 4.6</w:t>
            </w:r>
          </w:p>
        </w:tc>
      </w:tr>
      <w:tr>
        <w:trPr>
          <w:cantSplit/>
        </w:trPr>
        <w:tc>
          <w:tcPr>
            <w:tcW w:type="dxa" w:w="26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figs_ch1_ch3.py</w:t>
            </w:r>
          </w:p>
        </w:tc>
        <w:tc>
          <w:tcPr>
            <w:tcW w:type="dxa" w:w="4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Hình 1.1, 1.2, 3.1</w:t>
            </w:r>
          </w:p>
        </w:tc>
        <w:tc>
          <w:tcPr>
            <w:tcW w:type="dxa" w:w="1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1, 3</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0.9: Mã nguồn và mục tương ứng</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Gợi ý luyện tập cuối cùng: mở từng tập lệnh, đọc khối chú thích đầu file, chạy lại bằng bash run_all.sh, rồi đối chiếu một con số trong JSON với một câu trong luận văn. Làm được điều này cho 10 con số quan trọng nhất ở Bảng 0.7 là đủ tự tin trả lời câu hỏi “anh tính con số này thế nào?”.</w:t>
      </w:r>
    </w:p>
    <w:p>
      <w:pPr>
        <w:pStyle w:val="Heading1"/>
        <w:pageBreakBefore/>
        <w:spacing w:after="240" w:before="0"/>
      </w:pPr>
      <w:r>
        <w:rPr>
          <w:rFonts w:ascii="Times New Roman" w:cs="Times New Roman" w:eastAsia="Times New Roman" w:hAnsi="Times New Roman"/>
          <w:b/>
          <w:bCs/>
          <w:i w:val="false"/>
          <w:iCs w:val="false"/>
          <w:color w:val="CC0000"/>
          <w:sz w:val="30"/>
          <w:szCs w:val="30"/>
        </w:rPr>
        <w:t xml:space="preserve">PHẦN XI. ĐỌC LUẬN VĂN THEO CHƯƠNG</w:t>
      </w:r>
    </w:p>
    <w:p>
      <w:pPr>
        <w:pStyle w:val="Heading2"/>
        <w:spacing w:after="120" w:before="240"/>
      </w:pPr>
      <w:r>
        <w:rPr>
          <w:rFonts w:ascii="Times New Roman" w:cs="Times New Roman" w:eastAsia="Times New Roman" w:hAnsi="Times New Roman"/>
          <w:b/>
          <w:bCs/>
          <w:i w:val="false"/>
          <w:iCs w:val="false"/>
          <w:color w:val="262626"/>
          <w:sz w:val="27"/>
          <w:szCs w:val="27"/>
        </w:rPr>
        <w:t xml:space="preserve">XI.1. Chương 5 — ba trụ cột biện luận</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Chương 5 không lặp lại kết quả mà trả lời câu hỏi “vì sao các kết quả cùng đúng”. Mỗi trụ cột dựa trên bằng chứng từ nhiều hơn một bài toán — đó là điểm mạnh nên nhấn mạnh.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200"/>
      </w:tblGrid>
      <w:tr>
        <w:trPr>
          <w:cantSplit/>
          <w:tblHeader/>
        </w:trPr>
        <w:tc>
          <w:tcPr>
            <w:tcW w:type="dxa" w:w="2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Trụ cột</w:t>
            </w:r>
          </w:p>
        </w:tc>
        <w:tc>
          <w:tcPr>
            <w:tcW w:type="dxa" w:w="24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Câu hỏi</w:t>
            </w:r>
          </w:p>
        </w:tc>
        <w:tc>
          <w:tcPr>
            <w:tcW w:type="dxa" w:w="42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Câu trả lời ngắn</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I — Từ BNE thuần giá đến BNE có vị thế phi giá</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Vì sao A, B thất bại còn C phục hồi?</w:t>
            </w:r>
          </w:p>
        </w:tc>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A, B đo miền chi phí của đối thủ; giá thực phản ánh mức sẵn lòng trả của khách có tính lợi thế phi giá (tỷ lệ thắng 75% &gt; 1/N; AUC không giá vẫn cao). C dùng cận từ phía cầu → kẹp 32% thay vì 85%/100%</w:t>
            </w:r>
          </w:p>
        </w:tc>
      </w:tr>
      <w:tr>
        <w:trPr>
          <w:cantSplit/>
        </w:trPr>
        <w:tc>
          <w:tcPr>
            <w:tcW w:type="dxa" w:w="2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II — Hội tụ của ba bài toán và mô phỏng</w:t>
            </w:r>
          </w:p>
        </w:tc>
        <w:tc>
          <w:tcPr>
            <w:tcW w:type="dxa" w:w="24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Vì sao giá không giải phóng hàng đợi, còn phân luồng thì có?</w:t>
            </w:r>
          </w:p>
        </w:tc>
        <w:tc>
          <w:tcPr>
            <w:tcW w:type="dxa" w:w="42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Việc định giá phát sinh trước quyết định giá; giả dược tĩnh −0,18 điểm; mô phỏng: phân luồng +2,40 điểm, λ trong giá −0,41 điểm (C1). Giá bóng là quy tắc tiếp nhận (Talluri &amp; van Ryzin, 2004)</w:t>
            </w:r>
          </w:p>
        </w:tc>
      </w:tr>
      <w:tr>
        <w:trPr>
          <w:cantSplit/>
        </w:trPr>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III — Dị chất B2B, ngưỡng π_SLA, kỷ luật kiểm chứng</w:t>
            </w:r>
          </w:p>
        </w:tc>
        <w:tc>
          <w:tcPr>
            <w:tcW w:type="dxa" w:w="24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Kết luận có điều kiện trên những gì?</w:t>
            </w:r>
          </w:p>
        </w:tc>
        <w:tc>
          <w:tcPr>
            <w:tcW w:type="dxa" w:w="42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center"/>
            </w:pPr>
            <w:r>
              <w:rPr>
                <w:rFonts w:ascii="Times New Roman" w:cs="Times New Roman" w:eastAsia="Times New Roman" w:hAnsi="Times New Roman"/>
                <w:color w:val="262626"/>
                <w:sz w:val="22"/>
                <w:szCs w:val="22"/>
              </w:rPr>
              <w:t xml:space="preserve">Giá vốn trải gần 40 lần → cận chung không tồn tại; giá bóng chỉ 11,8% lợi nhuận hồ sơ trung vị → đủ để xếp thứ tự, chưa đủ để từ chối; ICC 0,20 → phải ngẫu nhiên hóa theo hồ sơ</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0.10: Ba trụ cột (Bảng 5.1 trong bản nộp)</w:t>
      </w:r>
    </w:p>
    <w:p>
      <w:pPr>
        <w:pStyle w:val="Heading2"/>
        <w:spacing w:after="120" w:before="240"/>
      </w:pPr>
      <w:r>
        <w:rPr>
          <w:rFonts w:ascii="Times New Roman" w:cs="Times New Roman" w:eastAsia="Times New Roman" w:hAnsi="Times New Roman"/>
          <w:b/>
          <w:bCs/>
          <w:i w:val="false"/>
          <w:iCs w:val="false"/>
          <w:color w:val="262626"/>
          <w:sz w:val="27"/>
          <w:szCs w:val="27"/>
        </w:rPr>
        <w:t xml:space="preserve">XI.2. Chương 6 — hai khung ứng dụng và bốn nguyên tắc</w:t>
      </w:r>
    </w:p>
    <w:p>
      <w:pPr>
        <w:spacing w:after="120" w:line="360"/>
        <w:jc w:val="both"/>
      </w:pPr>
      <w:r>
        <w:rPr>
          <w:rFonts w:ascii="Times New Roman" w:cs="Times New Roman" w:eastAsia="Times New Roman" w:hAnsi="Times New Roman"/>
          <w:b/>
          <w:bCs/>
          <w:i w:val="false"/>
          <w:iCs w:val="false"/>
          <w:color w:val="262626"/>
          <w:sz w:val="26"/>
          <w:szCs w:val="26"/>
        </w:rPr>
        <w:t xml:space="preserve">Cổng ba bước (Bảng 6.1). </w:t>
      </w:r>
      <w:r>
        <w:rPr>
          <w:rFonts w:ascii="Times New Roman" w:cs="Times New Roman" w:eastAsia="Times New Roman" w:hAnsi="Times New Roman"/>
          <w:b w:val="false"/>
          <w:bCs w:val="false"/>
          <w:i w:val="false"/>
          <w:iCs w:val="false"/>
          <w:color w:val="262626"/>
          <w:sz w:val="26"/>
          <w:szCs w:val="26"/>
        </w:rPr>
        <w:t xml:space="preserve">Bước 1: tỷ lệ thắng vượt 1/N? (có → thị trường không đối xứng thuần giá). Bước 2: bỏ toàn bộ biến giá, AUC còn cao? (có → phi giá chi phối). Bước 3: tỷ lệ kẹp khi áp công thức cân bằng có gần mức CBPO không? A 85%, B 100% → không đạt; C 32% so với CBPO 36% → đạt ngưỡng nội suy (ở N ≥ 3). Ý nghĩa: một quy trình rẻ, chạy vài giờ trên dữ liệu lịch sử, để biết mô hình cân bằng có dùng được trước khi đầu tư.</w:t>
      </w:r>
    </w:p>
    <w:p>
      <w:pPr>
        <w:spacing w:after="120" w:line="360"/>
        <w:jc w:val="both"/>
      </w:pPr>
      <w:r>
        <w:rPr>
          <w:rFonts w:ascii="Times New Roman" w:cs="Times New Roman" w:eastAsia="Times New Roman" w:hAnsi="Times New Roman"/>
          <w:b/>
          <w:bCs/>
          <w:i w:val="false"/>
          <w:iCs w:val="false"/>
          <w:color w:val="262626"/>
          <w:sz w:val="26"/>
          <w:szCs w:val="26"/>
        </w:rPr>
        <w:t xml:space="preserve">Khung định giá hai tầng (Bảng 6.2). </w:t>
      </w:r>
      <w:r>
        <w:rPr>
          <w:rFonts w:ascii="Times New Roman" w:cs="Times New Roman" w:eastAsia="Times New Roman" w:hAnsi="Times New Roman"/>
          <w:b w:val="false"/>
          <w:bCs w:val="false"/>
          <w:i w:val="false"/>
          <w:iCs w:val="false"/>
          <w:color w:val="262626"/>
          <w:sz w:val="26"/>
          <w:szCs w:val="26"/>
        </w:rPr>
        <w:t xml:space="preserve">Tầng lõi CBPO (hiệu chuẩn, trong dải lịch sử, không phụ thuộc tham số không nhận dạng); tầng tham chiếu là giá cân bằng đặc tả C cho cơ hội có từ ba đối thủ — để người định giá đối chiếu và phát hiện khuyến nghị bất thường.</w:t>
      </w:r>
    </w:p>
    <w:p>
      <w:pPr>
        <w:spacing w:after="120" w:line="360"/>
        <w:jc w:val="both"/>
      </w:pPr>
      <w:r>
        <w:rPr>
          <w:rFonts w:ascii="Times New Roman" w:cs="Times New Roman" w:eastAsia="Times New Roman" w:hAnsi="Times New Roman"/>
          <w:b/>
          <w:bCs/>
          <w:i w:val="false"/>
          <w:iCs w:val="false"/>
          <w:color w:val="262626"/>
          <w:sz w:val="26"/>
          <w:szCs w:val="26"/>
        </w:rPr>
        <w:t xml:space="preserve">Bốn nguyên tắc vận hành (Mục 6.3). </w:t>
      </w:r>
      <w:r>
        <w:rPr>
          <w:rFonts w:ascii="Times New Roman" w:cs="Times New Roman" w:eastAsia="Times New Roman" w:hAnsi="Times New Roman"/>
          <w:b w:val="false"/>
          <w:bCs w:val="false"/>
          <w:i w:val="false"/>
          <w:iCs w:val="false"/>
          <w:color w:val="262626"/>
          <w:sz w:val="26"/>
          <w:szCs w:val="26"/>
        </w:rPr>
        <w:t xml:space="preserve">(1) Không dùng giá để điều tiết hàng đợi; (2) đặt bộ lọc phân luồng G2 tại pha Sales-WBS, chế độ xếp thứ tự; (3) dùng định giá hiệu chuẩn cho biên lợi nhuận trên hồ sơ đã xếp lịch; (4) giảm số lần làm rõ bản vẽ — đòn bẩy duy nhất giảm chính khối lượng việc.</w:t>
      </w:r>
    </w:p>
    <w:p>
      <w:pPr>
        <w:pBdr>
          <w:left w:val="single" w:color="008448" w:sz="18"/>
        </w:pBdr>
        <w:shd w:fill="EEF5EC" w:val="clear"/>
        <w:spacing w:after="140" w:before="100" w:line="300"/>
        <w:ind w:left="160" w:right="80"/>
        <w:jc w:val="left"/>
      </w:pPr>
      <w:r>
        <w:rPr>
          <w:rFonts w:ascii="Times New Roman" w:cs="Times New Roman" w:eastAsia="Times New Roman" w:hAnsi="Times New Roman"/>
          <w:b/>
          <w:bCs/>
          <w:color w:val="008448"/>
          <w:sz w:val="24"/>
          <w:szCs w:val="24"/>
        </w:rPr>
        <w:t xml:space="preserve">Câu kết luận nên nói khi được hỏi “bài học lớn nhất là gì”</w:t>
      </w:r>
      <w:r>
        <w:br/>
      </w:r>
      <w:r>
        <w:rPr>
          <w:rFonts w:ascii="Times New Roman" w:cs="Times New Roman" w:eastAsia="Times New Roman" w:hAnsi="Times New Roman"/>
          <w:color w:val="262626"/>
          <w:sz w:val="23"/>
          <w:szCs w:val="23"/>
        </w:rPr>
        <w:t xml:space="preserve">▸ Giá chào là đòn bẩy cho biên lợi nhuận; điều phối tiếp nhận là đòn bẩy cho năng lực; hai đòn bẩy phải đồng bộ chứ không thay thế nhau.</w:t>
      </w:r>
      <w:r>
        <w:br/>
      </w:r>
      <w:r>
        <w:rPr>
          <w:rFonts w:ascii="Times New Roman" w:cs="Times New Roman" w:eastAsia="Times New Roman" w:hAnsi="Times New Roman"/>
          <w:color w:val="262626"/>
          <w:sz w:val="23"/>
          <w:szCs w:val="23"/>
        </w:rPr>
        <w:t xml:space="preserve">▸ Về phương pháp: kiểm tra giả định trước khi tin mô hình, kiểm tra ranh giới áp dụng trước khi tin công thức, đối chứng giả dược trước khi quy công cho cơ chế.</w:t>
      </w:r>
    </w:p>
    <w:p>
      <w:pPr>
        <w:pStyle w:val="Heading2"/>
        <w:spacing w:after="120" w:before="240"/>
      </w:pPr>
      <w:r>
        <w:rPr>
          <w:rFonts w:ascii="Times New Roman" w:cs="Times New Roman" w:eastAsia="Times New Roman" w:hAnsi="Times New Roman"/>
          <w:b/>
          <w:bCs/>
          <w:i w:val="false"/>
          <w:iCs w:val="false"/>
          <w:color w:val="262626"/>
          <w:sz w:val="27"/>
          <w:szCs w:val="27"/>
        </w:rPr>
        <w:t xml:space="preserve">XI.3. Danh mục bảng và hình của luận văn — để tra khi được hỏi</w:t>
      </w:r>
    </w:p>
    <w:p>
      <w:pPr>
        <w:spacing w:after="120" w:line="360"/>
        <w:jc w:val="both"/>
      </w:pPr>
      <w:r>
        <w:rPr>
          <w:rFonts w:ascii="Times New Roman" w:cs="Times New Roman" w:eastAsia="Times New Roman" w:hAnsi="Times New Roman"/>
          <w:b w:val="false"/>
          <w:bCs w:val="false"/>
          <w:i w:val="false"/>
          <w:iCs w:val="false"/>
          <w:color w:val="262626"/>
          <w:sz w:val="26"/>
          <w:szCs w:val="26"/>
        </w:rPr>
        <w:t xml:space="preserve">Tên mỗi bảng và hình trong luận văn đã được viết dưới dạng một thông điệp; đọc to tên bảng là cách nhanh nhất để nhớ bảng đó chứng minh điều gì.</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7700"/>
      </w:tblGrid>
      <w:tr>
        <w:trPr>
          <w:cantSplit/>
          <w:tblHeader/>
        </w:trPr>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Hình</w:t>
            </w:r>
          </w:p>
        </w:tc>
        <w:tc>
          <w:tcPr>
            <w:tcW w:type="dxa" w:w="7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jc w:val="center"/>
            </w:pPr>
            <w:r>
              <w:rPr>
                <w:rFonts w:ascii="Times New Roman" w:cs="Times New Roman" w:eastAsia="Times New Roman" w:hAnsi="Times New Roman"/>
                <w:b/>
                <w:bCs/>
                <w:i w:val="false"/>
                <w:iCs w:val="false"/>
                <w:color w:val="FFFFFF"/>
                <w:sz w:val="22"/>
                <w:szCs w:val="22"/>
              </w:rPr>
              <w:t xml:space="preserve">Thông điệp</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1.1</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Tỷ lệ thắng giảm mạnh theo cạnh tranh trong khi hệ số markup gần như bất động</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1.2</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Phân phối thời gian xử lý so với cam kết 7 ngày; (B) trung vị thời gian từng khâu</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3.1</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Khung phương pháp — trục khai phá dữ liệu theo CRISP-DM cho BT1 và BT2, trục tối ưu giá và kiểm định giả thuyết cho BT3</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4.1</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Phân phối thời gian xử lý từng khâu; (B) hệ số biến thiên — Sales cao nhất</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4.2</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Phần dư theo giá trị dự báo — (A) thang đo gốc không có dạng phễu; (B) sau log-transform xuất hiện dạng phễu</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4.3</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Ma trận tương quan giữa các khâu; (B) phân rã phương sai thời gian tổng</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4.4</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Đường cong hiệu chuẩn trên tập kiểm tra; (B) đường cong ROC ngoài mẫu</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4.5</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Uplift và tỷ lệ kẹp biên theo chính sách; (B) xác suất thắng trung bình</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4.6</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Kiểm định H1 hai mặt trên thang log — giá lịch sử phẳng, giá tối ưu dốc xuống, đặc tả C ∝ 1/N theo định nghĩa; (B) kiểm chứng giả dược tĩnh</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4.7</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(A) Uplift của đặc tả A và C theo hệ số nhân N; (B) uplift theo π_SLA — chính sách động không vượt giả dược trên dữ liệu tĩnh</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4.8</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Kết quả mô phỏng — (A) lợi nhuận ròng sau chi phí SLA; (B) tỷ lệ vi phạm cam kết theo cơ chế và kịch bản hiệu chỉnh</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Hình 4.9</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jc w:val="left"/>
            </w:pPr>
            <w:r>
              <w:rPr>
                <w:rFonts w:ascii="Times New Roman" w:cs="Times New Roman" w:eastAsia="Times New Roman" w:hAnsi="Times New Roman"/>
                <w:color w:val="262626"/>
                <w:sz w:val="22"/>
                <w:szCs w:val="22"/>
              </w:rPr>
              <w:t xml:space="preserve">Mặt phẳng chuyển pha theo độ nhạy thời gian (k) và chi phí vi phạm π_SLA — (A), (B) quy tắc G2 ở hai kịch bản; (C) biến thể G1 với ranh giới đổi dấu</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0.11: Các hình trong luận văn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300"/>
        <w:gridCol w:w="7700"/>
      </w:tblGrid>
      <w:tr>
        <w:trPr>
          <w:cantSplit/>
          <w:tblHeader/>
        </w:trPr>
        <w:tc>
          <w:tcPr>
            <w:tcW w:type="dxa" w:w="13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Bảng</w:t>
            </w:r>
          </w:p>
        </w:tc>
        <w:tc>
          <w:tcPr>
            <w:tcW w:type="dxa" w:w="7700"/>
            <w:tcBorders>
              <w:top w:val="single" w:color="BFBFBF" w:sz="4"/>
              <w:left w:val="single" w:color="BFBFBF" w:sz="4"/>
              <w:bottom w:val="single" w:color="BFBFBF" w:sz="4"/>
              <w:right w:val="single" w:color="BFBFBF" w:sz="4"/>
            </w:tcBorders>
            <w:shd w:fill="CC0000" w:val="clear"/>
            <w:tcMar>
              <w:top w:type="dxa" w:w="60"/>
              <w:left w:type="dxa" w:w="100"/>
              <w:bottom w:type="dxa" w:w="60"/>
              <w:right w:type="dxa" w:w="100"/>
            </w:tcMar>
          </w:tcPr>
          <w:p>
            <w:pPr>
              <w:keepNext w:val="false"/>
              <w:jc w:val="center"/>
            </w:pPr>
            <w:r>
              <w:rPr>
                <w:rFonts w:ascii="Times New Roman" w:cs="Times New Roman" w:eastAsia="Times New Roman" w:hAnsi="Times New Roman"/>
                <w:b/>
                <w:bCs/>
                <w:i w:val="false"/>
                <w:iCs w:val="false"/>
                <w:color w:val="FFFFFF"/>
                <w:sz w:val="22"/>
                <w:szCs w:val="22"/>
              </w:rPr>
              <w:t xml:space="preserve">Thông điệp</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1.1</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Quy mô và nhịp độ của quyết định định giá trong kỳ quan sát</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1.2</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Hệ số markup gần như bất động trong khi tỷ lệ thắng biến thiên mạnh theo cạnh tranh</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1.3</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Ranh giới giữa nền tảng đã có và phần cần mở rộng</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1.4</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bài toán nghiên cứu và quan hệ phụ thuộc giữa chúng</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2.1</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nhóm biện pháp xử lý vi phạm giả định và điều kiện áp dụng</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2.2</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kiểm định đồng nhất phương sai và điều kiện sử dụng</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2.3</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Ma trận định vị nghiên cứu theo hai chiều nội sinh hóa cạnh tranh và ràng buộc năng lực</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3.1</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Cấu trúc hai cấp của bộ dữ liệu nghiên cứu</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3.2</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Quy trình năm bước chẩn đoán giả định và chọn đặc tả cho BT1</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3.3</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Khung diễn giải đăng ký trước cho phân tích biến động theo khâu</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3.4</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Sáu nhóm biến trong mô hình xác suất thắng, cơ chế tác động và dấu kỳ vọng</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3.5</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Bộ chỉ số đánh giá áp dụng thống nhất cho ba bài toán</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Thống kê mô tả thời gian xử lý (ngày) của bốn khâu, n = 1.500 hồ sơ</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4.2</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So sánh bốn đặc tả mô hình thời gian tổng — thang đo gốc thỏa giả định phương sai đều</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4.3</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Hồi quy riêng từng khâu — cả bốn khâu đều có phương sai thay đổi dù thời gian tổng thì không</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4.4</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kiểm định đồng nhất cùng bác bỏ giả thuyết bốn khâu có mức biến động như nhau</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4.5</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So sánh hệ số biến thiên từng cặp khâu, 2.000 lần bootstrap</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4.6</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Hệ số hồi quy logistic trên biến chuẩn hóa; các dòng tô màu có ý nghĩa ở mức 5%</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4.7</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Chỉ số đánh giá mô hình BT2; khoảng tin cậy AUC từ 1.000 lần bootstrap</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4.8</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Ablation theo nhóm biến — mức giảm AUC khi loại từng nhóm khỏi mô hình</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4.9</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Hai ứng viên biến giá — chỉ chỉ số cạnh tranh giá mang thông tin</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4.10</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Nghiệm từ điều kiện bậc nhất khớp với dò lưới trên sáu dòng hàng đầu tiên</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4.11</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Số đối thủ hiệu dụng theo năm nguồn — bốn phương pháp hiệu chỉnh và số đối thủ thực tế từ CRM</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4.12</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Giá bóng của năng lực xử lý theo độ sâu hàng đợi, tại π_SLA bằng 0,50 lần biên lợi nhuận</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4.13</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Lợi nhuận kỳ vọng của các chính sách giá trên cùng tập kiểm tra — ba đặc tả cân bằng A, B, C</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4.14</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Kiểm định H1 hai mặt — độ dốc log–log của biên giá theo số đối thủ, n = 7.519 dòng hàng, sai số chuẩn cụm theo hồ sơ</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4.15</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Tổng hợp phân tích độ nhạy của các chính sách giá trên dữ liệu tĩnh</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4.16</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Hiệu chỉnh mô hình hàng đợi Pricing cho hai kịch bản C1 và C2</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4.17</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Kết quả mô phỏng tại π_SLA = 1,0 × biên lợi nhuận mỗi dòng hàng, trung bình 200 lần lặp có bất định tham số</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4.18</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So sánh cặp lợi nhuận ròng sau chi phí SLA, tính bằng điểm % của lợi nhuận ròng hiện trạng, π_SLA = 1,0</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4.19</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Phân bổ lại thời gian chờ dưới quy tắc phân luồng G2, π_SLA = 1,0</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4.20</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Mặt phẳng chuyển pha, kịch bản C1 — chênh lệch lợi nhuận ròng so với giả dược P3 của quy tắc G2 (trước dấu /) và biến thể G1 (sau dấu /), điểm % lợi nhuận gộp kỳ vọng hiện trạng, 30 lần lặp mỗi ô; * p &lt; 0,05 cho G2</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4.21</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Tổng hợp kết quả và trạng thái của ba bài toán và nghiên cứu mô phỏng</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4.22</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Cỡ mẫu và thời gian chạy yêu cầu, α = 0,05 (Bonferroni α/2 cho ba nhánh), công suất 0,80</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5.1</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trụ cột biện luận cho các kết quả của Chương 4</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5.2</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Bốn bằng chứng hội tụ — giá chào không phải đòn bẩy cho năng lực, phân luồng tiếp nhận mới là đòn bẩy</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5.3</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Độ lớn của giá bóng — đủ để xếp thứ tự, chưa đủ để từ chối</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5.4</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Ba đặc tả miền chi phí — hai dạng thất bại đối xứng và một dạng phục hồi</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6.1</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Cổng ba bước kiểm tra và hiệu chỉnh mô hình cân bằng — A, B không đạt bước 3; C đạt ngưỡng nội suy</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6.2</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Thuộc tính làm nên tính an toàn của khung định giá xác suất thắng hiệu chuẩn có neo cân bằng</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6.3</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Khuyến nghị triển khai đồng bộ theo thứ tự ưu tiên</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A.1</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Hệ số hồi quy chuẩn hóa từng khâu và thời gian tổng, sai số chuẩn HC3 trong ngoặc</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A.2</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R² và R tăng theo biến nhiễu; R² hiệu chỉnh, BIC và kiểm chứng chéo phản ứng đúng</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B.1</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McFadden thô và Nagelkerke tăng theo biến nhiễu; chỉ McFadden hiệu chỉnh và BIC phản ứng đúng</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B.2</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Tương quan nội cụm và hiệu ứng thiết kế theo đại lượng</w:t>
            </w:r>
          </w:p>
        </w:tc>
      </w:tr>
      <w:tr>
        <w:trPr>
          <w:cantSplit/>
        </w:trPr>
        <w:tc>
          <w:tcPr>
            <w:tcW w:type="dxa" w:w="13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B.3</w:t>
            </w:r>
          </w:p>
        </w:tc>
        <w:tc>
          <w:tcPr>
            <w:tcW w:type="dxa" w:w="7700"/>
            <w:tcBorders>
              <w:top w:val="single" w:color="BFBFBF" w:sz="4"/>
              <w:left w:val="single" w:color="BFBFBF" w:sz="4"/>
              <w:bottom w:val="single" w:color="BFBFBF" w:sz="4"/>
              <w:right w:val="single" w:color="BFBFBF" w:sz="4"/>
            </w:tcBorders>
            <w:shd w:fill="F5F5F5"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Mô tả 13 biến độc lập của mô hình xác suất thắng, ba trường liên kết CRM/Sourcing và biến kết quả</w:t>
            </w:r>
          </w:p>
        </w:tc>
      </w:tr>
      <w:tr>
        <w:trPr>
          <w:cantSplit/>
        </w:trPr>
        <w:tc>
          <w:tcPr>
            <w:tcW w:type="dxa" w:w="13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Bảng C.1</w:t>
            </w:r>
          </w:p>
        </w:tc>
        <w:tc>
          <w:tcPr>
            <w:tcW w:type="dxa" w:w="7700"/>
            <w:tcBorders>
              <w:top w:val="single" w:color="BFBFBF" w:sz="4"/>
              <w:left w:val="single" w:color="BFBFBF" w:sz="4"/>
              <w:bottom w:val="single" w:color="BFBFBF" w:sz="4"/>
              <w:right w:val="single" w:color="BFBFBF" w:sz="4"/>
            </w:tcBorders>
            <w:shd w:fill="FFFFFF" w:val="clear"/>
            <w:tcMar>
              <w:top w:type="dxa" w:w="60"/>
              <w:left w:type="dxa" w:w="100"/>
              <w:bottom w:type="dxa" w:w="60"/>
              <w:right w:type="dxa" w:w="100"/>
            </w:tcMar>
          </w:tcPr>
          <w:p>
            <w:pPr>
              <w:keepNext w:val="false"/>
              <w:jc w:val="left"/>
            </w:pPr>
            <w:r>
              <w:rPr>
                <w:rFonts w:ascii="Times New Roman" w:cs="Times New Roman" w:eastAsia="Times New Roman" w:hAnsi="Times New Roman"/>
                <w:color w:val="262626"/>
                <w:sz w:val="22"/>
                <w:szCs w:val="22"/>
              </w:rPr>
              <w:t xml:space="preserve">Mười một tập lệnh chính thức tái lập kết quả</w:t>
            </w:r>
          </w:p>
        </w:tc>
      </w:tr>
    </w:tbl>
    <w:p>
      <w:pPr>
        <w:spacing w:after="200" w:before="60"/>
        <w:jc w:val="center"/>
      </w:pPr>
      <w:r>
        <w:rPr>
          <w:rFonts w:ascii="Times New Roman" w:cs="Times New Roman" w:eastAsia="Times New Roman" w:hAnsi="Times New Roman"/>
          <w:b w:val="false"/>
          <w:bCs w:val="false"/>
          <w:i/>
          <w:iCs/>
          <w:color w:val="4D4D4D"/>
          <w:sz w:val="22"/>
          <w:szCs w:val="22"/>
        </w:rPr>
        <w:t xml:space="preserve">Bảng 0.12: Các bảng trong luận văn</w:t>
      </w:r>
    </w:p>
    <w:sectPr>
      <w:footerReference w:type="default" r:id="rId7"/>
      <w:pgSz w:w="11905" w:h="16837" w:orient="portrait"/>
      <w:pgMar w:top="1133" w:right="1133" w:bottom="1133"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737373"/>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262626"/>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0c7292248081be58410aba530ba009b1d4aa433d.png"/><Relationship Id="rId9" Type="http://schemas.openxmlformats.org/officeDocument/2006/relationships/image" Target="media/564778018b21f2c1d6b62ab96ba8c889a343774f.png"/><Relationship Id="rId10" Type="http://schemas.openxmlformats.org/officeDocument/2006/relationships/image" Target="media/babe69092ff06fc069b03b3b4905629bfae46f5c.png"/><Relationship Id="rId11" Type="http://schemas.openxmlformats.org/officeDocument/2006/relationships/image" Target="media/767bdc677cbec9f974753ca97cfb0a44bb09d369.png"/><Relationship Id="rId12" Type="http://schemas.openxmlformats.org/officeDocument/2006/relationships/image" Target="media/f602734c092ec927e917550c24875de96814dd33.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2026-10-19T08:10:57.433Z</dcterms:created>
  <dcterms:modified xsi:type="dcterms:W3CDTF">2026-10-19T08:10:57.433Z</dcterms:modified>
</cp:coreProperties>
</file>

<file path=docProps/custom.xml><?xml version="1.0" encoding="utf-8"?>
<Properties xmlns="http://schemas.openxmlformats.org/officeDocument/2006/custom-properties" xmlns:vt="http://schemas.openxmlformats.org/officeDocument/2006/docPropsVTypes"/>
</file>