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入金持仓分析报告</w:t>
      </w:r>
    </w:p>
    <w:p>
      <w:pPr>
        <w:spacing w:after="120"/>
      </w:pPr>
      <w:r>
        <w:rPr>
          <w:rFonts w:ascii="微软雅黑" w:hAnsi="微软雅黑" w:eastAsia="微软雅黑"/>
          <w:color w:val="666666"/>
          <w:sz w:val="20"/>
        </w:rPr>
        <w:t>生成日期：2026年5月25日</w:t>
      </w:r>
    </w:p>
    <w:p>
      <w:pPr>
        <w:spacing w:after="120"/>
      </w:pPr>
      <w:r>
        <w:rPr>
          <w:rFonts w:ascii="微软雅黑" w:hAnsi="微软雅黑" w:eastAsia="微软雅黑"/>
          <w:color w:val="666666"/>
          <w:sz w:val="20"/>
        </w:rPr>
        <w:t>交易日期：2026年5月26日起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一、持仓概览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基于全市场4875只A股的多因子量化扫描，经过严格的理性筛选（不追高、不接盘、重基本面），精选7只标的，按风险收益特征分配持股比例如下：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最新价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建议比例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评级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军工电子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153.92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通用设备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155.90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专用设备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306.80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半导体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181.50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元器件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27.36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自动化设备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66.55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元器件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16.47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二、多因子评分明细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评分维度：动量分、技术分、基本面分、量能分、风险分。综合评分≥80为"优秀"，60-79为"良好"。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动量分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技术分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基本面分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量能分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风险分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综合评分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94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78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三、技术面与风险指标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24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近5日涨幅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近20日涨幅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RSI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MACD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KDJ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夏普比率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最大回撤</w:t>
            </w:r>
          </w:p>
        </w:tc>
        <w:tc>
          <w:tcPr>
            <w:tcW w:type="dxa" w:w="158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国家队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+16.8%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+14.9%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中性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1.98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-20.5%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🏛️养老金×2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+7.5%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+27.1%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多头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中性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2.69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-25.0%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🏛️养老金×1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+16.4%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+19.1%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中性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3.23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-17.1%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+14.8%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+20.1%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2.64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-19.4%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+14.8%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+28.8%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2.57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-17.6%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+12.0%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+41.6%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多头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3.19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-18.4%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+12.1%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+22.1%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0.72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-33.3%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🏛️社保×1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四、追高与过热风险警示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核心原则：不追高、不接盘。以下标注各只股票的风险等级：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481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风险说明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✅ 低风险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近20日仅涨14.9%，RSI=60健康，7只中风险最低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✅ 低风险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夏普3.23（最高），回撤仅-17.1%，技术面优秀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✅ 低风险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MACD金叉+KDJ金叉共振，ATR适中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⚡ 中等风险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近20日涨27.1%偏高，但国家队加持+基本面90分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⚡ 中等风险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近20日涨28.8%偏高，但动量94+综合78分最高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⚠️ 注意风险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回撤-33.3%偏深，社保基金背书但对波动容忍度要求高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⚠️ 追高风险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6"/>
              </w:rPr>
              <w:t>近20日涨41.6%追高风险极高+RSI=74过热，必须等回调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五、分批建仓计划</w:t>
      </w:r>
    </w:p>
    <w:p>
      <w:pPr>
        <w:pStyle w:val="Heading2"/>
      </w:pPr>
      <w:r>
        <w:rPr>
          <w:rFonts w:ascii="微软雅黑" w:hAnsi="微软雅黑" w:eastAsia="微软雅黑"/>
        </w:rPr>
        <w:t>5.1 第一批 — 明天（5月26日）可直接买入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仓位合计：35%。选择风险最低的2只先行建仓。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17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1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比例</w:t>
            </w:r>
          </w:p>
        </w:tc>
        <w:tc>
          <w:tcPr>
            <w:tcW w:type="dxa" w:w="1701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买入价</w:t>
            </w:r>
          </w:p>
        </w:tc>
        <w:tc>
          <w:tcPr>
            <w:tcW w:type="dxa" w:w="3685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买入理由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市价~153.92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6"/>
              </w:rPr>
              <w:t>近20日涨幅最低(14.9%)+RSI 60最健康+2只养老金重仓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市价~306.80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6"/>
              </w:rPr>
              <w:t>夏普比率3.23最高+回撤仅-17.1%+KDJ金叉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5.2 第二批 — 等回调3-5%后分批买入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仓位合计：65%。当前涨幅偏高，建议等回调后再入场，降低追高风险。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17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134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比例</w:t>
            </w:r>
          </w:p>
        </w:tc>
        <w:tc>
          <w:tcPr>
            <w:tcW w:type="dxa" w:w="1417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等回调至</w:t>
            </w:r>
          </w:p>
        </w:tc>
        <w:tc>
          <w:tcPr>
            <w:tcW w:type="dxa" w:w="1134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当前涨幅</w:t>
            </w:r>
          </w:p>
        </w:tc>
        <w:tc>
          <w:tcPr>
            <w:tcW w:type="dxa" w:w="2835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等待原因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~172元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+20.1%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涨幅略高，等5%回调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~148元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+27.1%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涨幅偏高，等5%回调至支撑位附近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~26元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+28.8%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短期涨幅大，等回调至26元以下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~15.7元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+22.1%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涨幅偏高+回撤深，小仓位等回调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~63元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+41.6%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6"/>
              </w:rPr>
              <w:t>⚠️追高风险极高，务必等5%以上回调再考虑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六、止损纪律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每只股票严格设置止损线，触及立即执行，不犹豫。止损幅度基于ATR和支撑位计算。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fill="C6282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17"/>
            <w:shd w:fill="C6282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417"/>
            <w:shd w:fill="C6282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成本参考价</w:t>
            </w:r>
          </w:p>
        </w:tc>
        <w:tc>
          <w:tcPr>
            <w:tcW w:type="dxa" w:w="1247"/>
            <w:shd w:fill="C6282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止损价</w:t>
            </w:r>
          </w:p>
        </w:tc>
        <w:tc>
          <w:tcPr>
            <w:tcW w:type="dxa" w:w="1247"/>
            <w:shd w:fill="C6282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止损幅度</w:t>
            </w:r>
          </w:p>
        </w:tc>
        <w:tc>
          <w:tcPr>
            <w:tcW w:type="dxa" w:w="1417"/>
            <w:shd w:fill="C6282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止盈参考价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155.90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139.70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-10.4%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162.36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16.47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14.48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-12.1%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17.64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153.92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132.95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-13.6%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164.85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306.80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262.12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-14.6%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328.58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66.55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56.59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-15.0%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70.34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27.36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23.19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-15.2%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29.30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181.50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153.85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-15.2%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194.39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止损纪律说明：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1. 任何一只股票触及止损价，当日收盘前无条件卖出。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2. 止损后不做T+0回补，至少观察3个交易日再评估。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3. 如遇大盘系统性下跌（上证跌幅&gt;3%），可提前收紧止损至-8%。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4. 止盈价仅供参考，实际可结合移动止盈（从最高点回撤5%止盈）。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七、仓位分配逻辑说明</w:t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仓位分配公式：长线适配度×35% + 风险控制×25% + 当前性价比×25% + 量化综合×15%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24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长线适配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风险控制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性价比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量化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原始权重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追高扣减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最终比例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688629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华丰科技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84.1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64.5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78.3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20%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688059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华锐精密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87.6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69.4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62.3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688630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芯碁微装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59.1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78.7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71.6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14.4%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688372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伟测科技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57.6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69.8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13.8%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300975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商络电子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63.6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71.9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59.3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78.1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13.8%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-2.0%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68.6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77.7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43.2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73.6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13.5%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-6.5%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300184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力源信息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70.4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45.6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65.4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72.6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13.1%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-2.0%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关键逻辑：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• 华丰科技：涨幅最低+国家队加持，性价比维度得分最高(78.3)，给予最大仓位20%。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• 快克智能：近20日涨41.6%导致性价比维度仅43.2分+追高扣减6.5%，仓位压缩至10%。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• 力源信息：回撤-33.3%拖累风险控制维度(45.6分)，仓位压缩至10%。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• 芯碁微装：夏普3.23最高+回撤最低，风险控制维度得分最高(78.7)。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八、个股简述</w:t>
      </w:r>
    </w:p>
    <w:p>
      <w:pPr>
        <w:pStyle w:val="Heading2"/>
      </w:pPr>
      <w:r>
        <w:rPr>
          <w:rFonts w:ascii="微软雅黑" w:hAnsi="微软雅黑" w:eastAsia="微软雅黑"/>
        </w:rPr>
        <w:t>688629 华丰科技 (军工电子) — 仓位20%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华丰科技主营高速背板连接器，受益于AI算力和国防信息化双轮驱动。近20日涨幅仅14.9%，在7只标的中最为温和。ROE 5.5%，基本面评分85分。技术面MACD金叉、KDJ中性，信号偏多。最大亮点是2只基本养老基金同时重仓（一二零二+二一零九组合），说明长线机构认可其价值。风险控制较好，回撤-20.5%在可接受范围内。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688059 华锐精密 (通用设备) — 仓位15%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华锐精密主营数控刀具，国产替代逻辑清晰。长线评分81分（7只最高），基本面90分，ROE 8.1%。近20日涨27.1%偏高，RSI 67尚可。有1只养老金重仓加持。夏普2.69良好。缺点是短期涨幅偏高，建议等回调至148元附近入场。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688630 芯碁微装 (专用设备) — 仓位15%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芯碁微装主营PCB曝光设备，是PCB产业链核心设备商。夏普比率3.23为7只最高，回撤仅-17.1%（最低），风险调整后收益最优。近20日涨19.1%，RSI 64健康，技术面MACD金叉。缺点：ROE 4.5%偏低，股价306.80元较高，科创板20%涨跌幅限制下波动可能较大。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688372 伟测科技 (半导体) — 仓位15%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伟测科技是第三方芯片测试龙头，半导体产业链核心环节。MACD+KDJ双金叉共振，技术面85分优秀，动量87分强劲。近20日涨20.1%，夏普2.64。缺点：ROE仅1.7%偏低，股价181.50元，科创板波动大。建议等回调至172元以下建仓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300975 商络电子 (元器件) — 仓位15%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商络电子综合评分78分（7只最高），动量94分极为强劲，技术85分+量能78分均为前列。ROE 9.7%也是7只最高。缺点是近20日涨28.8%偏高，短期追高风险存在。短线+长线双高分（短线69/长线79），适配灵活操作。建议等回调至26元以下再入。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603203 快克智能 (自动化设备) — 仓位10%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快克智能主营精密焊接设备，受益于3C自动化。长线评分83分（最高），基本面90分，ROE 5.1%。但近20日涨幅高达41.6%，RSI已到74过热区间，追高风险在7只中最高。惩罚扣减6.5%后仓位压到10%。强烈建议等回调至63元以下再考虑，不要现价买入。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300184 力源信息 (元器件) — 仓位10%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力源信息是元器件分销龙头，有全国社保基金一零五组合持股背书。技术面85分优秀，MACD+KDJ双金叉。但最大回撤-33.3%偏高，夏普仅0.72偏低，说明波动较大、风险调整收益一般。力源作为社保概念股有安全边际，适合小仓位配置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九、风险提示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1. 市场风险：当前A股整体偏强，部分标的已积累较大涨幅，存在短期回调风险。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2. 流动性风险：科创板股票（688开头）20%涨跌幅限制，日内波动可能超过主板。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3. 资金流向：东方财富push2接口在当前网络环境不可用，无法获取实时主力资金流向数据，该维度缺失可能影响对主力动向的判断。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4. 基本面数据滞后：国家队持股数据基于最新季报，与实际情况可能有时间差。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5. 分批纪律：严格执行分批建仓计划，不在第一批建仓后因FOMO追买第二批标的。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6. 总仓位管理：本次7只合计100%仓位。如市场出现系统性风险信号（上证跌破3000点），建议整体减仓至50%以下。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color w:val="999999"/>
          <w:sz w:val="16"/>
        </w:rPr>
        <w:t>免责声明：本报告基于量化模型和历史数据生成，仅供参考，不构成投资建议。股市有风险，投资需谨慎。过往表现不代表未来收益。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