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入金选股标准流程</w:t>
      </w:r>
    </w:p>
    <w:p>
      <w:r>
        <w:rPr>
          <w:b w:val="0"/>
          <w:sz w:val="20"/>
        </w:rPr>
        <w:t>版本: 2026-05-26 | 适用: A股主板 | 数据源: 东方财富/新浪/腾讯/Baostock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本流程覆盖从全市场扫描到最终仓位分配的全链路选股决策，确保理性不追高、板块分散、严格止损。</w:t>
      </w:r>
    </w:p>
    <w:p>
      <w:pPr>
        <w:pStyle w:val="Heading1"/>
      </w:pPr>
      <w:r>
        <w:t>阶段1：全市场扫描 &amp; 数据准备</w:t>
      </w:r>
    </w:p>
    <w:p>
      <w:r>
        <w:rPr>
          <w:b w:val="0"/>
          <w:sz w:val="20"/>
        </w:rPr>
        <w:t>目标：获取全A股约5000只的最新评分数据，为候选池筛选提供基础。</w:t>
      </w:r>
    </w:p>
    <w:p>
      <w:pPr>
        <w:pStyle w:val="Heading2"/>
      </w:pPr>
      <w:r>
        <w:t>1.1 每日自动扫描</w:t>
      </w:r>
    </w:p>
    <w:p>
      <w:pPr>
        <w:pStyle w:val="ListBullet"/>
      </w:pPr>
      <w:r>
        <w:t>触发方式: Windows 计划任务每日 16:00 自动执行 run_daily.py</w:t>
      </w:r>
    </w:p>
    <w:p>
      <w:pPr>
        <w:pStyle w:val="ListBullet"/>
      </w:pPr>
      <w:r>
        <w:t>扫描脚本: run_full_scan.py（全市场逐只分析，含断点续跑）</w:t>
      </w:r>
    </w:p>
    <w:p>
      <w:pPr>
        <w:pStyle w:val="ListBullet"/>
      </w:pPr>
      <w:r>
        <w:t>输出文件: full_scan_results.csv（337KB）+ full_scan_results.json（1.6MB）</w:t>
      </w:r>
    </w:p>
    <w:p>
      <w:pPr>
        <w:pStyle w:val="ListBullet"/>
      </w:pPr>
      <w:r>
        <w:t>耗时: 首次约15分钟，缓存命中后约5-8分钟</w:t>
      </w:r>
    </w:p>
    <w:p>
      <w:pPr>
        <w:pStyle w:val="Heading2"/>
      </w:pPr>
      <w:r>
        <w:t>1.2 手动触发扫描</w:t>
      </w:r>
    </w:p>
    <w:p>
      <w:r>
        <w:rPr>
          <w:b/>
          <w:sz w:val="20"/>
        </w:rPr>
        <w:t>如需手动扫描，使用 CLI 统一入口：</w:t>
      </w:r>
    </w:p>
    <w:p>
      <w:pPr>
        <w:ind w:left="454"/>
      </w:pPr>
      <w:r>
        <w:rPr>
          <w:b w:val="0"/>
          <w:sz w:val="20"/>
        </w:rPr>
        <w:t xml:space="preserve">  python cli.py scan --mode full --top-n 50</w:t>
      </w:r>
    </w:p>
    <w:p>
      <w:pPr>
        <w:ind w:left="454"/>
      </w:pPr>
      <w:r>
        <w:rPr>
          <w:b w:val="0"/>
          <w:sz w:val="20"/>
        </w:rPr>
        <w:t xml:space="preserve">  python cli.py scan --mode mainboard --top-n 30 --min-score 60</w:t>
      </w:r>
    </w:p>
    <w:p>
      <w:pPr>
        <w:ind w:left="454"/>
      </w:pPr>
      <w:r>
        <w:rPr>
          <w:b w:val="0"/>
          <w:sz w:val="20"/>
        </w:rPr>
        <w:t xml:space="preserve">  崩溃续跑: python cli.py scan --resume</w:t>
      </w:r>
    </w:p>
    <w:p>
      <w:pPr>
        <w:pStyle w:val="Heading2"/>
      </w:pPr>
      <w:r>
        <w:t>1.3 扫描结果字段说明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7因子加权总分(0-100)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初筛门槛≥60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动量分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近5/20/60日涨跌幅评分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排除≥95(过度追涨)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技术分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MACD+RSI+KDJ+均线排列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判断趋势强弱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基本面分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ROE+营收增长+毛利率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企业质量底线≥60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量能分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成交量比+量价配合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资金关注度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ATR占比+回撤幅度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风险可控≥50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最新价/涨跌幅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实时行情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价格范围判断</w:t>
            </w:r>
          </w:p>
        </w:tc>
      </w:tr>
    </w:tbl>
    <w:p>
      <w:pPr>
        <w:pStyle w:val="Heading1"/>
      </w:pPr>
      <w:r>
        <w:t>阶段2：候选池筛选</w:t>
      </w:r>
    </w:p>
    <w:p>
      <w:r>
        <w:rPr>
          <w:b w:val="0"/>
          <w:sz w:val="20"/>
        </w:rPr>
        <w:t>目标：从全市场约3000只主板股票中，按严格条件筛选出50-200只候选池。</w:t>
      </w:r>
    </w:p>
    <w:p>
      <w:pPr>
        <w:pStyle w:val="Heading2"/>
      </w:pPr>
      <w:r>
        <w:t>2.1 筛选条件（理性不追高）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88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阈值</w:t>
            </w:r>
          </w:p>
        </w:tc>
        <w:tc>
          <w:tcPr>
            <w:tcW w:type="dxa" w:w="288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≥ 60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良好以上，排除基本面和技术面都差的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基本面分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≥ 60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基本面扎实，ROE/营收增长不过差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技术分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≥ 55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技术面不太差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动量分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&lt; 93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排除已大幅上涨的（追高风险）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≥ 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波动和回撤可控</w:t>
            </w:r>
          </w:p>
        </w:tc>
      </w:tr>
    </w:tbl>
    <w:p>
      <w:pPr>
        <w:pStyle w:val="Heading2"/>
      </w:pPr>
      <w:r>
        <w:t>2.2 代码实现</w:t>
      </w:r>
    </w:p>
    <w:p>
      <w:r>
        <w:rPr>
          <w:b w:val="0"/>
          <w:sz w:val="20"/>
        </w:rPr>
        <w:t>在 Python 中执行以下筛选逻辑：</w:t>
      </w:r>
    </w:p>
    <w:p>
      <w:r>
        <w:rPr>
          <w:rFonts w:ascii="Consolas" w:hAnsi="Consolas"/>
          <w:sz w:val="16"/>
        </w:rPr>
        <w:t>import pandas as pd</w:t>
        <w:br/>
        <w:t>df_all = pd.read_csv('full_scan_results.csv')</w:t>
        <w:br/>
        <w:t>df_all['代码_str'] = df_all['代码'].astype(str).str.zfill(6)</w:t>
        <w:br/>
        <w:br/>
        <w:t># 仅主板</w:t>
        <w:br/>
        <w:t>df_main = df_all[</w:t>
        <w:br/>
        <w:t xml:space="preserve">    (df_all['代码_str'].str.startswith('60') | df_all['代码_str'].str.startswith('00'))</w:t>
        <w:br/>
        <w:t>].copy()</w:t>
        <w:br/>
        <w:br/>
        <w:t># 候选池</w:t>
        <w:br/>
        <w:t>candidates = df_main[</w:t>
        <w:br/>
        <w:t xml:space="preserve">    (df_main['综合评分'] &gt;= 60) &amp;</w:t>
        <w:br/>
        <w:t xml:space="preserve">    (df_main['基本面分'] &gt;= 60) &amp;</w:t>
        <w:br/>
        <w:t xml:space="preserve">    (df_main['技术分'] &gt;= 55) &amp;</w:t>
        <w:br/>
        <w:t xml:space="preserve">    (df_main['动量分'] &lt; 93) &amp;</w:t>
        <w:br/>
        <w:t xml:space="preserve">    (df_main['风险分'] &gt;= 48)</w:t>
        <w:br/>
        <w:t>].sort_values('综合评分', ascending=False)</w:t>
        <w:br/>
        <w:br/>
        <w:t>print(f"候选池: {len(candidates)} 只")</w:t>
      </w:r>
    </w:p>
    <w:p>
      <w:pPr>
        <w:pStyle w:val="Heading2"/>
      </w:pPr>
      <w:r>
        <w:t>2.3 板块分布分析</w:t>
      </w:r>
    </w:p>
    <w:p>
      <w:pPr>
        <w:pStyle w:val="ListBullet"/>
      </w:pPr>
      <w:r>
        <w:t>统计候选池中各板块数量和平均评分</w:t>
      </w:r>
    </w:p>
    <w:p>
      <w:pPr>
        <w:pStyle w:val="ListBullet"/>
      </w:pPr>
      <w:r>
        <w:t>优先选择评分高、数量少的稀缺板块</w:t>
      </w:r>
    </w:p>
    <w:p>
      <w:pPr>
        <w:pStyle w:val="ListBullet"/>
      </w:pPr>
      <w:r>
        <w:t>避免同一板块超过2只，确保分散</w:t>
      </w:r>
    </w:p>
    <w:p>
      <w:pPr>
        <w:pStyle w:val="Heading1"/>
      </w:pPr>
      <w:r>
        <w:t>阶段3：TOP15 深度分析</w:t>
      </w:r>
    </w:p>
    <w:p>
      <w:r>
        <w:rPr>
          <w:b w:val="0"/>
          <w:sz w:val="20"/>
        </w:rPr>
        <w:t>目标：对候选池前15名进行逐个深度分析，获取完整决策数据。</w:t>
      </w:r>
    </w:p>
    <w:p>
      <w:pPr>
        <w:pStyle w:val="Heading2"/>
      </w:pPr>
      <w:r>
        <w:t>3.1 每只股票分析维度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数据来源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技术面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MA/MACD/RSI/KDJ/布林带/ADX/ATR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analysis.py: full_technical_analysis()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支撑压力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波段转折点+均线支撑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analysis.py: calc_support_resistance()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止损止盈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基于ATR×2止损, ATR×3止盈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analysis.py: calc_stop_levels()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基本面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ROE/营收增长/毛利率/净利率/PE/PB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fetcher.py: get_fundamentals()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量化评分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7因子综合评分+评级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quant.py: composite_quant_score()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风险指标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夏普/最大回撤/VaR/波动率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quant.py: calc_risk_metrics()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交易信号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MA金叉死叉/MACD/ADX/通道突破/RSI/布林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quant.py: generate_all_signals()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风格评估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短线/长线评分+分析依据文字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quant.py: evaluate_trading_style()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国家队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证金/汇金/社保/养老金/中金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fetcher.py: get_national_team_holdings()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资金流向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主力净流入/超大单净占比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fetcher.py: get_fund_flow()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板块归属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行业板块映射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sectors_fallback.py: get_sector_for_code()</w:t>
            </w:r>
          </w:p>
        </w:tc>
      </w:tr>
    </w:tbl>
    <w:p>
      <w:pPr>
        <w:pStyle w:val="Heading2"/>
      </w:pPr>
      <w:r>
        <w:t>3.2 分析命令</w:t>
      </w:r>
    </w:p>
    <w:p>
      <w:r>
        <w:rPr>
          <w:b w:val="0"/>
          <w:sz w:val="20"/>
        </w:rPr>
        <w:t>使用 CLI 对多只股票批量分析：</w:t>
      </w:r>
    </w:p>
    <w:p>
      <w:pPr>
        <w:ind w:left="454"/>
      </w:pPr>
      <w:r>
        <w:rPr>
          <w:b w:val="0"/>
          <w:sz w:val="20"/>
        </w:rPr>
        <w:t xml:space="preserve">  python cli.py analyze 601677 002119 600176 603203 --days 365 -o deep.json</w:t>
      </w:r>
    </w:p>
    <w:p>
      <w:pPr>
        <w:pStyle w:val="Heading1"/>
      </w:pPr>
      <w:r>
        <w:t>阶段4：精选5-7只</w:t>
      </w:r>
    </w:p>
    <w:p>
      <w:r>
        <w:rPr>
          <w:b w:val="0"/>
          <w:sz w:val="20"/>
        </w:rPr>
        <w:t>目标：从TOP15中精选最终持仓，综合考虑多个维度。</w:t>
      </w:r>
    </w:p>
    <w:p>
      <w:pPr>
        <w:pStyle w:val="Heading2"/>
      </w:pPr>
      <w:r>
        <w:t>4.1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728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权重考量</w:t>
            </w:r>
          </w:p>
        </w:tc>
        <w:tc>
          <w:tcPr>
            <w:tcW w:type="dxa" w:w="1728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✅优选</w:t>
            </w:r>
          </w:p>
        </w:tc>
        <w:tc>
          <w:tcPr>
            <w:tcW w:type="dxa" w:w="1728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⚠️谨慎</w:t>
            </w:r>
          </w:p>
        </w:tc>
        <w:tc>
          <w:tcPr>
            <w:tcW w:type="dxa" w:w="1728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❌红线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近20日涨幅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越低越好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&lt; 15%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20-30%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&gt; 40%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基本面评分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越高越好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≥ 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60-74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&lt; 60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ROE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盈利能力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&gt; 10%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5-10%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&lt; 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夏普比率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风险收益比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&gt; 2.0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1.0-2.0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&lt; 0.5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最大回撤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风险控制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&lt; 20%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20-35%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&gt; 35%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RSI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买卖时机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40-60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60-72 或 28-40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&gt; 75 或 &lt; 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国家队持股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加分项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社保/养老金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汇金/证金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板块分散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风险分散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≥3个不同板块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2个板块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全部同板块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短线/长线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风格匹配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双高(≥65)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单项高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双低(&lt;50)</w:t>
            </w:r>
          </w:p>
        </w:tc>
      </w:tr>
    </w:tbl>
    <w:p>
      <w:pPr>
        <w:pStyle w:val="Heading2"/>
      </w:pPr>
      <w:r>
        <w:t>4.2 排除清单</w:t>
      </w:r>
    </w:p>
    <w:p>
      <w:pPr>
        <w:pStyle w:val="ListBullet"/>
      </w:pPr>
      <w:r>
        <w:t>近20日涨幅 &gt; 40% → 追高风险太高，坚决不追</w:t>
      </w:r>
    </w:p>
    <w:p>
      <w:pPr>
        <w:pStyle w:val="ListBullet"/>
      </w:pPr>
      <w:r>
        <w:t>ROE &lt; 0 → 亏损企业，基本面有硬伤</w:t>
      </w:r>
    </w:p>
    <w:p>
      <w:pPr>
        <w:pStyle w:val="ListBullet"/>
      </w:pPr>
      <w:r>
        <w:t>MACD死叉/空头 → 趋势不利，暂避</w:t>
      </w:r>
    </w:p>
    <w:p>
      <w:pPr>
        <w:pStyle w:val="ListBullet"/>
      </w:pPr>
      <w:r>
        <w:t>信号偏空(bearish) → 量化信号不看好</w:t>
      </w:r>
    </w:p>
    <w:p>
      <w:pPr>
        <w:pStyle w:val="ListBullet"/>
      </w:pPr>
      <w:r>
        <w:t>最大回撤 &gt; 45% → 历史波动过大，不适合稳健持仓</w:t>
      </w:r>
    </w:p>
    <w:p>
      <w:pPr>
        <w:pStyle w:val="Heading1"/>
      </w:pPr>
      <w:r>
        <w:t>阶段5：仓位分配 &amp; 建仓策略</w:t>
      </w:r>
    </w:p>
    <w:p>
      <w:r>
        <w:rPr>
          <w:b w:val="0"/>
          <w:sz w:val="20"/>
        </w:rPr>
        <w:t>目标：基于风险收益比，为每只入选股票分配仓位比例，制定分批建仓计划。</w:t>
      </w:r>
    </w:p>
    <w:p>
      <w:pPr>
        <w:pStyle w:val="Heading2"/>
      </w:pPr>
      <w:r>
        <w:t>5.1 仓位公式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因子</w:t>
            </w:r>
          </w:p>
        </w:tc>
        <w:tc>
          <w:tcPr>
            <w:tcW w:type="dxa" w:w="288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288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长线适配度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长线评分越高，仓位越大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风险控制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回撤越小/夏普越高，仓位越大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性价比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涨幅低+基本面好 = 性价比高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量化评分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综合评分越高，仓位越大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0"/>
        </w:rPr>
        <w:t>再减去追高扣减：近20日涨30%扣5%, 涨40%扣10%, RSI&gt;75扣3%。</w:t>
      </w:r>
    </w:p>
    <w:p>
      <w:pPr>
        <w:pStyle w:val="Heading2"/>
      </w:pPr>
      <w:r>
        <w:t>5.2 建仓节奏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216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仓位占比</w:t>
            </w:r>
          </w:p>
        </w:tc>
        <w:tc>
          <w:tcPr>
            <w:tcW w:type="dxa" w:w="216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16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标的特征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第一批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明天开盘即可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涨幅低+RSI健康+基本面优秀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第二批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等回调3-5%后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涨幅偏高或RSI偏高的标的</w:t>
            </w:r>
          </w:p>
        </w:tc>
      </w:tr>
    </w:tbl>
    <w:p>
      <w:pPr>
        <w:pStyle w:val="Heading2"/>
      </w:pPr>
      <w:r>
        <w:t>5.3 止损纪律</w:t>
      </w:r>
    </w:p>
    <w:p>
      <w:pPr>
        <w:pStyle w:val="ListBullet"/>
      </w:pPr>
      <w:r>
        <w:t>每只股票必须设置止损价（ATR×2 或 支撑位×0.98，取较低者）</w:t>
      </w:r>
    </w:p>
    <w:p>
      <w:pPr>
        <w:pStyle w:val="ListBullet"/>
      </w:pPr>
      <w:r>
        <w:t>单只最大亏损不超过总资金的2%</w:t>
      </w:r>
    </w:p>
    <w:p>
      <w:pPr>
        <w:pStyle w:val="ListBullet"/>
      </w:pPr>
      <w:r>
        <w:t>跌破止损价当日收盘前必须执行</w:t>
      </w:r>
    </w:p>
    <w:p>
      <w:pPr>
        <w:pStyle w:val="ListBullet"/>
      </w:pPr>
      <w:r>
        <w:t>浮盈超过10%后，将止损上移至成本价（保本止损）</w:t>
      </w:r>
    </w:p>
    <w:p>
      <w:pPr>
        <w:pStyle w:val="Heading2"/>
      </w:pPr>
      <w:r>
        <w:t>5.4 仓位方案示例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比例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</w:t>
            </w:r>
          </w:p>
        </w:tc>
        <w:tc>
          <w:tcPr>
            <w:tcW w:type="dxa" w:w="1234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建仓批次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601677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明泰铝业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RSI 66健康/国家队×2/涨8.7%不追高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18.03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第一批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600176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中国巨石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夏普2.33/国家队×2/MACD金叉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36.40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第一批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002119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康强电子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国家队×3/基本面65/技术面良好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22.71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第二批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603203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快克智能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基本面90分/涨52%追高扣减后压至10%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57.51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第二批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000657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中钨高新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ROE 8.6%/夏普2.49/RSI 59健康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60.76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第一批</w:t>
            </w:r>
          </w:p>
        </w:tc>
      </w:tr>
    </w:tbl>
    <w:p>
      <w:pPr>
        <w:pStyle w:val="Heading1"/>
      </w:pPr>
      <w:r>
        <w:t>阶段6：持续跟踪 &amp; 调仓</w:t>
      </w:r>
    </w:p>
    <w:p>
      <w:pPr>
        <w:pStyle w:val="Heading2"/>
      </w:pPr>
      <w:r>
        <w:t>6.1 日常检查</w:t>
      </w:r>
    </w:p>
    <w:p>
      <w:pPr>
        <w:pStyle w:val="ListBullet"/>
      </w:pPr>
      <w:r>
        <w:t>每日收盘后: python cli.py check --owned → 查看浮盈+风险信号</w:t>
      </w:r>
    </w:p>
    <w:p>
      <w:pPr>
        <w:pStyle w:val="ListBullet"/>
      </w:pPr>
      <w:r>
        <w:t>每周: python cli.py report --type eod → 完整复盘报告</w:t>
      </w:r>
    </w:p>
    <w:p>
      <w:pPr>
        <w:pStyle w:val="ListBullet"/>
      </w:pPr>
      <w:r>
        <w:t>触发预警: python cli.py check --alerts → 立即响应</w:t>
      </w:r>
    </w:p>
    <w:p>
      <w:pPr>
        <w:pStyle w:val="Heading2"/>
      </w:pPr>
      <w:r>
        <w:t>6.2 调仓触发条件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行动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浮盈 &gt; 15%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将止损上移至成本价（保本）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浮盈 &gt; 30%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卖出一半锁定利润，剩余持有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浮亏触及止损价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✅ 严格执行止损，不犹豫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基本面恶化（ROE转负/营收大降）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立即清仓，不等止损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MACD死叉 + RSI &gt; 70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减仓50%，观察后续走势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新标的评分远超现有持仓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调仓换股，卖出最弱的买入更强的</w:t>
            </w:r>
          </w:p>
        </w:tc>
      </w:tr>
    </w:tbl>
    <w:p>
      <w:r>
        <w:rPr>
          <w:b w:val="0"/>
          <w:sz w:val="20"/>
        </w:rPr>
      </w:r>
    </w:p>
    <w:p>
      <w:r>
        <w:rPr>
          <w:b w:val="0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b w:val="0"/>
          <w:sz w:val="20"/>
        </w:rPr>
        <w:t>⚠️ 免责声明：本文档中的选股流程、评分模型和建仓策略仅供学习参考，不构成投资建议。股市有风险，投资需谨慎。所有分析基于历史数据，历史表现不代表未来收益。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