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d77b0b1166420e0d8f4fe0a288652d3a7582e7"/>
    <w:p>
      <w:pPr>
        <w:pStyle w:val="Heading1"/>
      </w:pPr>
      <w:r>
        <w:t xml:space="preserve">Handout S02: Cấu trúc Dữ liệu X.509 v3 &amp; Mã hóa Nhị phân ASN.1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 ·</w:t>
      </w:r>
      <w:r>
        <w:t xml:space="preserve"> </w:t>
      </w:r>
      <w:hyperlink r:id="rId9">
        <w:r>
          <w:rPr>
            <w:rStyle w:val="Hyperlink"/>
          </w:rPr>
          <w:t xml:space="preserve">ORCID: 0000-0002-9910-6387</w:t>
        </w:r>
      </w:hyperlink>
      <w:r>
        <w:t xml:space="preserve">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10" w:name="X60e1cd6343ea6594250d0288884f30a0c114c1b"/>
    <w:p>
      <w:pPr>
        <w:pStyle w:val="Heading2"/>
      </w:pPr>
      <w:r>
        <w:t xml:space="preserve">1. Ngôn ngữ Trừu tượng ASN.1 và Quy tắc Mã hóa DER</w:t>
      </w:r>
    </w:p>
    <w:p>
      <w:pPr>
        <w:pStyle w:val="FirstParagraph"/>
      </w:pPr>
      <w:r>
        <w:t xml:space="preserve">Cấu trúc chứng chỉ X.509 được định nghĩa bằng ngôn ngữ biểu diễn dữ liệu trừu tượng</w:t>
      </w:r>
      <w:r>
        <w:t xml:space="preserve"> </w:t>
      </w:r>
      <w:r>
        <w:rPr>
          <w:b/>
          <w:bCs/>
        </w:rPr>
        <w:t xml:space="preserve">ASN.1 (Abstract Syntax Notation One)</w:t>
      </w:r>
      <w:r>
        <w:t xml:space="preserve">. Để lưu trữ trên đĩa hoặc truyền qua mạng, cấu trúc này bắt buộc phải được tuần tự hóa nhị phân theo chuẩn</w:t>
      </w:r>
      <w:r>
        <w:t xml:space="preserve"> </w:t>
      </w:r>
      <w:r>
        <w:rPr>
          <w:b/>
          <w:bCs/>
        </w:rPr>
        <w:t xml:space="preserve">DER (Distinguished Encoding Rules)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ASN1["Định nghĩa Trừu tượng (ASN.1)&lt;br/&gt;Cú pháp mô tả kiểu dữ liệu độc lập nền tảng"] --&gt; Encoding["Quy tắc Tuần tự hóa Nhị phân"]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Encoding --&gt; BER["BER (Basic Encoding Rules)&lt;br/&gt;Cho phép nhiều cách biểu diễn cùng một giá trị"]</w:t>
      </w:r>
      <w:r>
        <w:br/>
      </w:r>
      <w:r>
        <w:rPr>
          <w:rStyle w:val="VerbatimChar"/>
        </w:rPr>
        <w:t xml:space="preserve">    Encoding --&gt; DER["DER (Distinguished Encoding Rules)&lt;br/&gt;Quy định DUY NHẤT một cách biểu diễn nhị phân"]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DER --&gt; StrictSig["Bảo đảm Tính Toàn vẹn Chữ ký Số&lt;br/&gt;Chữ ký số băm trên chuỗi byte DER duy nhất!"]</w:t>
      </w:r>
    </w:p>
    <w:p>
      <w:r>
        <w:pict>
          <v:rect style="width:0;height:1.5pt" o:hralign="center" o:hrstd="t" o:hr="t"/>
        </w:pict>
      </w:r>
    </w:p>
    <w:bookmarkEnd w:id="10"/>
    <w:bookmarkStart w:id="11" w:name="X232114deb87302e8003e95eaead5b68b306b272"/>
    <w:p>
      <w:pPr>
        <w:pStyle w:val="Heading2"/>
      </w:pPr>
      <w:r>
        <w:t xml:space="preserve">2. Cấu trúc Cây Dữ liệu Phân tầng của Chứng chỉ X.509 v3</w:t>
      </w:r>
    </w:p>
    <w:p>
      <w:pPr>
        <w:pStyle w:val="FirstParagraph"/>
      </w:pPr>
      <w:r>
        <w:t xml:space="preserve">Một chứng thư số X.509 v3 bao gồm 3 khối dữ liệu chính theo định nghĩa RFC 5280: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Certificate {</w:t>
      </w:r>
      <w:r>
        <w:br/>
      </w:r>
      <w:r>
        <w:rPr>
          <w:rStyle w:val="VerbatimChar"/>
        </w:rPr>
        <w:t xml:space="preserve">        +TBSCertificate tbsCertificate</w:t>
      </w:r>
      <w:r>
        <w:br/>
      </w:r>
      <w:r>
        <w:rPr>
          <w:rStyle w:val="VerbatimChar"/>
        </w:rPr>
        <w:t xml:space="preserve">        +AlgorithmIdentifier signatureAlgorithm</w:t>
      </w:r>
      <w:r>
        <w:br/>
      </w:r>
      <w:r>
        <w:rPr>
          <w:rStyle w:val="VerbatimChar"/>
        </w:rPr>
        <w:t xml:space="preserve">        +BitString signatureValue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TBSCertificate {</w:t>
      </w:r>
      <w:r>
        <w:br/>
      </w:r>
      <w:r>
        <w:rPr>
          <w:rStyle w:val="VerbatimChar"/>
        </w:rPr>
        <w:t xml:space="preserve">        +Integer version (v3 = 2)</w:t>
      </w:r>
      <w:r>
        <w:br/>
      </w:r>
      <w:r>
        <w:rPr>
          <w:rStyle w:val="VerbatimChar"/>
        </w:rPr>
        <w:t xml:space="preserve">        +CertificateSerialNumber serialNumber</w:t>
      </w:r>
      <w:r>
        <w:br/>
      </w:r>
      <w:r>
        <w:rPr>
          <w:rStyle w:val="VerbatimChar"/>
        </w:rPr>
        <w:t xml:space="preserve">        +AlgorithmIdentifier signature</w:t>
      </w:r>
      <w:r>
        <w:br/>
      </w:r>
      <w:r>
        <w:rPr>
          <w:rStyle w:val="VerbatimChar"/>
        </w:rPr>
        <w:t xml:space="preserve">        +Name issuer</w:t>
      </w:r>
      <w:r>
        <w:br/>
      </w:r>
      <w:r>
        <w:rPr>
          <w:rStyle w:val="VerbatimChar"/>
        </w:rPr>
        <w:t xml:space="preserve">        +Validity validity (notBefore, notAfter)</w:t>
      </w:r>
      <w:r>
        <w:br/>
      </w:r>
      <w:r>
        <w:rPr>
          <w:rStyle w:val="VerbatimChar"/>
        </w:rPr>
        <w:t xml:space="preserve">        +Name subject</w:t>
      </w:r>
      <w:r>
        <w:br/>
      </w:r>
      <w:r>
        <w:rPr>
          <w:rStyle w:val="VerbatimChar"/>
        </w:rPr>
        <w:t xml:space="preserve">        +SubjectPublicKeyInfo subjectPublicKeyInfo</w:t>
      </w:r>
      <w:r>
        <w:br/>
      </w:r>
      <w:r>
        <w:rPr>
          <w:rStyle w:val="VerbatimChar"/>
        </w:rPr>
        <w:t xml:space="preserve">        +UniqueIdentifier issuerUniqueID (optional)</w:t>
      </w:r>
      <w:r>
        <w:br/>
      </w:r>
      <w:r>
        <w:rPr>
          <w:rStyle w:val="VerbatimChar"/>
        </w:rPr>
        <w:t xml:space="preserve">        +UniqueIdentifier subjectUniqueID (optional)</w:t>
      </w:r>
      <w:r>
        <w:br/>
      </w:r>
      <w:r>
        <w:rPr>
          <w:rStyle w:val="VerbatimChar"/>
        </w:rPr>
        <w:t xml:space="preserve">        +Extensions extensions (optional)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SubjectPublicKeyInfo {</w:t>
      </w:r>
      <w:r>
        <w:br/>
      </w:r>
      <w:r>
        <w:rPr>
          <w:rStyle w:val="VerbatimChar"/>
        </w:rPr>
        <w:t xml:space="preserve">        +AlgorithmIdentifier algorithm</w:t>
      </w:r>
      <w:r>
        <w:br/>
      </w:r>
      <w:r>
        <w:rPr>
          <w:rStyle w:val="VerbatimChar"/>
        </w:rPr>
        <w:t xml:space="preserve">        +BitString subjectPublicKey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Certificate *-- TBSCertificate</w:t>
      </w:r>
      <w:r>
        <w:br/>
      </w:r>
      <w:r>
        <w:rPr>
          <w:rStyle w:val="VerbatimChar"/>
        </w:rPr>
        <w:t xml:space="preserve">    TBSCertificate *-- SubjectPublicKeyInfo</w:t>
      </w:r>
    </w:p>
    <w:p>
      <w:r>
        <w:pict>
          <v:rect style="width:0;height:1.5pt" o:hralign="center" o:hrstd="t" o:hr="t"/>
        </w:pict>
      </w:r>
    </w:p>
    <w:bookmarkEnd w:id="11"/>
    <w:bookmarkStart w:id="12" w:name="X64ec962faf1344747392660157417a3c522e99f"/>
    <w:p>
      <w:pPr>
        <w:pStyle w:val="Heading2"/>
      </w:pPr>
      <w:r>
        <w:t xml:space="preserve">3. Các Phần Mở rộng Trọng yếu (Critical Certificate Extensions)</w:t>
      </w:r>
    </w:p>
    <w:p>
      <w:pPr>
        <w:pStyle w:val="FirstParagraph"/>
      </w:pPr>
      <w:r>
        <w:t xml:space="preserve">Khi một phần mở rộng được đánh dấu cờ</w:t>
      </w:r>
      <w:r>
        <w:t xml:space="preserve"> </w:t>
      </w:r>
      <w:r>
        <w:rPr>
          <w:rStyle w:val="VerbatimChar"/>
        </w:rPr>
        <w:t xml:space="preserve">critical = TRUE</w:t>
      </w:r>
      <w:r>
        <w:t xml:space="preserve">, bên xác thực bắt buộc phải hiểu và áp dụng chính xác ràng buộc đó; nếu không hiểu, bắt buộc phải từ chối chứng chỉ: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Tên Mở rộng</w:t>
            </w:r>
          </w:p>
        </w:tc>
        <w:tc>
          <w:tcPr/>
          <w:p>
            <w:pPr>
              <w:pStyle w:val="Compact"/>
            </w:pPr>
            <w:r>
              <w:t xml:space="preserve">OID Chuẩn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Cờ Critical</w:t>
            </w:r>
          </w:p>
        </w:tc>
        <w:tc>
          <w:tcPr/>
          <w:p>
            <w:pPr>
              <w:pStyle w:val="Compact"/>
            </w:pPr>
            <w:r>
              <w:t xml:space="preserve">Mục đích Kỹ thuật &amp; Rủi ro nếu Cấu hình 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Constraints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2.5.29.19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Xác định chứng chỉ có phải là CA hay không (</w:t>
            </w:r>
            <w:r>
              <w:rPr>
                <w:rStyle w:val="VerbatimChar"/>
              </w:rPr>
              <w:t xml:space="preserve">CA:TRUE/FALSE</w:t>
            </w:r>
            <w:r>
              <w:t xml:space="preserve">) và độ sâu nhánh (</w:t>
            </w:r>
            <w:r>
              <w:rPr>
                <w:rStyle w:val="VerbatimChar"/>
              </w:rPr>
              <w:t xml:space="preserve">pathlen</w:t>
            </w:r>
            <w:r>
              <w:t xml:space="preserve">). Nếu thiếu, kẻ tấn công có thể dùng chứng chỉ máy chủ để ký chứng chỉ giả mạo khác!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2.5.29.15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Giới hạn mục đích sử dụng của khóa (ví dụ:</w:t>
            </w:r>
            <w:r>
              <w:t xml:space="preserve"> </w:t>
            </w:r>
            <w:r>
              <w:rPr>
                <w:rStyle w:val="VerbatimChar"/>
              </w:rPr>
              <w:t xml:space="preserve">keyCertSign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digitalSignature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keyEncipherment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Extended Key Usage (EKU)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2.5.29.37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Tùy chọn</w:t>
            </w:r>
          </w:p>
        </w:tc>
        <w:tc>
          <w:tcPr/>
          <w:p>
            <w:pPr>
              <w:pStyle w:val="Compact"/>
            </w:pPr>
            <w:r>
              <w:t xml:space="preserve">Ràng buộc nghiệp vụ tầng ứng dụng:</w:t>
            </w:r>
            <w:r>
              <w:t xml:space="preserve"> </w:t>
            </w:r>
            <w:r>
              <w:rPr>
                <w:rStyle w:val="VerbatimChar"/>
              </w:rPr>
              <w:t xml:space="preserve">serverAuth</w:t>
            </w:r>
            <w:r>
              <w:t xml:space="preserve"> </w:t>
            </w:r>
            <w:r>
              <w:t xml:space="preserve">(máy chủ TLS),</w:t>
            </w:r>
            <w:r>
              <w:t xml:space="preserve"> </w:t>
            </w:r>
            <w:r>
              <w:rPr>
                <w:rStyle w:val="VerbatimChar"/>
              </w:rPr>
              <w:t xml:space="preserve">clientAuth</w:t>
            </w:r>
            <w:r>
              <w:t xml:space="preserve"> </w:t>
            </w:r>
            <w:r>
              <w:t xml:space="preserve">(mTLS),</w:t>
            </w:r>
            <w:r>
              <w:t xml:space="preserve"> </w:t>
            </w:r>
            <w:r>
              <w:rPr>
                <w:rStyle w:val="VerbatimChar"/>
              </w:rPr>
              <w:t xml:space="preserve">codeSigning</w:t>
            </w:r>
            <w:r>
              <w:t xml:space="preserve"> </w:t>
            </w:r>
            <w:r>
              <w:t xml:space="preserve">(ký mã nguồn).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 Alternative Name (SAN)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2.5.29.17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Khuyến nghị</w:t>
            </w:r>
          </w:p>
        </w:tc>
        <w:tc>
          <w:tcPr/>
          <w:p>
            <w:pPr>
              <w:pStyle w:val="Compact"/>
            </w:pPr>
            <w:r>
              <w:t xml:space="preserve">Danh sách định danh hợp lệ: DNS Name, IP Address, URI (SPIFFE ID). Trình duyệt hiện đại đã loại bỏ hoàn toàn việc kiểm tra Common Name (CN).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Constraints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2.5.29.30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Tùy chọn</w:t>
            </w:r>
          </w:p>
        </w:tc>
        <w:tc>
          <w:tcPr/>
          <w:p>
            <w:pPr>
              <w:pStyle w:val="Compact"/>
            </w:pPr>
            <w:r>
              <w:t xml:space="preserve">Giới hạn không gian tên miền con mà Intermediate CA được phép phát hành (ví dụ: chỉ được cấp chứng thư cho đuôi</w:t>
            </w:r>
            <w:r>
              <w:t xml:space="preserve"> </w:t>
            </w:r>
            <w:r>
              <w:rPr>
                <w:rStyle w:val="VerbatimChar"/>
              </w:rPr>
              <w:t xml:space="preserve">.kma.edu.vn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tài-liệu-tham-khảo-chuẩn-quốc-tế"/>
    <w:p>
      <w:pPr>
        <w:pStyle w:val="Heading2"/>
      </w:pPr>
      <w:r>
        <w:t xml:space="preserve">4. Tài liệu Tham khảo Chuẩn Quốc tế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ITU-T Recommendation X.680 | ISO/IEC 8824-1:</w:t>
      </w:r>
      <w:r>
        <w:t xml:space="preserve"> </w:t>
      </w:r>
      <w:r>
        <w:rPr>
          <w:i/>
          <w:iCs/>
        </w:rPr>
        <w:t xml:space="preserve">Abstract Syntax Notation One (ASN.1): Specification of basic notation</w:t>
      </w:r>
      <w:r>
        <w:t xml:space="preserve">, Geneva, 2021.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ITU-T Recommendation X.690 | ISO/IEC 8825-1:</w:t>
      </w:r>
      <w:r>
        <w:t xml:space="preserve"> </w:t>
      </w:r>
      <w:r>
        <w:rPr>
          <w:i/>
          <w:iCs/>
        </w:rPr>
        <w:t xml:space="preserve">ASN.1 encoding rules: Specification of Basic Encoding Rules (BER), Canonical Encoding Rules (CER) and Distinguished Encoding Rules (DER)</w:t>
      </w:r>
      <w:r>
        <w:t xml:space="preserve">, Geneva, 2021.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IETF RFC 5280:</w:t>
      </w:r>
      <w:r>
        <w:t xml:space="preserve"> </w:t>
      </w:r>
      <w:r>
        <w:rPr>
          <w:i/>
          <w:iCs/>
        </w:rPr>
        <w:t xml:space="preserve">Internet X.509 Public Key Infrastructure Certificate and CRL Profile (§4.2: Certificate Extensions)</w:t>
      </w:r>
      <w:r>
        <w:t xml:space="preserve">, 2008.</w:t>
      </w:r>
      <w:r>
        <w:t xml:space="preserve"> </w:t>
      </w:r>
      <w:hyperlink r:id="rId13">
        <w:r>
          <w:rPr>
            <w:rStyle w:val="Hyperlink"/>
          </w:rPr>
          <w:t xml:space="preserve">rfc-editor.org/rfc/rfc5280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Peter Gutmann:</w:t>
      </w:r>
      <w:r>
        <w:t xml:space="preserve"> </w:t>
      </w:r>
      <w:r>
        <w:rPr>
          <w:i/>
          <w:iCs/>
        </w:rPr>
        <w:t xml:space="preserve">X.509 Style Guide</w:t>
      </w:r>
      <w:r>
        <w:t xml:space="preserve">, University of Auckland, 2000.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0-0002-9910-6387" TargetMode="External" /><Relationship Type="http://schemas.openxmlformats.org/officeDocument/2006/relationships/hyperlink" Id="rId13" Target="https://www.rfc-editor.org/rfc/rfc52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0-0002-9910-6387" TargetMode="External" /><Relationship Type="http://schemas.openxmlformats.org/officeDocument/2006/relationships/hyperlink" Id="rId13" Target="https://www.rfc-editor.org/rfc/rfc52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2026-10-03T01:49:37Z</dcterms:created>
  <dcterms:modified xsi:type="dcterms:W3CDTF">2026-10-03T01:49:37Z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