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c603632d49fc30fb4adabe6071b766f512dfef"/>
    <w:p>
      <w:pPr>
        <w:pStyle w:val="Heading1"/>
      </w:pPr>
      <w:r>
        <w:t xml:space="preserve">Lecture Notes S05: Bảo vệ Khóa Riêng tư: SoftHSMv2, PKCS#11 &amp; Chuyển dịch PQC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cấu-trúc-đối-tượng-trong-chuẩn-pkcs11"/>
    <w:p>
      <w:pPr>
        <w:pStyle w:val="Heading2"/>
      </w:pPr>
      <w:r>
        <w:t xml:space="preserve">1. Cấu trúc Đối tượng trong Chuẩn PKCS#11</w:t>
      </w:r>
    </w:p>
    <w:p>
      <w:pPr>
        <w:pStyle w:val="FirstParagraph"/>
      </w:pPr>
      <w:r>
        <w:t xml:space="preserve">Trong mô hình PKCS#11, phần cứng bảo mật quản lý các đối tượng dưới dạng cây phân cấp: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Slot (Khe cắm):</w:t>
      </w:r>
      <w:r>
        <w:t xml:space="preserve"> </w:t>
      </w:r>
      <w:r>
        <w:t xml:space="preserve">Đại diện cho một cổng đọc vật lý hoặc logic.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Token (Thẻ thông minh):</w:t>
      </w:r>
      <w:r>
        <w:t xml:space="preserve"> </w:t>
      </w:r>
      <w:r>
        <w:t xml:space="preserve">Thiết bị logic được khởi tạo trong slot, bảo vệ bằng mã PIN (User PIN và Security Officer PIN).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Cryptographic Objects: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CKO_PRIVATE_KEY</w:t>
      </w:r>
      <w:r>
        <w:t xml:space="preserve">: Khóa riêng tư, có thuộc tính</w:t>
      </w:r>
      <w:r>
        <w:t xml:space="preserve"> </w:t>
      </w:r>
      <w:r>
        <w:rPr>
          <w:rStyle w:val="VerbatimChar"/>
        </w:rPr>
        <w:t xml:space="preserve">CKA_PRIVATE = TRUE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CKA_EXTRACTABLE = FALSE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CKO_PUBLIC_KEY</w:t>
      </w:r>
      <w:r>
        <w:t xml:space="preserve">: Khóa công khai, phục vụ xác minh chữ ký.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CKO_CERTIFICATE</w:t>
      </w:r>
      <w:r>
        <w:t xml:space="preserve">: Chứng chỉ X.509 lưu kèm khóa.</w:t>
      </w:r>
    </w:p>
    <w:p>
      <w:r>
        <w:pict>
          <v:rect style="width:0;height:1.5pt" o:hralign="center" o:hrstd="t" o:hr="t"/>
        </w:pict>
      </w:r>
    </w:p>
    <w:bookmarkEnd w:id="9"/>
    <w:bookmarkStart w:id="10" w:name="X65d630722c753096bb1888360c1b35dc3135c38"/>
    <w:p>
      <w:pPr>
        <w:pStyle w:val="Heading2"/>
      </w:pPr>
      <w:r>
        <w:t xml:space="preserve">2. Kích thước Dữ liệu và Thách thức Phân mảnh TCP của Chữ ký PQC</w:t>
      </w:r>
    </w:p>
    <w:p>
      <w:pPr>
        <w:pStyle w:val="FirstParagraph"/>
      </w:pPr>
      <w:r>
        <w:t xml:space="preserve">So sánh định lượng kích thước chữ ký và khóa công khai (Bytes):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Loại thuật toán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Khóa Công khai (Bytes)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Chữ ký Số (Bytes)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Tỷ lệ Dôi dư so với ECDSA P-256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ECDSA P-256</w:t>
            </w:r>
          </w:p>
        </w:tc>
        <w:tc>
          <w:tcPr/>
          <w:p>
            <w:pPr>
              <w:pStyle w:val="Compact"/>
            </w:pPr>
            <w:r>
              <w:t xml:space="preserve">Đường cong Elip (Cổ điển)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1.0x (Chuẩn tham chiếu)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RSA-2048</w:t>
            </w:r>
          </w:p>
        </w:tc>
        <w:tc>
          <w:tcPr/>
          <w:p>
            <w:pPr>
              <w:pStyle w:val="Compact"/>
            </w:pPr>
            <w:r>
              <w:t xml:space="preserve">Phân tích số nguyên (Cổ điển)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ML-DSA-44</w:t>
            </w:r>
          </w:p>
        </w:tc>
        <w:tc>
          <w:tcPr/>
          <w:p>
            <w:pPr>
              <w:pStyle w:val="Compact"/>
            </w:pPr>
            <w:r>
              <w:t xml:space="preserve">Mạng tinh thể (NIST Level 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33.6x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ML-DSA-65</w:t>
            </w:r>
          </w:p>
        </w:tc>
        <w:tc>
          <w:tcPr/>
          <w:p>
            <w:pPr>
              <w:pStyle w:val="Compact"/>
            </w:pPr>
            <w:r>
              <w:t xml:space="preserve">Mạng tinh thể (NIST Level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46.0x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ML-DSA-87</w:t>
            </w:r>
          </w:p>
        </w:tc>
        <w:tc>
          <w:tcPr/>
          <w:p>
            <w:pPr>
              <w:pStyle w:val="Compact"/>
            </w:pPr>
            <w:r>
              <w:t xml:space="preserve">Mạng tinh thể (NIST Level 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64.3x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Hệ quả Kỹ thuật:</w:t>
      </w:r>
      <w:r>
        <w:t xml:space="preserve"> </w:t>
      </w:r>
      <w:r>
        <w:t xml:space="preserve">Với kích thước gói tin chuẩn MTU mạng Internet là 1.500 Bytes, một chứng chỉ X.509 sử dụng ML-DSA-65 hoặc chuỗi 3 cấp chứng chỉ PQC sẽ vượt quá 8 KB, dẫn tới hiện tượng phân mảnh gói tin TCP (TCP Packet Segmentation) và làm gia tăng độ trễ kết nối.</w:t>
      </w:r>
    </w:p>
    <w:p>
      <w:r>
        <w:pict>
          <v:rect style="width:0;height:1.5pt" o:hralign="center" o:hrstd="t" o:hr="t"/>
        </w:pict>
      </w:r>
    </w:p>
    <w:bookmarkEnd w:id="10"/>
    <w:bookmarkStart w:id="12" w:name="tài-liệu-tham-khảo-mở-rộng"/>
    <w:p>
      <w:pPr>
        <w:pStyle w:val="Heading2"/>
      </w:pPr>
      <w:r>
        <w:t xml:space="preserve">3. Tài liệu Tham khảo Mở rộng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OASIS PKCS #11 v3.0 Specification.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NIST FIPS 203, FIPS 204, FIPS 205 (August 2024).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Quantum Safe:</w:t>
      </w:r>
      <w:r>
        <w:t xml:space="preserve"> </w:t>
      </w:r>
      <w:hyperlink r:id="rId11">
        <w:r>
          <w:rPr>
            <w:rStyle w:val="Hyperlink"/>
          </w:rPr>
          <w:t xml:space="preserve">openquantumsafe.org</w:t>
        </w:r>
      </w:hyperlink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openquantumsaf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openquantumsaf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2026-10-02T16:04:19Z</dcterms:created>
  <dcterms:modified xsi:type="dcterms:W3CDTF">2026-10-02T16:04:19Z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