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7c98ab8f9225a9a6c9be6e0e29edd499605685"/>
    <w:p>
      <w:pPr>
        <w:pStyle w:val="Heading1"/>
      </w:pPr>
      <w:r>
        <w:t xml:space="preserve">Lecture Notes S03: Hạ tầng CA Phân tầng, Quy chế CP/CPS &amp; Cấp phát Tự động ACME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 ·</w:t>
      </w:r>
      <w:r>
        <w:t xml:space="preserve"> </w:t>
      </w:r>
      <w:hyperlink r:id="rId9">
        <w:r>
          <w:rPr>
            <w:rStyle w:val="Hyperlink"/>
          </w:rPr>
          <w:t xml:space="preserve">ORCID: 0000-0002-9910-6387</w:t>
        </w:r>
      </w:hyperlink>
      <w:r>
        <w:t xml:space="preserve">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10" w:name="X7a80d5bc5c0e134e2374900133f24d0729b9d65"/>
    <w:p>
      <w:pPr>
        <w:pStyle w:val="Heading2"/>
      </w:pPr>
      <w:r>
        <w:t xml:space="preserve">1. Thiết kế Phân tầng CA và Giới hạn Đường dẫn (Path Length Constraint)</w:t>
      </w:r>
    </w:p>
    <w:p>
      <w:pPr>
        <w:pStyle w:val="FirstParagraph"/>
      </w:pPr>
      <w:r>
        <w:t xml:space="preserve">Khi xây dựng CA trung gian, cờ</w:t>
      </w:r>
      <w:r>
        <w:t xml:space="preserve"> </w:t>
      </w:r>
      <w:r>
        <w:rPr>
          <w:rStyle w:val="VerbatimChar"/>
        </w:rPr>
        <w:t xml:space="preserve">basicConstraints</w:t>
      </w:r>
      <w:r>
        <w:t xml:space="preserve"> </w:t>
      </w:r>
      <w:r>
        <w:t xml:space="preserve">có tham số</w:t>
      </w:r>
      <w:r>
        <w:t xml:space="preserve"> </w:t>
      </w:r>
      <w:r>
        <w:rPr>
          <w:rStyle w:val="VerbatimChar"/>
        </w:rPr>
        <w:t xml:space="preserve">pathlen</w:t>
      </w:r>
      <w:r>
        <w:t xml:space="preserve"> </w:t>
      </w:r>
      <w:r>
        <w:t xml:space="preserve">xác định số cấp CA con được phép tồn tại phía dưới: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basicConstraints = critical, CA:TRUE, pathlen:0</w:t>
      </w:r>
      <w:r>
        <w:t xml:space="preserve"> </w:t>
      </w:r>
      <w:r>
        <w:t xml:space="preserve">$</w:t>
      </w:r>
      <w:r>
        <w:t xml:space="preserve"> </w:t>
      </w:r>
      <w:r>
        <w:t xml:space="preserve">ightarrow$ Intermediate CA này chỉ được phép ký cấp phát cho thực thể đầu cuối (End-Entity), tuyệt đối không thể ký tạo thêm một CA con nào khác.</w:t>
      </w:r>
      <w:r>
        <w:t xml:space="preserve"> </w:t>
      </w:r>
      <w:r>
        <w:t xml:space="preserve">* Kỹ thuật này ngăn chặn hoàn toàn rủi ro một CA trung gian bị lạm quyền để tạo ra các CA con không kiểm soát được.</w:t>
      </w:r>
    </w:p>
    <w:p>
      <w:r>
        <w:pict>
          <v:rect style="width:0;height:1.5pt" o:hralign="center" o:hrstd="t" o:hr="t"/>
        </w:pict>
      </w:r>
    </w:p>
    <w:bookmarkEnd w:id="10"/>
    <w:bookmarkStart w:id="11" w:name="Xe59d34e814865a1477c373f7006686aa631f692"/>
    <w:p>
      <w:pPr>
        <w:pStyle w:val="Heading2"/>
      </w:pPr>
      <w:r>
        <w:t xml:space="preserve">2. So sánh Các Phương thức Thử thách Xác thực trong ACME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Thử thách</w:t>
            </w:r>
          </w:p>
        </w:tc>
        <w:tc>
          <w:tcPr/>
          <w:p>
            <w:pPr>
              <w:pStyle w:val="Compact"/>
            </w:pPr>
            <w:r>
              <w:t xml:space="preserve">Cơ chế Hoạt động</w:t>
            </w:r>
          </w:p>
        </w:tc>
        <w:tc>
          <w:tcPr/>
          <w:p>
            <w:pPr>
              <w:pStyle w:val="Compact"/>
            </w:pPr>
            <w:r>
              <w:t xml:space="preserve">Ưu điểm Kỹ thuật</w:t>
            </w:r>
          </w:p>
        </w:tc>
        <w:tc>
          <w:tcPr/>
          <w:p>
            <w:pPr>
              <w:pStyle w:val="Compact"/>
            </w:pPr>
            <w:r>
              <w:t xml:space="preserve">Nhược điểm &amp; Hạn chế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HTTP-01</w:t>
            </w:r>
          </w:p>
        </w:tc>
        <w:tc>
          <w:tcPr/>
          <w:p>
            <w:pPr>
              <w:pStyle w:val="Compact"/>
            </w:pPr>
            <w:r>
              <w:t xml:space="preserve">Máy chủ ACME truy vấn tệp ngẫu nhiên tại</w:t>
            </w:r>
            <w:r>
              <w:t xml:space="preserve"> </w:t>
            </w:r>
            <w:r>
              <w:rPr>
                <w:rStyle w:val="VerbatimChar"/>
              </w:rPr>
              <w:t xml:space="preserve">http://&lt;domain&gt;/.well-known/acme-challenge/&lt;token&gt;</w:t>
            </w:r>
          </w:p>
        </w:tc>
        <w:tc>
          <w:tcPr/>
          <w:p>
            <w:pPr>
              <w:pStyle w:val="Compact"/>
            </w:pPr>
            <w:r>
              <w:t xml:space="preserve">Dễ triển khai, chỉ cần cấu hình máy chủ Web</w:t>
            </w:r>
          </w:p>
        </w:tc>
        <w:tc>
          <w:tcPr/>
          <w:p>
            <w:pPr>
              <w:pStyle w:val="Compact"/>
            </w:pPr>
            <w:r>
              <w:t xml:space="preserve">Cần mở cổng 80 công khai; không hỗ trợ cấp phát chứng chỉ Wildcard (</w:t>
            </w:r>
            <w:r>
              <w:rPr>
                <w:rStyle w:val="VerbatimChar"/>
              </w:rPr>
              <w:t xml:space="preserve">*.kma.internal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DNS-01</w:t>
            </w:r>
          </w:p>
        </w:tc>
        <w:tc>
          <w:tcPr/>
          <w:p>
            <w:pPr>
              <w:pStyle w:val="Compact"/>
            </w:pPr>
            <w:r>
              <w:t xml:space="preserve">Tạo bản ghi TXT tại</w:t>
            </w:r>
            <w:r>
              <w:t xml:space="preserve"> </w:t>
            </w:r>
            <w:r>
              <w:rPr>
                <w:rStyle w:val="VerbatimChar"/>
              </w:rPr>
              <w:t xml:space="preserve">_acme-challenge.&lt;domain&gt;</w:t>
            </w:r>
            <w:r>
              <w:t xml:space="preserve"> </w:t>
            </w:r>
            <w:r>
              <w:t xml:space="preserve">chứa mã băm xác thực</w:t>
            </w:r>
          </w:p>
        </w:tc>
        <w:tc>
          <w:tcPr/>
          <w:p>
            <w:pPr>
              <w:pStyle w:val="Compact"/>
            </w:pPr>
            <w:r>
              <w:t xml:space="preserve">Hỗ trợ cấp chứng chỉ Wildcard; không cần máy chủ mở cổng mạng công khai</w:t>
            </w:r>
          </w:p>
        </w:tc>
        <w:tc>
          <w:tcPr/>
          <w:p>
            <w:pPr>
              <w:pStyle w:val="Compact"/>
            </w:pPr>
            <w:r>
              <w:t xml:space="preserve">Cần cấp quyền truy cập API DNS; độ trễ cập nhật truyền bá bản ghi 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TLS-ALPN-01</w:t>
            </w:r>
          </w:p>
        </w:tc>
        <w:tc>
          <w:tcPr/>
          <w:p>
            <w:pPr>
              <w:pStyle w:val="Compact"/>
            </w:pPr>
            <w:r>
              <w:t xml:space="preserve">Bắt tay TLS sử dụng giao thức ALPN riêng biệt</w:t>
            </w:r>
            <w:r>
              <w:t xml:space="preserve"> </w:t>
            </w:r>
            <w:r>
              <w:rPr>
                <w:rStyle w:val="VerbatimChar"/>
              </w:rPr>
              <w:t xml:space="preserve">acme-tls/1</w:t>
            </w:r>
            <w:r>
              <w:t xml:space="preserve"> </w:t>
            </w:r>
            <w:r>
              <w:t xml:space="preserve">trên cổng 443</w:t>
            </w:r>
          </w:p>
        </w:tc>
        <w:tc>
          <w:tcPr/>
          <w:p>
            <w:pPr>
              <w:pStyle w:val="Compact"/>
            </w:pPr>
            <w:r>
              <w:t xml:space="preserve">Hoạt động trực tiếp trên cổng HTTPS; phù hợp thiết bị cân bằng tải</w:t>
            </w:r>
          </w:p>
        </w:tc>
        <w:tc>
          <w:tcPr/>
          <w:p>
            <w:pPr>
              <w:pStyle w:val="Compact"/>
            </w:pPr>
            <w:r>
              <w:t xml:space="preserve">Cấu hình phức tạp hơn; cần can thiệp tầng xử lý bắt tay TLS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65491e4bdbc88accafbf71fef5d58a8dbde68d4"/>
    <w:p>
      <w:pPr>
        <w:pStyle w:val="Heading2"/>
      </w:pPr>
      <w:r>
        <w:t xml:space="preserve">3. Khung Cấu trúc 9 Phần của CP/CPS theo RFC 3647</w:t>
      </w:r>
    </w:p>
    <w:p>
      <w:pPr>
        <w:pStyle w:val="FirstParagraph"/>
      </w:pPr>
      <w:r>
        <w:t xml:space="preserve">Một tài liệu CP/CPS chuẩn quốc tế bao gồm đúng 9 mục chuẩn mực: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Introduction:</w:t>
      </w:r>
      <w:r>
        <w:t xml:space="preserve"> </w:t>
      </w:r>
      <w:r>
        <w:t xml:space="preserve">Định danh tài liệu, phạm vi áp dụng, thông tin liên hệ.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Publication and Repository Responsibilities:</w:t>
      </w:r>
      <w:r>
        <w:t xml:space="preserve"> </w:t>
      </w:r>
      <w:r>
        <w:t xml:space="preserve">Trách nhiệm công bố chứng thư và danh sách thu hồi.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Identification and Authentication:</w:t>
      </w:r>
      <w:r>
        <w:t xml:space="preserve"> </w:t>
      </w:r>
      <w:r>
        <w:t xml:space="preserve">Quy trình xác minh nhân thân cá nhân / máy chủ.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Certificate Life-Cycle Operational Requirements:</w:t>
      </w:r>
      <w:r>
        <w:t xml:space="preserve"> </w:t>
      </w:r>
      <w:r>
        <w:t xml:space="preserve">Vòng đời yêu cầu, cấp phát, gia hạn, thu hồi.</w:t>
      </w:r>
      <w:r>
        <w:t xml:space="preserve"> </w:t>
      </w:r>
      <w:r>
        <w:t xml:space="preserve">5.</w:t>
      </w:r>
      <w:r>
        <w:t xml:space="preserve"> </w:t>
      </w:r>
      <w:r>
        <w:rPr>
          <w:i/>
          <w:iCs/>
        </w:rPr>
        <w:t xml:space="preserve">Facility, Management, and Operational Controls:</w:t>
      </w:r>
      <w:r>
        <w:t xml:space="preserve"> </w:t>
      </w:r>
      <w:r>
        <w:t xml:space="preserve">An ninh vật lý, quản lý nhân sự, lưu trữ nhật ký.</w:t>
      </w:r>
      <w:r>
        <w:t xml:space="preserve"> </w:t>
      </w:r>
      <w:r>
        <w:t xml:space="preserve">6.</w:t>
      </w:r>
      <w:r>
        <w:t xml:space="preserve"> </w:t>
      </w:r>
      <w:r>
        <w:rPr>
          <w:i/>
          <w:iCs/>
        </w:rPr>
        <w:t xml:space="preserve">Technical Security Controls:</w:t>
      </w:r>
      <w:r>
        <w:t xml:space="preserve"> </w:t>
      </w:r>
      <w:r>
        <w:t xml:space="preserve">Quản lý khóa mật mã (Key Pair Generation and Installation).</w:t>
      </w:r>
      <w:r>
        <w:t xml:space="preserve"> </w:t>
      </w:r>
      <w:r>
        <w:t xml:space="preserve">7.</w:t>
      </w:r>
      <w:r>
        <w:t xml:space="preserve"> </w:t>
      </w:r>
      <w:r>
        <w:rPr>
          <w:i/>
          <w:iCs/>
        </w:rPr>
        <w:t xml:space="preserve">Certificate, CRL, and OCSP Profiles:</w:t>
      </w:r>
      <w:r>
        <w:t xml:space="preserve"> </w:t>
      </w:r>
      <w:r>
        <w:t xml:space="preserve">Đặc tả định dạng chứng thư, các trường mở rộng OID.</w:t>
      </w:r>
      <w:r>
        <w:t xml:space="preserve"> </w:t>
      </w:r>
      <w:r>
        <w:t xml:space="preserve">8.</w:t>
      </w:r>
      <w:r>
        <w:t xml:space="preserve"> </w:t>
      </w:r>
      <w:r>
        <w:rPr>
          <w:i/>
          <w:iCs/>
        </w:rPr>
        <w:t xml:space="preserve">Compliance Audit and Other Assessments:</w:t>
      </w:r>
      <w:r>
        <w:t xml:space="preserve"> </w:t>
      </w:r>
      <w:r>
        <w:t xml:space="preserve">Quy trình thanh tra, kiểm toán định kỳ.</w:t>
      </w:r>
      <w:r>
        <w:t xml:space="preserve"> </w:t>
      </w:r>
      <w:r>
        <w:t xml:space="preserve">9.</w:t>
      </w:r>
      <w:r>
        <w:t xml:space="preserve"> </w:t>
      </w:r>
      <w:r>
        <w:rPr>
          <w:i/>
          <w:iCs/>
        </w:rPr>
        <w:t xml:space="preserve">Other Business and Legal Matters:</w:t>
      </w:r>
      <w:r>
        <w:t xml:space="preserve"> </w:t>
      </w:r>
      <w:r>
        <w:t xml:space="preserve">Trách nhiệm pháp lý, quyền riêng tư, giải quyết tranh chấp.</w:t>
      </w:r>
    </w:p>
    <w:p>
      <w:r>
        <w:pict>
          <v:rect style="width:0;height:1.5pt" o:hralign="center" o:hrstd="t" o:hr="t"/>
        </w:pict>
      </w:r>
    </w:p>
    <w:bookmarkEnd w:id="12"/>
    <w:bookmarkStart w:id="15" w:name="tài-liệu-tham-khảo-mở-rộng"/>
    <w:p>
      <w:pPr>
        <w:pStyle w:val="Heading2"/>
      </w:pPr>
      <w:r>
        <w:t xml:space="preserve">4. Tài liệu Tham khảo Mở rộng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RFC 3647:</w:t>
      </w:r>
      <w:r>
        <w:t xml:space="preserve"> </w:t>
      </w:r>
      <w:r>
        <w:rPr>
          <w:i/>
          <w:iCs/>
        </w:rPr>
        <w:t xml:space="preserve">CP/CPS Framework</w:t>
      </w:r>
      <w:r>
        <w:t xml:space="preserve">.</w:t>
      </w:r>
      <w:r>
        <w:t xml:space="preserve"> </w:t>
      </w:r>
      <w:hyperlink r:id="rId13">
        <w:r>
          <w:rPr>
            <w:rStyle w:val="Hyperlink"/>
          </w:rPr>
          <w:t xml:space="preserve">rfc-editor.org/rfc/rfc3647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RFC 8555:</w:t>
      </w:r>
      <w:r>
        <w:t xml:space="preserve"> </w:t>
      </w:r>
      <w:r>
        <w:rPr>
          <w:i/>
          <w:iCs/>
        </w:rPr>
        <w:t xml:space="preserve">ACME Protocol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rfc-editor.org/rfc/rfc8555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CA/Browser Forum Baseline Requirements v2.0.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rcid.org/0000-0002-9910-6387" TargetMode="External" /><Relationship Type="http://schemas.openxmlformats.org/officeDocument/2006/relationships/hyperlink" Id="rId13" Target="https://www.rfc-editor.org/rfc/rfc3647" TargetMode="External" /><Relationship Type="http://schemas.openxmlformats.org/officeDocument/2006/relationships/hyperlink" Id="rId14" Target="https://www.rfc-editor.org/rfc/rfc85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cid.org/0000-0002-9910-6387" TargetMode="External" /><Relationship Type="http://schemas.openxmlformats.org/officeDocument/2006/relationships/hyperlink" Id="rId13" Target="https://www.rfc-editor.org/rfc/rfc3647" TargetMode="External" /><Relationship Type="http://schemas.openxmlformats.org/officeDocument/2006/relationships/hyperlink" Id="rId14" Target="https://www.rfc-editor.org/rfc/rfc85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2026-10-03T01:50:33Z</dcterms:created>
  <dcterms:modified xsi:type="dcterms:W3CDTF">2026-10-03T01:50:33Z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