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843D"/>
                <w:sz w:val="21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0642D"/>
          <w:sz w:val="28"/>
        </w:rPr>
        <w:t>BIỂU PHÍ DỊCH VỤ THẺ QUỐC TẾ VIETCOMBANK VISA / MASTERCARD / JCB 2026</w:t>
      </w:r>
    </w:p>
    <w:p>
      <w:pPr>
        <w:jc w:val="center"/>
      </w:pPr>
      <w:r>
        <w:rPr>
          <w:i/>
          <w:color w:val="646464"/>
          <w:sz w:val="19"/>
        </w:rPr>
        <w:t>Mã văn bản / Biểu mẫu: VCB-CARD-INT-2026</w:t>
      </w:r>
    </w:p>
    <w:p>
      <w:pPr>
        <w:jc w:val="center"/>
      </w:pPr>
      <w:r>
        <w:rPr>
          <w:b/>
          <w:sz w:val="21"/>
        </w:rPr>
        <w:t>Quy định mức thu phí phát hành, phí thường niên và các phí giao dịch thẻ quốc tế</w:t>
      </w:r>
    </w:p>
    <w:p>
      <w:pPr>
        <w:spacing w:before="160" w:after="60"/>
      </w:pPr>
      <w:r>
        <w:rPr>
          <w:b/>
          <w:color w:val="006E32"/>
          <w:sz w:val="22"/>
        </w:rPr>
        <w:t>I. QUY ĐỊNH CHUNG VỀ THẺ QUỐC TẾ</w:t>
      </w:r>
    </w:p>
    <w:p>
      <w:pPr>
        <w:spacing w:before="20" w:after="40"/>
      </w:pPr>
      <w:r>
        <w:rPr>
          <w:b/>
          <w:sz w:val="20"/>
        </w:rPr>
        <w:t xml:space="preserve">• Đối tượng áp dụng: </w:t>
      </w:r>
      <w:r>
        <w:rPr>
          <w:sz w:val="20"/>
        </w:rPr>
        <w:t>Khách hàng cá nhân và doanh nghiệp phát hành thẻ quốc tế tại Vietcombank</w:t>
      </w:r>
    </w:p>
    <w:p>
      <w:pPr>
        <w:spacing w:before="20" w:after="40"/>
      </w:pPr>
      <w:r>
        <w:rPr>
          <w:b/>
          <w:sz w:val="20"/>
        </w:rPr>
        <w:t xml:space="preserve">• Thời hạn hiệu lực biểu phí: </w:t>
      </w:r>
      <w:r>
        <w:rPr>
          <w:sz w:val="20"/>
        </w:rPr>
        <w:t>Áp dụng từ ngày 01/01/2026 cho đến khi có thông báo thay thế mới</w:t>
      </w:r>
    </w:p>
    <w:p>
      <w:pPr>
        <w:spacing w:before="20" w:after="40"/>
      </w:pPr>
      <w:r>
        <w:rPr>
          <w:b/>
          <w:sz w:val="20"/>
        </w:rPr>
        <w:t xml:space="preserve">• Quy định miễn/giảm phí: </w:t>
      </w:r>
      <w:r>
        <w:rPr>
          <w:sz w:val="20"/>
        </w:rPr>
        <w:t>Khách hàng VIP Vietcombank Priority được miễn 100% phí thường niên</w:t>
      </w:r>
    </w:p>
    <w:p>
      <w:pPr>
        <w:spacing w:before="160" w:after="60"/>
      </w:pPr>
      <w:r>
        <w:rPr>
          <w:b/>
          <w:color w:val="006E32"/>
          <w:sz w:val="22"/>
        </w:rPr>
        <w:t>II. ĐẶC QUYỀN VÀ BẢO HIỂM DU LỊCH ĐI KÈM</w:t>
      </w:r>
    </w:p>
    <w:p>
      <w:pPr>
        <w:spacing w:before="20" w:after="40"/>
      </w:pPr>
      <w:r>
        <w:rPr>
          <w:b/>
          <w:sz w:val="20"/>
        </w:rPr>
        <w:t xml:space="preserve">• Bảo hiểm du lịch toàn cầu: </w:t>
      </w:r>
      <w:r>
        <w:rPr>
          <w:sz w:val="20"/>
        </w:rPr>
        <w:t>Áp dụng cho chủ thẻ Visa Signature và Platinum hạn mức bồi thường tới 11.65 tỷ VND</w:t>
      </w:r>
    </w:p>
    <w:p>
      <w:pPr>
        <w:spacing w:before="20" w:after="40"/>
      </w:pPr>
      <w:r>
        <w:rPr>
          <w:b/>
          <w:sz w:val="20"/>
        </w:rPr>
        <w:t xml:space="preserve">• Phòng chờ sân bay: </w:t>
      </w:r>
      <w:r>
        <w:rPr>
          <w:sz w:val="20"/>
        </w:rPr>
        <w:t>Miễn phí sử dụng phòng chờ Lotus Lounge tại các sân bay quốc tế Việt Nam</w:t>
      </w:r>
    </w:p>
    <w:p>
      <w:pPr>
        <w:spacing w:before="20" w:after="40"/>
      </w:pPr>
      <w:r>
        <w:rPr>
          <w:b/>
          <w:sz w:val="20"/>
        </w:rPr>
        <w:t xml:space="preserve">• VCB Rewards: </w:t>
      </w:r>
      <w:r>
        <w:rPr>
          <w:sz w:val="20"/>
        </w:rPr>
        <w:t>Tích lũy điểm thưởng không giới hạn cho mọi giao dịch thanh toán POS/Online</w:t>
      </w:r>
    </w:p>
    <w:p>
      <w:pPr>
        <w:spacing w:before="200" w:after="80"/>
      </w:pPr>
      <w:r>
        <w:rPr>
          <w:b/>
          <w:color w:val="006E32"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Hạng thẻ quốc tế Vietcombank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Phí phát hành thẻ (VND)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Phí thường niên (VND/năm)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Phí chuyển đổi ngoại tệ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Phí rút tiền ATM ngoài nước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Visa Signature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1.50%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Visa Platinum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2.00%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Mastercard World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2.00%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JCB Platinum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2.00%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Visa Hạng Vàng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Visa Hạng Chuẩn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Mastercard Chuẩn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Vietcombank JCB Chuẩn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</w:tbl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