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color w:val="00843D"/>
                <w:sz w:val="20"/>
              </w:rPr>
              <w:t>NGÂN HÀNG TMCP NGOẠI THƯƠNG VIỆT NAM</w:t>
              <w:br/>
              <w:t>VIETCOMBANK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CỘNG HÒA XÃ HỘI CHỦ NGHĨA VIỆT NAM</w:t>
              <w:br/>
              <w:t>Độc lập - Tự do - Hạnh phúc</w:t>
              <w:br/>
              <w:t>---------------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b/>
          <w:color w:val="00642D"/>
          <w:sz w:val="30"/>
        </w:rPr>
        <w:t>GIẤY ĐỀ NGHỊ PHÁT HÀNH KIÊM HỢP ĐỒNG SỬ DỤNG THẺ TÍN DỤNG</w:t>
      </w:r>
    </w:p>
    <w:p>
      <w:pPr>
        <w:jc w:val="center"/>
      </w:pPr>
      <w:r>
        <w:rPr>
          <w:i/>
          <w:color w:val="646464"/>
          <w:sz w:val="19"/>
        </w:rPr>
        <w:t>Mã biểu mẫu: BM-02/CARD-VCB</w:t>
      </w:r>
    </w:p>
    <w:p>
      <w:pPr>
        <w:jc w:val="center"/>
      </w:pPr>
      <w:r>
        <w:rPr>
          <w:b/>
          <w:sz w:val="22"/>
        </w:rPr>
        <w:t>Sản phẩm Thẻ tín dụng Quốc tế Vietcombank Visa / Mastercard / JCB Platinum</w:t>
      </w:r>
    </w:p>
    <w:p>
      <w:pPr>
        <w:spacing w:before="160" w:after="60"/>
      </w:pPr>
      <w:r>
        <w:rPr>
          <w:b/>
          <w:color w:val="006E32"/>
          <w:sz w:val="22"/>
        </w:rPr>
        <w:t>I. THÔNG TIN CHỦ THẺ CHÍNH</w:t>
      </w:r>
    </w:p>
    <w:p>
      <w:pPr>
        <w:spacing w:before="20" w:after="40"/>
      </w:pPr>
      <w:r>
        <w:rPr>
          <w:b/>
          <w:sz w:val="21"/>
        </w:rPr>
        <w:t xml:space="preserve">• Họ và tên in trên thẻ: </w:t>
      </w:r>
      <w:r>
        <w:rPr>
          <w:sz w:val="21"/>
        </w:rPr>
        <w:t>NGUYEN VAN AN</w:t>
      </w:r>
    </w:p>
    <w:p>
      <w:pPr>
        <w:spacing w:before="20" w:after="40"/>
      </w:pPr>
      <w:r>
        <w:rPr>
          <w:b/>
          <w:sz w:val="21"/>
        </w:rPr>
        <w:t xml:space="preserve">• Số CCCD: </w:t>
      </w:r>
      <w:r>
        <w:rPr>
          <w:sz w:val="21"/>
        </w:rPr>
        <w:t>001090012345</w:t>
      </w:r>
    </w:p>
    <w:p>
      <w:pPr>
        <w:spacing w:before="20" w:after="40"/>
      </w:pPr>
      <w:r>
        <w:rPr>
          <w:b/>
          <w:sz w:val="21"/>
        </w:rPr>
        <w:t xml:space="preserve">• Hạn mức tín dụng yêu cầu: </w:t>
      </w:r>
      <w:r>
        <w:rPr>
          <w:sz w:val="21"/>
        </w:rPr>
        <w:t>100,000,000 VND (Một trăm triệu đồng chẵn)</w:t>
      </w:r>
    </w:p>
    <w:p>
      <w:pPr>
        <w:spacing w:before="20" w:after="40"/>
      </w:pPr>
      <w:r>
        <w:rPr>
          <w:b/>
          <w:sz w:val="21"/>
        </w:rPr>
        <w:t xml:space="preserve">• Hạng thẻ đăng ký: </w:t>
      </w:r>
      <w:r>
        <w:rPr>
          <w:sz w:val="21"/>
        </w:rPr>
        <w:t>Vietcombank Visa Platinum Cash Back</w:t>
      </w:r>
    </w:p>
    <w:p>
      <w:pPr>
        <w:spacing w:before="20" w:after="40"/>
      </w:pPr>
      <w:r>
        <w:rPr>
          <w:b/>
          <w:sz w:val="21"/>
        </w:rPr>
        <w:t xml:space="preserve">• Địa chỉ nhận thẻ: </w:t>
      </w:r>
      <w:r>
        <w:rPr>
          <w:sz w:val="21"/>
        </w:rPr>
        <w:t>Nhận trực tiếp tại Chi nhánh Vietcombank Hà Nội - 11 Láng Hạ</w:t>
      </w:r>
    </w:p>
    <w:p>
      <w:pPr>
        <w:spacing w:before="160" w:after="60"/>
      </w:pPr>
      <w:r>
        <w:rPr>
          <w:b/>
          <w:color w:val="006E32"/>
          <w:sz w:val="22"/>
        </w:rPr>
        <w:t>II. HÌNH THỨC BẢO ĐẢM TÍN DỤNG</w:t>
      </w:r>
    </w:p>
    <w:p>
      <w:pPr>
        <w:spacing w:before="20" w:after="40"/>
      </w:pPr>
      <w:r>
        <w:rPr>
          <w:b/>
          <w:sz w:val="21"/>
        </w:rPr>
        <w:t xml:space="preserve">• Hình thức: </w:t>
      </w:r>
      <w:r>
        <w:rPr>
          <w:sz w:val="21"/>
        </w:rPr>
        <w:t>Phát hành thẻ tín chấp theo uy tín và thu nhập tiền lương</w:t>
      </w:r>
    </w:p>
    <w:p>
      <w:pPr>
        <w:spacing w:before="20" w:after="40"/>
      </w:pPr>
      <w:r>
        <w:rPr>
          <w:b/>
          <w:sz w:val="21"/>
        </w:rPr>
        <w:t xml:space="preserve">• Tài khoản trích nợ tự động: </w:t>
      </w:r>
      <w:r>
        <w:rPr>
          <w:sz w:val="21"/>
        </w:rPr>
        <w:t>0011004567890 tại Vietcombank Sở Giao dịch</w:t>
      </w:r>
    </w:p>
    <w:p>
      <w:pPr>
        <w:spacing w:before="20" w:after="40"/>
      </w:pPr>
      <w:r>
        <w:rPr>
          <w:b/>
          <w:sz w:val="21"/>
        </w:rPr>
        <w:t xml:space="preserve">• Tỷ lệ trích nợ tự động: </w:t>
      </w:r>
      <w:r>
        <w:rPr>
          <w:sz w:val="21"/>
        </w:rPr>
        <w:t>Thanh toán toàn bộ 100% dư nợ sao kê hàng tháng</w:t>
      </w:r>
    </w:p>
    <w:p>
      <w:pPr>
        <w:spacing w:before="160" w:after="60"/>
      </w:pPr>
      <w:r>
        <w:rPr>
          <w:b/>
          <w:color w:val="006E32"/>
          <w:sz w:val="22"/>
        </w:rPr>
        <w:t>III. CÁC ĐIỀU KHOẢN VÀ ĐIỀU KIỆN</w:t>
      </w:r>
    </w:p>
    <w:p>
      <w:pPr>
        <w:spacing w:before="20" w:after="40"/>
      </w:pPr>
      <w:r>
        <w:rPr>
          <w:b/>
          <w:sz w:val="21"/>
        </w:rPr>
        <w:t xml:space="preserve">• Thời hạn miễn lãi: </w:t>
      </w:r>
      <w:r>
        <w:rPr>
          <w:sz w:val="21"/>
        </w:rPr>
        <w:t>Tối đa lên đến 45 ngày kể từ ngày giao dịch</w:t>
      </w:r>
    </w:p>
    <w:p>
      <w:pPr>
        <w:spacing w:before="20" w:after="40"/>
      </w:pPr>
      <w:r>
        <w:rPr>
          <w:b/>
          <w:sz w:val="21"/>
        </w:rPr>
        <w:t xml:space="preserve">• Lãi suất quá hạn: </w:t>
      </w:r>
      <w:r>
        <w:rPr>
          <w:sz w:val="21"/>
        </w:rPr>
        <w:t>Theo biểu lãi suất thẻ tín dụng hiện hành do Vietcombank công bố</w:t>
      </w:r>
    </w:p>
    <w:p>
      <w:pPr>
        <w:spacing w:before="20" w:after="40"/>
      </w:pPr>
      <w:r>
        <w:rPr>
          <w:b/>
          <w:sz w:val="21"/>
        </w:rPr>
        <w:t xml:space="preserve">• Xác thực giao dịch: </w:t>
      </w:r>
      <w:r>
        <w:rPr>
          <w:sz w:val="21"/>
        </w:rPr>
        <w:t>Bảo mật 3D-Secure qua mã OTP VCB Digibank</w:t>
      </w:r>
    </w:p>
    <w:p>
      <w:pPr>
        <w:spacing w:before="160"/>
      </w:pPr>
      <w:r>
        <w:rPr>
          <w:b/>
          <w:sz w:val="21"/>
        </w:rPr>
        <w:t>BẢNG KÊ CHI TIẾT ĐÍNH KÈM: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STT</w:t>
            </w:r>
          </w:p>
        </w:tc>
        <w:tc>
          <w:tcPr>
            <w:tcW w:type="dxa" w:w="2412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Tên dịch vụ giá trị gia tăng kèm theo</w:t>
            </w:r>
          </w:p>
        </w:tc>
        <w:tc>
          <w:tcPr>
            <w:tcW w:type="dxa" w:w="2412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Đăng ký sử dụng</w:t>
            </w:r>
          </w:p>
        </w:tc>
        <w:tc>
          <w:tcPr>
            <w:tcW w:type="dxa" w:w="2412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Ghi chú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Thông báo biến động số dư chi tiêu qua OTT/SMS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Có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 qua OTT Digibank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Bảo hiểm du lịch toàn cầu giá trị 11.65 tỷ VND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Có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Đặc quyền miễn phí cho chủ thẻ Platinum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Tích lũy điểm thưởng VCB Rewards đổi quà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Có</w:t>
            </w:r>
          </w:p>
        </w:tc>
        <w:tc>
          <w:tcPr>
            <w:tcW w:type="dxa" w:w="2412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Tỷ lệ tích lũy 0.5% chi tiêu</w:t>
            </w:r>
          </w:p>
        </w:tc>
      </w:tr>
    </w:tbl>
    <w:p>
      <w:pPr>
        <w:spacing w:before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896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KHÁCH HÀNG</w:t>
              <w:br/>
              <w:t>(Ký, ghi rõ họ tên &amp; đóng dấu nếu có)</w:t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VIETCOMBANK</w:t>
              <w:br/>
              <w:t>(Giao dịch viên / Kiểm soát viên ký duyệt)</w:t>
              <w:br/>
              <w:br/>
              <w:br/>
              <w:br/>
              <w:t>...................................................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