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color w:val="00843D"/>
                <w:sz w:val="20"/>
              </w:rPr>
              <w:t>NGÂN HÀNG TMCP NGOẠI THƯƠNG VIỆT NAM</w:t>
              <w:br/>
              <w:t>VIETCOMBANK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  <w:br/>
              <w:t>Độc lập - Tự do - Hạnh phúc</w:t>
              <w:br/>
              <w:t>---------------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b/>
          <w:color w:val="00642D"/>
          <w:sz w:val="30"/>
        </w:rPr>
        <w:t>GIẤY ĐỀ NGHỊ MỞ TÀI KHOẢN VÀ SỬ DỤNG DỊCH VỤ CHI LƯƠNG TỔ CHỨC</w:t>
      </w:r>
    </w:p>
    <w:p>
      <w:pPr>
        <w:jc w:val="center"/>
      </w:pPr>
      <w:r>
        <w:rPr>
          <w:i/>
          <w:color w:val="646464"/>
          <w:sz w:val="19"/>
        </w:rPr>
        <w:t>Mã biểu mẫu: BM-05/CORP-VCB</w:t>
      </w:r>
    </w:p>
    <w:p>
      <w:pPr>
        <w:jc w:val="center"/>
      </w:pPr>
      <w:r>
        <w:rPr>
          <w:b/>
          <w:sz w:val="22"/>
        </w:rPr>
        <w:t>Áp dụng cho Doanh nghiệp, Tổ chức kinh tế sử dụng dịch vụ trả lương qua tài khoản VCB</w:t>
      </w:r>
    </w:p>
    <w:p>
      <w:pPr>
        <w:spacing w:before="160" w:after="60"/>
      </w:pPr>
      <w:r>
        <w:rPr>
          <w:b/>
          <w:color w:val="006E32"/>
          <w:sz w:val="22"/>
        </w:rPr>
        <w:t>I. THÔNG TIN DOANH NGHIỆP / TỔ CHỨC</w:t>
      </w:r>
    </w:p>
    <w:p>
      <w:pPr>
        <w:spacing w:before="20" w:after="40"/>
      </w:pPr>
      <w:r>
        <w:rPr>
          <w:b/>
          <w:sz w:val="21"/>
        </w:rPr>
        <w:t xml:space="preserve">• Tên đầy đủ của tổ chức: </w:t>
      </w:r>
      <w:r>
        <w:rPr>
          <w:sz w:val="21"/>
        </w:rPr>
        <w:t>CÔNG TY CỔ PHẦN CÔNG NGHỆ VÀ TRUYỀN THÔNG ĐÔNG NAM Á</w:t>
      </w:r>
    </w:p>
    <w:p>
      <w:pPr>
        <w:spacing w:before="20" w:after="40"/>
      </w:pPr>
      <w:r>
        <w:rPr>
          <w:b/>
          <w:sz w:val="21"/>
        </w:rPr>
        <w:t xml:space="preserve">• Mã số doanh nghiệp / Mã số thuế: </w:t>
      </w:r>
      <w:r>
        <w:rPr>
          <w:sz w:val="21"/>
        </w:rPr>
        <w:t>0109876543 do Sở KH&amp;ĐT TP. Hà Nội cấp</w:t>
      </w:r>
    </w:p>
    <w:p>
      <w:pPr>
        <w:spacing w:before="20" w:after="40"/>
      </w:pPr>
      <w:r>
        <w:rPr>
          <w:b/>
          <w:sz w:val="21"/>
        </w:rPr>
        <w:t xml:space="preserve">• Địa chỉ trụ sở chính: </w:t>
      </w:r>
      <w:r>
        <w:rPr>
          <w:sz w:val="21"/>
        </w:rPr>
        <w:t>Tầng 18, Tòa nhà Keangnam Landmark 72, Nam Từ Liêm, Hà Nội</w:t>
      </w:r>
    </w:p>
    <w:p>
      <w:pPr>
        <w:spacing w:before="20" w:after="40"/>
      </w:pPr>
      <w:r>
        <w:rPr>
          <w:b/>
          <w:sz w:val="21"/>
        </w:rPr>
        <w:t xml:space="preserve">• Người đại diện theo pháp luật: </w:t>
      </w:r>
      <w:r>
        <w:rPr>
          <w:sz w:val="21"/>
        </w:rPr>
        <w:t>Ông PHẠM HOÀNG LONG (Chức vụ: Tổng Giám Đốc)</w:t>
      </w:r>
    </w:p>
    <w:p>
      <w:pPr>
        <w:spacing w:before="20" w:after="40"/>
      </w:pPr>
      <w:r>
        <w:rPr>
          <w:b/>
          <w:sz w:val="21"/>
        </w:rPr>
        <w:t xml:space="preserve">• Kế toán trưởng / Người phụ trách kế toán: </w:t>
      </w:r>
      <w:r>
        <w:rPr>
          <w:sz w:val="21"/>
        </w:rPr>
        <w:t>Bà NGUYỄN THỊ MINH TÂM</w:t>
      </w:r>
    </w:p>
    <w:p>
      <w:pPr>
        <w:spacing w:before="160" w:after="60"/>
      </w:pPr>
      <w:r>
        <w:rPr>
          <w:b/>
          <w:color w:val="006E32"/>
          <w:sz w:val="22"/>
        </w:rPr>
        <w:t>II. DỊCH VỤ ĐĂNG KÝ SỬ DỤNG</w:t>
      </w:r>
    </w:p>
    <w:p>
      <w:pPr>
        <w:spacing w:before="20" w:after="40"/>
      </w:pPr>
      <w:r>
        <w:rPr>
          <w:b/>
          <w:sz w:val="21"/>
        </w:rPr>
        <w:t xml:space="preserve">• Tài khoản trích nợ chi lương: </w:t>
      </w:r>
      <w:r>
        <w:rPr>
          <w:sz w:val="21"/>
        </w:rPr>
        <w:t>0011008889999 (Tài khoản thanh toán VND doanh nghiệp)</w:t>
      </w:r>
    </w:p>
    <w:p>
      <w:pPr>
        <w:spacing w:before="20" w:after="40"/>
      </w:pPr>
      <w:r>
        <w:rPr>
          <w:b/>
          <w:sz w:val="21"/>
        </w:rPr>
        <w:t xml:space="preserve">• Gói dịch vụ chi trả lương: </w:t>
      </w:r>
      <w:r>
        <w:rPr>
          <w:sz w:val="21"/>
        </w:rPr>
        <w:t>VCB Payroll Online - Tự động duyệt lô qua cổng doanh nghiệp</w:t>
      </w:r>
    </w:p>
    <w:p>
      <w:pPr>
        <w:spacing w:before="20" w:after="40"/>
      </w:pPr>
      <w:r>
        <w:rPr>
          <w:b/>
          <w:sz w:val="21"/>
        </w:rPr>
        <w:t xml:space="preserve">• Chính sách ưu đãi nhân viên: </w:t>
      </w:r>
      <w:r>
        <w:rPr>
          <w:sz w:val="21"/>
        </w:rPr>
        <w:t>Miễn phí phát hành thẻ ATM, miễn phí thường niên thẻ và miễn phí chuyển tiền</w:t>
      </w:r>
    </w:p>
    <w:p>
      <w:pPr>
        <w:spacing w:before="160" w:after="60"/>
      </w:pPr>
      <w:r>
        <w:rPr>
          <w:b/>
          <w:color w:val="006E32"/>
          <w:sz w:val="22"/>
        </w:rPr>
        <w:t>III. HỒ SƠ PHÁP LÝ KÈM THEO</w:t>
      </w:r>
    </w:p>
    <w:p>
      <w:pPr>
        <w:spacing w:before="20" w:after="40"/>
      </w:pPr>
      <w:r>
        <w:rPr>
          <w:b/>
          <w:sz w:val="21"/>
        </w:rPr>
        <w:t xml:space="preserve">• Giấy chứng nhận ĐKKD: </w:t>
      </w:r>
      <w:r>
        <w:rPr>
          <w:sz w:val="21"/>
        </w:rPr>
        <w:t>Bản sao chứng thực Giấy chứng nhận đăng ký kinh doanh</w:t>
      </w:r>
    </w:p>
    <w:p>
      <w:pPr>
        <w:spacing w:before="20" w:after="40"/>
      </w:pPr>
      <w:r>
        <w:rPr>
          <w:b/>
          <w:sz w:val="21"/>
        </w:rPr>
        <w:t xml:space="preserve">• Quyết định bổ nhiệm: </w:t>
      </w:r>
      <w:r>
        <w:rPr>
          <w:sz w:val="21"/>
        </w:rPr>
        <w:t>Bản sao quyết định bổ nhiệm Tổng Giám Đốc và Kế toán trưởng</w:t>
      </w:r>
    </w:p>
    <w:p>
      <w:pPr>
        <w:spacing w:before="20" w:after="40"/>
      </w:pPr>
      <w:r>
        <w:rPr>
          <w:b/>
          <w:sz w:val="21"/>
        </w:rPr>
        <w:t xml:space="preserve">• Mẫu dấu và chữ ký: </w:t>
      </w:r>
      <w:r>
        <w:rPr>
          <w:sz w:val="21"/>
        </w:rPr>
        <w:t>Bản đăng ký mẫu con dấu và chữ ký của chủ tài khoản</w:t>
      </w:r>
    </w:p>
    <w:p>
      <w:pPr>
        <w:spacing w:before="160"/>
      </w:pPr>
      <w:r>
        <w:rPr>
          <w:b/>
          <w:sz w:val="21"/>
        </w:rPr>
        <w:t>BẢNG KÊ CHI TIẾT ĐÍNH KÈM: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STT</w:t>
            </w:r>
          </w:p>
        </w:tc>
        <w:tc>
          <w:tcPr>
            <w:tcW w:type="dxa" w:w="2412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Hạng mục đăng ký dịch vụ tổ chức</w:t>
            </w:r>
          </w:p>
        </w:tc>
        <w:tc>
          <w:tcPr>
            <w:tcW w:type="dxa" w:w="2412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Tùy chọn</w:t>
            </w:r>
          </w:p>
        </w:tc>
        <w:tc>
          <w:tcPr>
            <w:tcW w:type="dxa" w:w="2412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Chi nhánh phục vụ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Cổng giao dịch điện tử VCB B-Office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Có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Chi nhánh Vietcombank Hoàn Kiếm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Dịch vụ chi lương tự động theo file Excel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Có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Chi nhánh Vietcombank Hoàn Kiếm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Thu hộ / Chi hộ tự động qua API Webhook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Có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Chi nhánh Vietcombank Hoàn Kiếm</w:t>
            </w:r>
          </w:p>
        </w:tc>
      </w:tr>
    </w:tbl>
    <w:p>
      <w:pPr>
        <w:spacing w:before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KHÁCH HÀNG</w:t>
              <w:br/>
              <w:t>(Ký, ghi rõ họ tên &amp; đóng dấu nếu có)</w:t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VIETCOMBANK</w:t>
              <w:br/>
              <w:t>(Giao dịch viên / Kiểm soát viên ký duyệt)</w:t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