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Highlights</w:t>
      </w:r>
    </w:p>
    <w:p>
      <w:pPr>
        <w:pStyle w:val="ListBullet"/>
        <w:jc w:val="left"/>
      </w:pPr>
      <w:r>
        <w:t>Random row-level validation overstated predictive performance relative to grouped experiment-level and study-level validation.</w:t>
      </w:r>
    </w:p>
    <w:p>
      <w:pPr>
        <w:pStyle w:val="ListBullet"/>
        <w:jc w:val="left"/>
      </w:pPr>
      <w:r>
        <w:t>The neural baseline was strongest in-domain, whereas LightGBM was strongest for experiment-level transfer.</w:t>
      </w:r>
    </w:p>
    <w:p>
      <w:pPr>
        <w:pStyle w:val="ListBullet"/>
        <w:jc w:val="left"/>
      </w:pPr>
      <w:r>
        <w:t>Study-level transfer remained weak for all tested models despite the stronger legacy training pipeline.</w:t>
      </w:r>
    </w:p>
    <w:p>
      <w:pPr>
        <w:pStyle w:val="ListBullet"/>
        <w:jc w:val="left"/>
      </w:pPr>
      <w:r>
        <w:t>Feature-importance rankings changed materially across coefficient, permutation, gain, and SHAP methods.</w:t>
      </w:r>
    </w:p>
    <w:p>
      <w:pPr>
        <w:pStyle w:val="ListBullet"/>
        <w:jc w:val="left"/>
      </w:pPr>
      <w:r>
        <w:t>Synthetic null features exposed substantial method differences in null suppression and stability without implying causality.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