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Table Captions</w:t>
      </w:r>
    </w:p>
    <w:p/>
    <w:p>
      <w:pPr>
        <w:ind w:firstLine="360"/>
        <w:jc w:val="both"/>
      </w:pPr>
      <w:r>
        <w:t>Table 1. Grouped structure and target-distribution summary of the final modeling dataset used in the fresh reliability study.</w:t>
      </w:r>
    </w:p>
    <w:p/>
    <w:p>
      <w:pPr>
        <w:ind w:firstLine="360"/>
        <w:jc w:val="both"/>
      </w:pPr>
      <w:r>
        <w:t>Table 2. Predictive performance across validation regimes for Elastic Net, LightGBM, and the neural baseline. Values are mean +/- SD across folds or repeats.</w:t>
      </w:r>
    </w:p>
    <w:p/>
    <w:p>
      <w:pPr>
        <w:ind w:firstLine="360"/>
        <w:jc w:val="both"/>
      </w:pPr>
      <w:r>
        <w:t>Table 3. Generalization-gap summary relative to random row-level validation, highlighting the performance cost of experiment-level and study-level transfer.</w:t>
      </w:r>
    </w:p>
    <w:p/>
    <w:p>
      <w:pPr>
        <w:ind w:firstLine="360"/>
        <w:jc w:val="both"/>
      </w:pPr>
      <w:r>
        <w:t>Table S1. Reliability summary for feature-importance methods, including null suppression, ranking stability, top-rank null contamination, and an overall heuristic reliability score.</w:t>
      </w:r>
    </w:p>
    <w:p/>
    <w:p>
      <w:pPr>
        <w:ind w:firstLine="360"/>
        <w:jc w:val="both"/>
      </w:pPr>
      <w:r>
        <w:t>Table S2. Mechanism-group importance summary across methods and validation regimes.</w:t>
      </w:r>
    </w:p>
    <w:p/>
    <w:p>
      <w:pPr>
        <w:ind w:firstLine="360"/>
        <w:jc w:val="both"/>
      </w:pPr>
      <w:r>
        <w:t>Table S3. Feature-level importance summary including synthetic null features.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