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Graphical Abstract Brief</w:t>
      </w:r>
    </w:p>
    <w:p/>
    <w:p>
      <w:pPr>
        <w:pStyle w:val="Heading1"/>
        <w:jc w:val="left"/>
      </w:pPr>
      <w:r>
        <w:t>Core message</w:t>
      </w:r>
    </w:p>
    <w:p/>
    <w:p>
      <w:pPr>
        <w:ind w:firstLine="360"/>
        <w:jc w:val="both"/>
      </w:pPr>
      <w:r>
        <w:t>Random row-level validation and single-method interpretation can overstate reliability in literature-derived adsorption ML.</w:t>
      </w:r>
    </w:p>
    <w:p/>
    <w:p>
      <w:pPr>
        <w:pStyle w:val="Heading1"/>
        <w:jc w:val="left"/>
      </w:pPr>
      <w:r>
        <w:t>Suggested layout</w:t>
      </w:r>
    </w:p>
    <w:p/>
    <w:p>
      <w:pPr>
        <w:pStyle w:val="ListBullet"/>
        <w:jc w:val="left"/>
      </w:pPr>
      <w:r>
        <w:t>left panel: grouped dataset structure (23 studies -&gt; 149 experiments -&gt; 1009 rows)</w:t>
      </w:r>
    </w:p>
    <w:p>
      <w:pPr>
        <w:pStyle w:val="ListBullet"/>
        <w:jc w:val="left"/>
      </w:pPr>
      <w:r>
        <w:t>middle panel: validation hierarchy with a downward performance arrow from random_cv to group_exp to group_aut</w:t>
      </w:r>
    </w:p>
    <w:p>
      <w:pPr>
        <w:pStyle w:val="ListBullet"/>
        <w:jc w:val="left"/>
      </w:pPr>
      <w:r>
        <w:t>right panel: interpretation audit showing one trustworthy branch and one spurious branch exposed by synthetic null features</w:t>
      </w:r>
    </w:p>
    <w:p/>
    <w:p>
      <w:pPr>
        <w:pStyle w:val="Heading1"/>
        <w:jc w:val="left"/>
      </w:pPr>
      <w:r>
        <w:t>Suggested callouts</w:t>
      </w:r>
    </w:p>
    <w:p/>
    <w:p>
      <w:pPr>
        <w:pStyle w:val="ListBullet"/>
        <w:jc w:val="left"/>
      </w:pPr>
      <w:r>
        <w:t>Random CV is optimistic</w:t>
      </w:r>
    </w:p>
    <w:p>
      <w:pPr>
        <w:pStyle w:val="ListBullet"/>
        <w:jc w:val="left"/>
      </w:pPr>
      <w:r>
        <w:t>Study-level transfer is hardest</w:t>
      </w:r>
    </w:p>
    <w:p>
      <w:pPr>
        <w:pStyle w:val="ListBullet"/>
        <w:jc w:val="left"/>
      </w:pPr>
      <w:r>
        <w:t>Stable importance is not always reliable</w:t>
      </w:r>
    </w:p>
    <w:p/>
    <w:p>
      <w:pPr>
        <w:pStyle w:val="Heading1"/>
        <w:jc w:val="left"/>
      </w:pPr>
      <w:r>
        <w:t>Visual direction</w:t>
      </w:r>
    </w:p>
    <w:p/>
    <w:p>
      <w:pPr>
        <w:pStyle w:val="ListBullet"/>
        <w:jc w:val="left"/>
      </w:pPr>
      <w:r>
        <w:t>use three clean color families: blue for validation, orange for transfer difficulty, red for null-feature warnings</w:t>
      </w:r>
    </w:p>
    <w:p>
      <w:pPr>
        <w:pStyle w:val="ListBullet"/>
        <w:jc w:val="left"/>
      </w:pPr>
      <w:r>
        <w:t>keep text minimal and large enough to survive submission-system thumbnails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