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Highlights</w:t>
      </w:r>
    </w:p>
    <w:p>
      <w:pPr>
        <w:pStyle w:val="ListBullet"/>
        <w:jc w:val="left"/>
      </w:pPr>
      <w:r>
        <w:t>Grouped validation cut performance relative to random row-level CV.</w:t>
      </w:r>
    </w:p>
    <w:p>
      <w:pPr>
        <w:pStyle w:val="ListBullet"/>
        <w:jc w:val="left"/>
      </w:pPr>
      <w:r>
        <w:t>Study-level transfer remained weak across all tested models.</w:t>
      </w:r>
    </w:p>
    <w:p>
      <w:pPr>
        <w:pStyle w:val="ListBullet"/>
        <w:jc w:val="left"/>
      </w:pPr>
      <w:r>
        <w:t>LGBM led experiment-level transfer, not study-level transfer.</w:t>
      </w:r>
    </w:p>
    <w:p>
      <w:pPr>
        <w:pStyle w:val="ListBullet"/>
        <w:jc w:val="left"/>
      </w:pPr>
      <w:r>
        <w:t>Null features exposed method-specific interpretation fragility.</w:t>
      </w:r>
    </w:p>
    <w:p>
      <w:pPr>
        <w:pStyle w:val="ListBullet"/>
        <w:jc w:val="left"/>
      </w:pPr>
      <w:r>
        <w:t>Stable rankings did not guarantee reliable feature importance.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