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2D0077DE" w14:textId="77777777" w:rsidR="00DD50C6" w:rsidRDefault="00000000">
      <w:pPr>
        <w:pStyle w:val="Title"/>
        <w:jc w:val="center"/>
      </w:pPr>
      <w:r>
        <w:t>Grouped Validation and Null-Feature Audits Reveal Reliability Limits in Literature-Derived Models of Heavy-Metal Adsorption by Microplastics</w:t>
      </w:r>
    </w:p>
    <w:p w14:paraId="06034303" w14:textId="77777777" w:rsidR="00DD50C6" w:rsidRDefault="00DD50C6"/>
    <w:p w14:paraId="462E88E1" w14:textId="77777777" w:rsidR="00DD50C6" w:rsidRDefault="00000000">
      <w:pPr>
        <w:pStyle w:val="Heading1"/>
      </w:pPr>
      <w:r>
        <w:t>Abstract</w:t>
      </w:r>
    </w:p>
    <w:p w14:paraId="024601D3" w14:textId="77777777" w:rsidR="00DD50C6" w:rsidRDefault="00DD50C6"/>
    <w:p w14:paraId="52C0A636" w14:textId="77777777" w:rsidR="00DD50C6" w:rsidRDefault="00000000">
      <w:pPr>
        <w:ind w:firstLine="360"/>
      </w:pPr>
      <w:r>
        <w:t xml:space="preserve">Machine learning on literature-derived environmental data is often evaluated with row-level validation and interpreted with a single feature-importance method, even when the data are strongly grouped and heterogeneous. Here we studied reliability of both prediction and interpretation for a compiled dataset of heavy-metal adsorption by microplastics containing 1009 observations from 149 experiments nested within 23 studies. We framed two research questions: how grouped validation changes estimated predictive performance, and how sensitive mechanistic conclusions are to the feature-importance method. Using the locked final dataset and the legacy high-capacity training pipeline, we compared random row-level cross-validation, grouped experiment-level validation, and grouped study-level validation. Descriptively, the multilayer perceptron (MLP) performed best under random cross-validation (R2 = 0.912 +/- 0.039, RMSE = 0.618 +/- 0.118), whereas the Light Gradient Boosting Machine (LGBM) gave the strongest experiment-level transfer (R2 = 0.725 +/- 0.203, RMSE = 0.969 +/- 0.387). Study-level grouped validation remained difficult for all tested models, with all group_aut summaries showing markedly weaker and more variable performance than random_cv. For interpretation, we compared standardized Elastic Net (EN) coefficients, permutation importance, LGBM built-in gain, and SHAP, while augmenting the dataset with synthetic null features. Importance </w:t>
      </w:r>
      <w:r>
        <w:lastRenderedPageBreak/>
        <w:t>rankings differed materially by method, and null-feature benchmarking showed a tradeoff between stability and susceptibility to spurious attribution rather than a single universally reliable method. These results show that random validation can be substantially optimistic in grouped literature-derived environmental data, and that interpretation reliability should be stress-tested rather than assumed from a single method.</w:t>
      </w:r>
    </w:p>
    <w:p w14:paraId="43B5460D" w14:textId="77777777" w:rsidR="00DD50C6" w:rsidRDefault="00DD50C6"/>
    <w:p w14:paraId="1C4D48CD" w14:textId="77777777" w:rsidR="00DD50C6" w:rsidRDefault="00000000">
      <w:pPr>
        <w:ind w:firstLine="360"/>
      </w:pPr>
      <w:r>
        <w:t>Keywords: grouped validation; microplastics; heavy metals; adsorption; feature importance; SHAP; null features; interpretation reliability</w:t>
      </w:r>
    </w:p>
    <w:p w14:paraId="5BEE9F69" w14:textId="77777777" w:rsidR="00DD50C6" w:rsidRDefault="00DD50C6"/>
    <w:p w14:paraId="6C666F29" w14:textId="77777777" w:rsidR="00DD50C6" w:rsidRDefault="00000000">
      <w:pPr>
        <w:pStyle w:val="Heading1"/>
      </w:pPr>
      <w:r>
        <w:t>1. Introduction</w:t>
      </w:r>
    </w:p>
    <w:p w14:paraId="73EC8ABE" w14:textId="0AA220E2" w:rsidR="00497DCC" w:rsidRDefault="00000000" w:rsidP="00C1276A">
      <w:pPr>
        <w:ind w:firstLine="360"/>
        <w:rPr>
          <w:lang w:val="vi-VN"/>
        </w:rPr>
      </w:pPr>
      <w:r>
        <w:t>Microplastics are persistent anthropogenic particles that are increasingly recognized as reactive contaminant carriers rather than inert debris. In addition to sorbing organic compounds, microplastics can adsorb dissolved trace metals, and the extent of uptake depends on polymer chemistry, surface aging, pH, ionic strength, and metal identity or speciation</w:t>
      </w:r>
      <w:r w:rsidR="00622DAB">
        <w:rPr>
          <w:lang w:val="vi-VN"/>
        </w:rPr>
        <w:t xml:space="preserve"> </w:t>
      </w:r>
      <w:r>
        <w:t xml:space="preserve"> </w:t>
      </w:r>
      <w:r w:rsidR="00C04887">
        <w:fldChar w:fldCharType="begin">
          <w:fldData xml:space="preserve">PEVuZE5vdGU+PENpdGU+PEF1dGhvcj5Ib2xtZXM8L0F1dGhvcj48WWVhcj4yMDEyPC9ZZWFyPjxS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</w:fldData>
        </w:fldChar>
      </w:r>
      <w:r w:rsidR="00A1430C">
        <w:instrText xml:space="preserve"> ADDIN EN.CITE </w:instrText>
      </w:r>
      <w:r w:rsidR="00A1430C">
        <w:fldChar w:fldCharType="begin">
          <w:fldData xml:space="preserve">PEVuZE5vdGU+PENpdGU+PEF1dGhvcj5Ib2xtZXM8L0F1dGhvcj48WWVhcj4yMDEyPC9ZZWFyPjxS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</w:fldData>
        </w:fldChar>
      </w:r>
      <w:r w:rsidR="00A1430C">
        <w:instrText xml:space="preserve"> ADDIN EN.CITE.DATA </w:instrText>
      </w:r>
      <w:r w:rsidR="00A1430C">
        <w:fldChar w:fldCharType="end"/>
      </w:r>
      <w:r w:rsidR="00C04887">
        <w:fldChar w:fldCharType="separate"/>
      </w:r>
      <w:r w:rsidR="00A1430C">
        <w:rPr>
          <w:noProof/>
        </w:rPr>
        <w:t>(Holmes et al., 2012; Tang et al., 2020)</w:t>
      </w:r>
      <w:r w:rsidR="00C04887">
        <w:fldChar w:fldCharType="end"/>
      </w:r>
      <w:r>
        <w:t>. Recent synthesis confirms that adsorption capacity is not a single material constant but varies systematically across microplastic types, metals, and experimental environments, making pooled literature datasets intrinsically heterogeneous</w:t>
      </w:r>
      <w:r w:rsidR="00C04887">
        <w:rPr>
          <w:lang w:val="vi-VN"/>
        </w:rPr>
        <w:t xml:space="preserve"> </w:t>
      </w:r>
      <w:r w:rsidR="00C04887">
        <w:rPr>
          <w:lang w:val="vi-VN"/>
        </w:rPr>
        <w:fldChar w:fldCharType="begin">
          <w:fldData xml:space="preserve">PEVuZE5vdGU+PENpdGU+PEF1dGhvcj5CaTwvQXV0aG9yPjxZZWFyPjIwMjQ8L1llYXI+PFJlY051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</w:fldData>
        </w:fldChar>
      </w:r>
      <w:r w:rsidR="00A1430C">
        <w:rPr>
          <w:lang w:val="vi-VN"/>
        </w:rPr>
        <w:instrText xml:space="preserve"> ADDIN EN.CITE </w:instrText>
      </w:r>
      <w:r w:rsidR="00A1430C">
        <w:rPr>
          <w:lang w:val="vi-VN"/>
        </w:rPr>
        <w:fldChar w:fldCharType="begin">
          <w:fldData xml:space="preserve">PEVuZE5vdGU+PENpdGU+PEF1dGhvcj5CaTwvQXV0aG9yPjxZZWFyPjIwMjQ8L1llYXI+PFJlY051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</w:fldData>
        </w:fldChar>
      </w:r>
      <w:r w:rsidR="00A1430C">
        <w:rPr>
          <w:lang w:val="vi-VN"/>
        </w:rPr>
        <w:instrText xml:space="preserve"> ADDIN EN.CITE.DATA </w:instrText>
      </w:r>
      <w:r w:rsidR="00A1430C">
        <w:rPr>
          <w:lang w:val="vi-VN"/>
        </w:rPr>
      </w:r>
      <w:r w:rsidR="00A1430C">
        <w:rPr>
          <w:lang w:val="vi-VN"/>
        </w:rPr>
        <w:fldChar w:fldCharType="end"/>
      </w:r>
      <w:r w:rsidR="00C04887">
        <w:rPr>
          <w:lang w:val="vi-VN"/>
        </w:rPr>
      </w:r>
      <w:r w:rsidR="00C04887">
        <w:rPr>
          <w:lang w:val="vi-VN"/>
        </w:rPr>
        <w:fldChar w:fldCharType="separate"/>
      </w:r>
      <w:r w:rsidR="00A1430C">
        <w:rPr>
          <w:noProof/>
          <w:lang w:val="vi-VN"/>
        </w:rPr>
        <w:t>(Bi et al., 2024; Zhu et al., 2023a)</w:t>
      </w:r>
      <w:r w:rsidR="00C04887">
        <w:rPr>
          <w:lang w:val="vi-VN"/>
        </w:rPr>
        <w:fldChar w:fldCharType="end"/>
      </w:r>
      <w:r w:rsidR="00C04887">
        <w:rPr>
          <w:lang w:val="vi-VN"/>
        </w:rPr>
        <w:t xml:space="preserve">. </w:t>
      </w:r>
    </w:p>
    <w:p w14:paraId="11B63170" w14:textId="3621D0A7" w:rsidR="00DD50C6" w:rsidRDefault="00000000">
      <w:pPr>
        <w:ind w:firstLine="360"/>
      </w:pPr>
      <w:r>
        <w:t xml:space="preserve">This heterogeneity has made machine learning (ML) attractive for environmental adsorption modeling because it can accommodate nonlinear responses across materials and solution conditions. Yet in environmental research, predictive performance is often overstated when </w:t>
      </w:r>
      <w:r>
        <w:lastRenderedPageBreak/>
        <w:t>validation ignores temporal, spatial, or hierarchical structure, or when leakage remains unchecked (Nguyen et al., 2024; Roberts et al., 2017; Zhu et al., 2023b). The same concern applies to microplastic adsorption studies: recent ML work has predicted adsorption and identified influential variables for xenobiotics, mixed heavy metals, and single-metal systems under varying conditions (Bryant &amp; Ma, 2024; Gong et al., 2025; Wang et al., 2025). Because these datasets are usually literature-derived and pooled across experiments, with rows clustered within experiments and studies, row-level validation can overstate generalization.</w:t>
      </w:r>
    </w:p>
    <w:p w14:paraId="524A5550" w14:textId="66F9095A" w:rsidR="00DD50C6" w:rsidRDefault="00000000">
      <w:pPr>
        <w:ind w:firstLine="360"/>
      </w:pPr>
      <w:r>
        <w:t xml:space="preserve">Interpretation presents a second reliability problem. Feature-importance methods summarize predictive relevance, but they do not establish adsorption mechanism or causality, and their rankings can shift with model class, feature dependence, and explainer choice (Molnar et al., 2024; Murdoch et al., 2019; Nguyen et al., 2023). For heterogeneous environmental tabular data, chemically plausible narratives may therefore still rest on unstable or spuriously inflated importance scores. Despite growing use of </w:t>
      </w:r>
      <w:proofErr w:type="spellStart"/>
      <w:r w:rsidR="000E7170" w:rsidRPr="00A1430C">
        <w:t>SHapley</w:t>
      </w:r>
      <w:proofErr w:type="spellEnd"/>
      <w:r w:rsidR="000E7170" w:rsidRPr="00A1430C">
        <w:t xml:space="preserve"> Additive </w:t>
      </w:r>
      <w:proofErr w:type="spellStart"/>
      <w:r w:rsidR="000E7170" w:rsidRPr="00A1430C">
        <w:t>exPlanations</w:t>
      </w:r>
      <w:proofErr w:type="spellEnd"/>
      <w:r w:rsidR="000E7170" w:rsidRPr="00A1430C">
        <w:t xml:space="preserve"> </w:t>
      </w:r>
      <w:r w:rsidR="000E7170">
        <w:rPr>
          <w:lang w:val="vi-VN"/>
        </w:rPr>
        <w:t>(</w:t>
      </w:r>
      <w:r w:rsidR="000E7170">
        <w:t>SHAP</w:t>
      </w:r>
      <w:r w:rsidR="000E7170">
        <w:rPr>
          <w:lang w:val="vi-VN"/>
        </w:rPr>
        <w:t>)</w:t>
      </w:r>
      <w:r>
        <w:t>, permutation importance, and model-specific gain scores in environmental ML, explicit reliability assessment of interpretability remains uncommon in this application area.</w:t>
      </w:r>
    </w:p>
    <w:p w14:paraId="1C67518E" w14:textId="4490D52F" w:rsidR="0066550D" w:rsidRPr="0066550D" w:rsidRDefault="0066550D" w:rsidP="0066550D">
      <w:pPr>
        <w:ind w:firstLine="360"/>
      </w:pPr>
      <w:r w:rsidRPr="0066550D">
        <w:t xml:space="preserve">Against this background, the central gap is not the absence of predictive models, but the lack of a joint reliability assessment of both prediction and interpretation in literature-based microplastic–metal adsorption data. Here, we address this gap by evaluating a compiled dataset of heavy-metal adsorption by microplastics under a validation hierarchy that respects grouped structure, and by stress-testing interpretability with synthetic null features. The study’s novelty is therefore twofold. First, it quantifies how apparent performance changes </w:t>
      </w:r>
      <w:r>
        <w:t>as validation shifts from random row-level validation to grouped experiment-</w:t>
      </w:r>
      <w:r w:rsidRPr="0066550D">
        <w:t xml:space="preserve"> and study-level transfer. Second, it tests whether commonly used feature-importance methods remain robust when confronted with </w:t>
      </w:r>
      <w:r w:rsidRPr="0066550D">
        <w:lastRenderedPageBreak/>
        <w:t xml:space="preserve">deliberately non-informative predictors. Accordingly, </w:t>
      </w:r>
      <w:r w:rsidRPr="0066550D">
        <w:rPr>
          <w:b/>
          <w:bCs/>
        </w:rPr>
        <w:t>RQ1</w:t>
      </w:r>
      <w:r w:rsidRPr="0066550D">
        <w:t xml:space="preserve"> examines how validation design under grouped literature-derived data changes estimated predictive performance and apparent generalization, whereas </w:t>
      </w:r>
      <w:r w:rsidRPr="0066550D">
        <w:rPr>
          <w:b/>
          <w:bCs/>
        </w:rPr>
        <w:t>RQ2</w:t>
      </w:r>
      <w:r w:rsidRPr="0066550D">
        <w:t xml:space="preserve"> examines how sensitive mechanistic conclusions are to the choice of feature-importance method, and whether null-feature stress testing can identify methods that appear stable yet remain vulnerable to spurious attribution.</w:t>
      </w:r>
    </w:p>
    <w:p w14:paraId="42B07433" w14:textId="77777777" w:rsidR="0066550D" w:rsidRPr="0066550D" w:rsidRDefault="0066550D" w:rsidP="0066550D">
      <w:r w:rsidRPr="0066550D">
        <w:t>To address these two research questions, we tested four hypotheses:</w:t>
      </w:r>
    </w:p>
    <w:p w14:paraId="0666AA8A" w14:textId="7B473ACC" w:rsidR="0066550D" w:rsidRPr="0066550D" w:rsidRDefault="0066550D" w:rsidP="0066550D">
      <w:pPr>
        <w:numPr>
          <w:ilvl w:val="0"/>
          <w:numId w:val="10"/>
        </w:numPr>
      </w:pPr>
      <w:r w:rsidRPr="0066550D">
        <w:rPr>
          <w:b/>
          <w:bCs/>
        </w:rPr>
        <w:t>H1:</w:t>
      </w:r>
      <w:r w:rsidRPr="0066550D">
        <w:t xml:space="preserve"> Performance estimated under</w:t>
      </w:r>
      <w:r w:rsidR="006F6BA1">
        <w:rPr>
          <w:lang w:val="vi-VN"/>
        </w:rPr>
        <w:t xml:space="preserve"> </w:t>
      </w:r>
      <w:r w:rsidR="006F6BA1" w:rsidRPr="006F6BA1">
        <w:t>random cross-validation (</w:t>
      </w:r>
      <w:r w:rsidR="006F6BA1">
        <w:t>random</w:t>
      </w:r>
      <w:r w:rsidR="006F6BA1">
        <w:rPr>
          <w:lang w:val="vi-VN"/>
        </w:rPr>
        <w:t>_cv</w:t>
      </w:r>
      <w:r w:rsidR="006F6BA1" w:rsidRPr="006F6BA1">
        <w:t>)</w:t>
      </w:r>
      <w:r w:rsidRPr="0066550D">
        <w:t xml:space="preserve"> is more optimistic than that estimated under grouped validation.</w:t>
      </w:r>
    </w:p>
    <w:p w14:paraId="2BA913BA" w14:textId="6C20865E" w:rsidR="0066550D" w:rsidRPr="0066550D" w:rsidRDefault="0066550D" w:rsidP="0066550D">
      <w:pPr>
        <w:numPr>
          <w:ilvl w:val="0"/>
          <w:numId w:val="10"/>
        </w:numPr>
      </w:pPr>
      <w:r w:rsidRPr="0066550D">
        <w:rPr>
          <w:b/>
          <w:bCs/>
        </w:rPr>
        <w:t>H2:</w:t>
      </w:r>
      <w:r w:rsidRPr="0066550D">
        <w:t xml:space="preserve"> Transfer difficulty increases from </w:t>
      </w:r>
      <w:proofErr w:type="spellStart"/>
      <w:r w:rsidRPr="0066550D">
        <w:t>random_cv</w:t>
      </w:r>
      <w:proofErr w:type="spellEnd"/>
      <w:r w:rsidRPr="0066550D">
        <w:t xml:space="preserve"> to </w:t>
      </w:r>
      <w:r w:rsidR="006F6BA1" w:rsidRPr="006F6BA1">
        <w:t>grouped experiment-level cross-</w:t>
      </w:r>
      <w:r w:rsidR="006F6BA1">
        <w:t>validation</w:t>
      </w:r>
      <w:r w:rsidR="006F6BA1">
        <w:rPr>
          <w:lang w:val="vi-VN"/>
        </w:rPr>
        <w:t xml:space="preserve"> (</w:t>
      </w:r>
      <w:proofErr w:type="spellStart"/>
      <w:r w:rsidRPr="0066550D">
        <w:t>group_</w:t>
      </w:r>
      <w:r w:rsidR="006F6BA1">
        <w:t>exp</w:t>
      </w:r>
      <w:proofErr w:type="spellEnd"/>
      <w:r w:rsidR="006F6BA1">
        <w:rPr>
          <w:lang w:val="vi-VN"/>
        </w:rPr>
        <w:t>)</w:t>
      </w:r>
      <w:r w:rsidRPr="0066550D">
        <w:t xml:space="preserve"> to</w:t>
      </w:r>
      <w:r w:rsidR="006F6BA1">
        <w:rPr>
          <w:lang w:val="vi-VN"/>
        </w:rPr>
        <w:t xml:space="preserve"> </w:t>
      </w:r>
      <w:r w:rsidR="006F6BA1" w:rsidRPr="006F6BA1">
        <w:t>grouped author-level cross-validation</w:t>
      </w:r>
      <w:r w:rsidR="006F6BA1">
        <w:rPr>
          <w:lang w:val="vi-VN"/>
        </w:rPr>
        <w:t xml:space="preserve"> (</w:t>
      </w:r>
      <w:proofErr w:type="spellStart"/>
      <w:r w:rsidRPr="0066550D">
        <w:t>group_</w:t>
      </w:r>
      <w:r w:rsidR="006F6BA1">
        <w:t>aut</w:t>
      </w:r>
      <w:proofErr w:type="spellEnd"/>
      <w:r w:rsidR="006F6BA1">
        <w:rPr>
          <w:lang w:val="vi-VN"/>
        </w:rPr>
        <w:t>)</w:t>
      </w:r>
      <w:r w:rsidRPr="0066550D">
        <w:t>, and model rankings may change across validation regimes.</w:t>
      </w:r>
    </w:p>
    <w:p w14:paraId="106684C4" w14:textId="77777777" w:rsidR="0066550D" w:rsidRPr="0066550D" w:rsidRDefault="0066550D" w:rsidP="0066550D">
      <w:pPr>
        <w:numPr>
          <w:ilvl w:val="0"/>
          <w:numId w:val="10"/>
        </w:numPr>
      </w:pPr>
      <w:r w:rsidRPr="0066550D">
        <w:rPr>
          <w:b/>
          <w:bCs/>
        </w:rPr>
        <w:t>H3:</w:t>
      </w:r>
      <w:r w:rsidRPr="0066550D">
        <w:t xml:space="preserve"> Feature-importance conclusions depend on the importance method used.</w:t>
      </w:r>
    </w:p>
    <w:p w14:paraId="47FFFD8A" w14:textId="3579418D" w:rsidR="0066550D" w:rsidRPr="0066550D" w:rsidRDefault="0066550D" w:rsidP="0066550D">
      <w:pPr>
        <w:numPr>
          <w:ilvl w:val="0"/>
          <w:numId w:val="10"/>
        </w:numPr>
      </w:pPr>
      <w:r w:rsidRPr="0066550D">
        <w:rPr>
          <w:b/>
          <w:bCs/>
        </w:rPr>
        <w:t>H4:</w:t>
      </w:r>
      <w:r w:rsidRPr="0066550D">
        <w:t xml:space="preserve"> Ranking stability alone is insufficient to establish interpretive reliability, because methods that appear stable may </w:t>
      </w:r>
      <w:r w:rsidR="009262F8" w:rsidRPr="0066550D">
        <w:t>remain</w:t>
      </w:r>
      <w:r w:rsidRPr="0066550D">
        <w:t xml:space="preserve"> vulnerable to spurious attribution; therefore, null-feature diagnostics are also needed.</w:t>
      </w:r>
    </w:p>
    <w:p w14:paraId="635F529C" w14:textId="77777777" w:rsidR="00DD50C6" w:rsidRDefault="00000000">
      <w:pPr>
        <w:pStyle w:val="Heading1"/>
      </w:pPr>
      <w:r>
        <w:t>2. Materials and Methods</w:t>
      </w:r>
    </w:p>
    <w:p w14:paraId="5AF10A0E" w14:textId="77777777" w:rsidR="00DD50C6" w:rsidRDefault="00DD50C6"/>
    <w:p w14:paraId="6C1B9DB0" w14:textId="77777777" w:rsidR="00DD50C6" w:rsidRDefault="00000000">
      <w:pPr>
        <w:pStyle w:val="Heading2"/>
      </w:pPr>
      <w:r>
        <w:t>2.1. Dataset and grouped structure</w:t>
      </w:r>
    </w:p>
    <w:p w14:paraId="7A7D6AA3" w14:textId="77777777" w:rsidR="00DD50C6" w:rsidRDefault="00DD50C6"/>
    <w:p w14:paraId="3870D93D" w14:textId="77777777" w:rsidR="00DD50C6" w:rsidRDefault="00000000">
      <w:pPr>
        <w:ind w:firstLine="360"/>
      </w:pPr>
      <w:r>
        <w:lastRenderedPageBreak/>
        <w:t xml:space="preserve">The study used a locked, literature-derived dataset assembled from a Scopus-based search using keyword combinations for microplastics, adsorption or sorption, and the target metals. After screening and harmonization, the final modeling dataset contained 1009 observations from 23 studies (aut_id) and 149 experiments (exp_id). The represented metals were </w:t>
      </w:r>
      <w:proofErr w:type="gramStart"/>
      <w:r>
        <w:t>Cd(</w:t>
      </w:r>
      <w:proofErr w:type="gramEnd"/>
      <w:r>
        <w:t xml:space="preserve">II) (n = 535), </w:t>
      </w:r>
      <w:proofErr w:type="gramStart"/>
      <w:r>
        <w:t>Cr(</w:t>
      </w:r>
      <w:proofErr w:type="gramEnd"/>
      <w:r>
        <w:t xml:space="preserve">VI) (n = 308), and </w:t>
      </w:r>
      <w:proofErr w:type="gramStart"/>
      <w:r>
        <w:t>Hg(</w:t>
      </w:r>
      <w:proofErr w:type="gramEnd"/>
      <w:r>
        <w:t xml:space="preserve">II) (n = 166). Microplastic classes were encoded as PE, PP, PS, PVC, PET, PA, PLA, and </w:t>
      </w:r>
      <w:proofErr w:type="gramStart"/>
      <w:r>
        <w:t>other</w:t>
      </w:r>
      <w:proofErr w:type="gramEnd"/>
      <w:r>
        <w:t>.</w:t>
      </w:r>
    </w:p>
    <w:p w14:paraId="3DAFF71F" w14:textId="77777777" w:rsidR="00DD50C6" w:rsidRDefault="00000000">
      <w:pPr>
        <w:ind w:firstLine="360"/>
      </w:pPr>
      <w:r>
        <w:t>The response variable was adsorption capacity (qe, mg g^-1), defined as the equilibrium mass of metal adsorbed per unit mass of microplastic. The locked feature set contained 25 predictors grouped into solution conditions (ph, temp, ce, rpm), surface area (sa), surface-functionality indicators, aging-state indicators, metal-identity indicators, polymer-identity indicators, and missingness indicators for partially reported continuous variables. The qe distribution was strongly right-skewed (median 0.103, interquartile range 0.032-0.454, 95th percentile 5.052, maximum 17.779 mg g^-1). Missingness was highest for ph (53.3%) and sa (38.0%), with lower missingness for temp (10.3%) and rpm (5.4%). Variable definitions, units, and missingness are summarized in Table S1.</w:t>
      </w:r>
    </w:p>
    <w:p w14:paraId="22A82E90" w14:textId="77777777" w:rsidR="00DD50C6" w:rsidRDefault="00DD50C6"/>
    <w:p w14:paraId="290F1D09" w14:textId="77777777" w:rsidR="00DD50C6" w:rsidRDefault="00000000">
      <w:pPr>
        <w:pStyle w:val="Heading2"/>
      </w:pPr>
      <w:r>
        <w:t xml:space="preserve">2.2. Modeling </w:t>
      </w:r>
      <w:proofErr w:type="gramStart"/>
      <w:r>
        <w:t>target</w:t>
      </w:r>
      <w:proofErr w:type="gramEnd"/>
      <w:r>
        <w:t xml:space="preserve"> and preprocessing</w:t>
      </w:r>
    </w:p>
    <w:p w14:paraId="43D9AA20" w14:textId="77777777" w:rsidR="00DD50C6" w:rsidRDefault="00DD50C6"/>
    <w:p w14:paraId="10606EE3" w14:textId="77777777" w:rsidR="00DD50C6" w:rsidRDefault="00000000">
      <w:pPr>
        <w:ind w:firstLine="360"/>
      </w:pPr>
      <w:r>
        <w:t xml:space="preserve">The target was modeled as log1p(qe) to reduce the influence of extreme right-tail values while keeping evaluation on the original qe scale. All preprocessing steps that could leak information </w:t>
      </w:r>
      <w:proofErr w:type="gramStart"/>
      <w:r>
        <w:t>were fit</w:t>
      </w:r>
      <w:proofErr w:type="gramEnd"/>
      <w:r>
        <w:t xml:space="preserve"> inside training folds only. Specifically, continuous predictors were imputed </w:t>
      </w:r>
      <w:r>
        <w:lastRenderedPageBreak/>
        <w:t>with training-fold medians, and scaling was fit on training data only for models that required it. Validation rows were never used to fit imputers, scalers, or model parameters.</w:t>
      </w:r>
    </w:p>
    <w:p w14:paraId="5E8AA519" w14:textId="77777777" w:rsidR="00DD50C6" w:rsidRDefault="00DD50C6"/>
    <w:p w14:paraId="07EC977D" w14:textId="77777777" w:rsidR="00DD50C6" w:rsidRDefault="00000000">
      <w:pPr>
        <w:pStyle w:val="Heading2"/>
      </w:pPr>
      <w:r>
        <w:t>2.3. Validation hierarchy</w:t>
      </w:r>
    </w:p>
    <w:p w14:paraId="1A7C3D00" w14:textId="77777777" w:rsidR="00DD50C6" w:rsidRDefault="00DD50C6"/>
    <w:p w14:paraId="2B3CF162" w14:textId="77777777" w:rsidR="00DD50C6" w:rsidRDefault="00000000">
      <w:pPr>
        <w:ind w:firstLine="360"/>
      </w:pPr>
      <w:r>
        <w:t>We defined three validation regimes. random_cv corresponds to repeated row-level interpolation within the observed literature domain. group_exp uses grouped cross-validation by exp_id and represents transfer to unseen experiments while some study context remains represented in training. group_aut uses grouped cross-validation by aut_id and represents transfer to unseen studies.</w:t>
      </w:r>
    </w:p>
    <w:p w14:paraId="5C0501E9" w14:textId="77777777" w:rsidR="00DD50C6" w:rsidRDefault="00DD50C6"/>
    <w:p w14:paraId="47272228" w14:textId="77777777" w:rsidR="00DD50C6" w:rsidRDefault="00000000">
      <w:pPr>
        <w:pStyle w:val="Heading2"/>
      </w:pPr>
      <w:r>
        <w:t>2.4. Predictive models</w:t>
      </w:r>
    </w:p>
    <w:p w14:paraId="4356428E" w14:textId="77777777" w:rsidR="00DD50C6" w:rsidRDefault="00DD50C6"/>
    <w:p w14:paraId="5F441C3F" w14:textId="77777777" w:rsidR="00DD50C6" w:rsidRDefault="00000000">
      <w:pPr>
        <w:ind w:firstLine="360"/>
      </w:pPr>
      <w:r>
        <w:t>We evaluated three model paradigms: a linear model, a tree-based ensemble, and a neural network. Elastic Net (EN) is a penalized linear regression model that combines L1 and L2 regularization, enabling coefficient shrinkage and variable selection under correlated predictors (Zou and Hastie, 2005, doi:10.1111/j.1467-9868.</w:t>
      </w:r>
      <w:proofErr w:type="gramStart"/>
      <w:r>
        <w:t>2005.00503.x</w:t>
      </w:r>
      <w:proofErr w:type="gramEnd"/>
      <w:r>
        <w:t>). It was included as a sparse, interpretable baseline for grouped generalization.</w:t>
      </w:r>
    </w:p>
    <w:p w14:paraId="52FC94D9" w14:textId="77777777" w:rsidR="00DD50C6" w:rsidRDefault="00DD50C6"/>
    <w:p w14:paraId="3EE71B41" w14:textId="77777777" w:rsidR="00DD50C6" w:rsidRDefault="00000000">
      <w:pPr>
        <w:ind w:firstLine="360"/>
      </w:pPr>
      <w:r>
        <w:t xml:space="preserve">Light Gradient Boosting Machine (LGBM) is a histogram-based gradient-boosted decision-tree algorithm that captures nonlinear effects and higher-order interactions through stage-wise </w:t>
      </w:r>
      <w:r>
        <w:lastRenderedPageBreak/>
        <w:t xml:space="preserve">tree boosting (Ke et al., 2017, doi:10.5555/3294996.3295074). We used it as </w:t>
      </w:r>
      <w:proofErr w:type="gramStart"/>
      <w:r>
        <w:t>the</w:t>
      </w:r>
      <w:proofErr w:type="gramEnd"/>
      <w:r>
        <w:t xml:space="preserve"> tree-based paradigm because adsorption responses may depend on threshold effects and interactions among solution conditions, polymer identity, and aging state that are not well represented by linear terms alone.</w:t>
      </w:r>
    </w:p>
    <w:p w14:paraId="430D5EF6" w14:textId="77777777" w:rsidR="00DD50C6" w:rsidRDefault="00DD50C6"/>
    <w:p w14:paraId="7300CEBE" w14:textId="77777777" w:rsidR="00DD50C6" w:rsidRDefault="00000000">
      <w:pPr>
        <w:ind w:firstLine="360"/>
      </w:pPr>
      <w:r>
        <w:t xml:space="preserve">The multilayer </w:t>
      </w:r>
      <w:proofErr w:type="gramStart"/>
      <w:r>
        <w:t>perceptron</w:t>
      </w:r>
      <w:proofErr w:type="gramEnd"/>
      <w:r>
        <w:t xml:space="preserve"> (MLP) is a feed-forward neural network trained by back-propagation, allowing flexible nonlinear approximation through stacked hidden layers (Rumelhart et al., 1986, doi:10.1038/323533a0). It was used as a lightweight neural baseline to test whether higher capacity improves in-domain prediction while keeping the comparison focused on three distinct model families.</w:t>
      </w:r>
    </w:p>
    <w:p w14:paraId="010844E4" w14:textId="77777777" w:rsidR="00DD50C6" w:rsidRDefault="00DD50C6"/>
    <w:p w14:paraId="354787AA" w14:textId="77777777" w:rsidR="00DD50C6" w:rsidRDefault="00000000">
      <w:pPr>
        <w:pStyle w:val="Heading2"/>
      </w:pPr>
      <w:r>
        <w:t>2.5. Feature-importance methods and null-feature stress testing</w:t>
      </w:r>
    </w:p>
    <w:p w14:paraId="142C5E60" w14:textId="77777777" w:rsidR="00DD50C6" w:rsidRDefault="00DD50C6"/>
    <w:p w14:paraId="052D5126" w14:textId="77777777" w:rsidR="00DD50C6" w:rsidRDefault="00000000">
      <w:pPr>
        <w:ind w:firstLine="360"/>
      </w:pPr>
      <w:r>
        <w:t>For RQ2, we compared four main importance methods: standardized coefficient magnitude for EN, permutation importance for both EN and LGBM, LGBM built-in gain, and SHAP for LGBM. We also added seven synthetic null features: pure random noise features, permuted versions of real features, and group-aware random-effect features keyed to studies and experiments but designed to remain non-informative about qe. We evaluated methods by null suppression, separation between real and null features, top-rank contamination by nulls, ranking stability across resampling, and robustness across validation regimes. These diagnostics were treated as evidence of interpretation reliability, not as universal proof that a method is correct.</w:t>
      </w:r>
    </w:p>
    <w:p w14:paraId="368EC67B" w14:textId="77777777" w:rsidR="00DD50C6" w:rsidRDefault="00DD50C6"/>
    <w:p w14:paraId="1E612A33" w14:textId="77777777" w:rsidR="00DD50C6" w:rsidRDefault="00000000">
      <w:pPr>
        <w:pStyle w:val="Heading1"/>
      </w:pPr>
      <w:r>
        <w:lastRenderedPageBreak/>
        <w:t>3. Results and Discussion</w:t>
      </w:r>
    </w:p>
    <w:p w14:paraId="109CA9AB" w14:textId="77777777" w:rsidR="00DD50C6" w:rsidRDefault="00DD50C6"/>
    <w:p w14:paraId="6525AF01" w14:textId="77777777" w:rsidR="00DD50C6" w:rsidRDefault="00000000">
      <w:pPr>
        <w:pStyle w:val="Heading2"/>
      </w:pPr>
      <w:r>
        <w:t>3.1. Dataset structure confirms a grouped and heterogeneous prediction problem</w:t>
      </w:r>
    </w:p>
    <w:p w14:paraId="71B7A7CE" w14:textId="77777777" w:rsidR="00DD50C6" w:rsidRDefault="00DD50C6"/>
    <w:p w14:paraId="2DAD8000" w14:textId="77777777" w:rsidR="00DD50C6" w:rsidRDefault="00000000">
      <w:pPr>
        <w:ind w:firstLine="360"/>
      </w:pPr>
      <w:r>
        <w:t>The final dataset defines a genuinely grouped prediction problem rather than a conventional independent-row regression task. As summarized in Table 1, the 1009 observations are nested within only 23 studies and 149 experiments, with a median of 38 rows per study and 6 rows per experiment, and with clear concentration of observations in a small number of source studies. The response distribution is also highly uneven: median qe was 0.103 mg g^-1, the 95th percentile was 5.052 mg g^-1, and the maximum reached 17.779 mg g^-1 (Table 1). Substantial missingness in key covariates, especially ph (53.3%) and sa (38.0%), adds a second layer of heterogeneity that is typical of pooled literature-derived environmental datasets (Table 1; Table S1).</w:t>
      </w:r>
    </w:p>
    <w:p w14:paraId="741444B5" w14:textId="77777777" w:rsidR="00DD50C6" w:rsidRDefault="00DD50C6"/>
    <w:p w14:paraId="489CC33F" w14:textId="77777777" w:rsidR="00DD50C6" w:rsidRDefault="00000000">
      <w:pPr>
        <w:ind w:firstLine="360"/>
      </w:pPr>
      <w:r>
        <w:t xml:space="preserve">This structure has direct methodological consequences for both prediction and interpretation. Rows drawn from the same study or experiment are unlikely to be statistically exchangeable because they share protocols, analytical conditions, reporting conventions, and often correlated chemistry domains; random row-level splitting can therefore preserve study fingerprints across train and validation folds and inflate apparent generalization. That logic is consistent with the broader ecological and environmental ML literature, which has shown that ignoring grouped structure or blocked dependence can lead to systematically optimistic performance estimates (Roberts et al., 2017, doi:10.1111/ecog.02881; Zhu et al., 2023, </w:t>
      </w:r>
      <w:proofErr w:type="gramStart"/>
      <w:r>
        <w:t>doi:10.1021/acs.est</w:t>
      </w:r>
      <w:proofErr w:type="gramEnd"/>
      <w:r>
        <w:t xml:space="preserve">.3c00026). At </w:t>
      </w:r>
      <w:r>
        <w:lastRenderedPageBreak/>
        <w:t xml:space="preserve">the same time, the strong skewness and mixed reporting quality are scientifically plausible for microplastic-metal adsorption, where uptake depends strongly on pH, concentration, polymer state, and surface alteration rather than on a single universal material constant (Tang et al., 2020, </w:t>
      </w:r>
      <w:proofErr w:type="gramStart"/>
      <w:r>
        <w:t>doi:10.1016/j.jhazmat</w:t>
      </w:r>
      <w:proofErr w:type="gramEnd"/>
      <w:r>
        <w:t xml:space="preserve">.2019.121960; Bi et al., 2024, </w:t>
      </w:r>
      <w:proofErr w:type="gramStart"/>
      <w:r>
        <w:t>doi:10.1016/j.envpol</w:t>
      </w:r>
      <w:proofErr w:type="gramEnd"/>
      <w:r>
        <w:t>.2024.124634). Taken together, these properties justify treating the dataset as a reliability stress test for grouped environmental ML rather than as a benchmark for maximizing a single headline accuracy value.</w:t>
      </w:r>
    </w:p>
    <w:p w14:paraId="40FB2C84" w14:textId="77777777" w:rsidR="00DD50C6" w:rsidRDefault="00DD50C6"/>
    <w:p w14:paraId="7EE79B9E" w14:textId="77777777" w:rsidR="00DD50C6" w:rsidRDefault="00000000">
      <w:pPr>
        <w:pStyle w:val="Heading2"/>
      </w:pPr>
      <w:r>
        <w:t>3.2. Random validation is optimistic relative to grouped validation</w:t>
      </w:r>
    </w:p>
    <w:p w14:paraId="1649EA2C" w14:textId="77777777" w:rsidR="00DD50C6" w:rsidRDefault="00DD50C6"/>
    <w:p w14:paraId="40D6D29E" w14:textId="4E182CEE" w:rsidR="00DD50C6" w:rsidRPr="00C271F8" w:rsidRDefault="00000000" w:rsidP="00040F11">
      <w:pPr>
        <w:ind w:firstLine="360"/>
        <w:rPr>
          <w:lang w:val="vi-VN"/>
        </w:rPr>
      </w:pPr>
      <w:r>
        <w:t>Validation design changed the apparent predictive success of the models in a systematic way, supporting H1 and the transfer-difficulty component of H2 (Table 2; Figure 1A). Under random_cv, the strongest result came from MLP (R2 = 0.912 +/- 0.039, RMSE = 0.618 +/- 0.118, MAE = 0.223 +/- 0.038), with LGBM also performing strongly (R2 = 0.871 +/- 0.070, RMSE = 0.762 +/- 0.224). When the evaluation moved to unseen experiments, however, the best model was LGBM, and performance weakened to R2 = 0.725 +/- 0.203 and RMSE = 0.969 +/- 0.387, while MLP also degraded (R2 = 0.703 +/- 0.120, RMSE = 1.097 +/- 0.537) (Table 2; Figure 1A). Under study-level transfer, all models deteriorated sharply: EN had the lowest mean RMSE (1.674 +/- 1.671), LGBM reached 1.906 +/- 1.460, and MLP became extremely unstable (RMSE = 19.481 +/- 22.380) (Table 2; Figure 1A). The same hierarchy is visible on the R2 scale in Figure S1: mean R2 was 0.013 for EN, 0.871 for LGBM, and 0.912 for MLP under random_cv; 0.725 for LGBM under group_exp; and negative for all models under group_aut.</w:t>
      </w:r>
    </w:p>
    <w:p w14:paraId="0C5AD9EF" w14:textId="3CBA4DD1" w:rsidR="00DD50C6" w:rsidRDefault="00000000">
      <w:pPr>
        <w:ind w:firstLine="360"/>
      </w:pPr>
      <w:r>
        <w:lastRenderedPageBreak/>
        <w:t xml:space="preserve">The generalization-gap analysis shows that this is not a minor calibration issue but a substantial shift in the scientific meaning of the metrics (Table 3; Figure 1B). Relative to random row-level validation, LGBM incurred an RMSE penalty of +0.206 under group_exp and +1.143 under group_aut, whereas MLP incurred +0.479 and +18.862, respectively (Table 3). Expressed relative to each model's random_cv baseline, this corresponds to an approximately 1.3x and 2.5x RMSE increase for LGBM, versus 1.8x and 31.5x for MLP (Figure 1B). Even though EN was weak under interpolation, its grouped-study RMSE became comparatively less catastrophic. This pattern confirms that random_cv -&gt; group_exp -&gt; group_aut is a hierarchy of increasing transfer difficulty, not merely a leaderboard reshuffle, and it helps explain why model ranking can vary across validation regimes. This pattern agrees with the broader literature on structured validation, where blocked or grouped resampling typically yields more conservative but more realistic estimates of model portability than naive random splitting (Roberts et al., 2017, doi:10.1111/ecog.02881; Zhu et al., 2023, </w:t>
      </w:r>
      <w:proofErr w:type="gramStart"/>
      <w:r>
        <w:t>doi:10.1021/acs.est</w:t>
      </w:r>
      <w:proofErr w:type="gramEnd"/>
      <w:r>
        <w:t>.3c00026). The main contribution here is to demonstrate that the same optimism problem persists in literature-derived microplastic adsorption data, where study-level transfer remains the dominant barrier even after restoring a stronger legacy training pipeline.</w:t>
      </w:r>
    </w:p>
    <w:p w14:paraId="146753D5" w14:textId="77777777" w:rsidR="00C55FF4" w:rsidRPr="00C55FF4" w:rsidRDefault="00C55FF4" w:rsidP="00C55FF4">
      <w:r w:rsidRPr="00C55FF4">
        <w:rPr>
          <w:noProof/>
        </w:rPr>
        <w:lastRenderedPageBreak/>
        <w:drawing>
          <wp:inline distT="0" distB="0" distL="0" distR="0" wp14:anchorId="32F2869A" wp14:editId="4FAD0850">
            <wp:extent cx="5943600" cy="2641600"/>
            <wp:effectExtent l="0" t="0" r="0" b="6350"/>
            <wp:docPr id="215097015"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3"/>
                    <pic:cNvPicPr>
                      <a:picLocks noChangeAspect="1" noChangeArrowheads="1"/>
                    </pic:cNvPicPr>
                  </pic:nvPicPr>
                  <pic:blipFill>
                    <a:blip r:embed="rId6">
                      <a:extLst>
                        <a:ext uri="{28A0092B-C50C-407E-A947-70E740481C1C}">
                          <a14:useLocalDpi xmlns:a14="http://schemas.microsoft.com/office/drawing/2010/main" val="0"/>
                        </a:ext>
                      </a:extLst>
                    </a:blip>
                    <a:srcRect/>
                    <a:stretch>
                      <a:fillRect/>
                    </a:stretch>
                  </pic:blipFill>
                  <pic:spPr bwMode="auto">
                    <a:xfrm>
                      <a:off x="0" y="0"/>
                      <a:ext cx="5943600" cy="2641600"/>
                    </a:xfrm>
                    <a:prstGeom prst="rect">
                      <a:avLst/>
                    </a:prstGeom>
                    <a:noFill/>
                    <a:ln>
                      <a:noFill/>
                    </a:ln>
                  </pic:spPr>
                </pic:pic>
              </a:graphicData>
            </a:graphic>
          </wp:inline>
        </w:drawing>
      </w:r>
    </w:p>
    <w:p w14:paraId="5B07DA15" w14:textId="77777777" w:rsidR="00C55FF4" w:rsidRDefault="00C55FF4" w:rsidP="00C55FF4"/>
    <w:p w14:paraId="57465150" w14:textId="77777777" w:rsidR="00C55FF4" w:rsidRDefault="00C55FF4" w:rsidP="00C55FF4">
      <w:pPr>
        <w:ind w:firstLine="360"/>
      </w:pPr>
      <w:r>
        <w:t xml:space="preserve">Figure 1. Performance </w:t>
      </w:r>
      <w:proofErr w:type="gramStart"/>
      <w:r>
        <w:t>drop</w:t>
      </w:r>
      <w:proofErr w:type="gramEnd"/>
      <w:r>
        <w:t xml:space="preserve"> across the main validation hierarchy. Panel A compares </w:t>
      </w:r>
      <w:proofErr w:type="spellStart"/>
      <w:r>
        <w:t>random_cv</w:t>
      </w:r>
      <w:proofErr w:type="spellEnd"/>
      <w:r>
        <w:t xml:space="preserve">, </w:t>
      </w:r>
      <w:proofErr w:type="spellStart"/>
      <w:r>
        <w:t>group_exp</w:t>
      </w:r>
      <w:proofErr w:type="spellEnd"/>
      <w:r>
        <w:t xml:space="preserve">, and </w:t>
      </w:r>
      <w:proofErr w:type="spellStart"/>
      <w:r>
        <w:t>group_aut</w:t>
      </w:r>
      <w:proofErr w:type="spellEnd"/>
      <w:r>
        <w:t xml:space="preserve"> using mean RMSE +/- SD on the original </w:t>
      </w:r>
      <w:proofErr w:type="spellStart"/>
      <w:r>
        <w:t>qe</w:t>
      </w:r>
      <w:proofErr w:type="spellEnd"/>
      <w:r>
        <w:t xml:space="preserve"> scale, with the extreme MLP study-level result labeled directly to preserve readability. Panel B rescales grouped-regime RMSE to each model's </w:t>
      </w:r>
      <w:proofErr w:type="spellStart"/>
      <w:r>
        <w:t>random_cv</w:t>
      </w:r>
      <w:proofErr w:type="spellEnd"/>
      <w:r>
        <w:t xml:space="preserve"> baseline, highlighting how predictive performance deteriorates as validation moves from row-level interpolation toward study-level transfer.</w:t>
      </w:r>
    </w:p>
    <w:p w14:paraId="3FAA434D" w14:textId="77777777" w:rsidR="00C55FF4" w:rsidRPr="00C55FF4" w:rsidRDefault="00C55FF4" w:rsidP="00C55FF4"/>
    <w:p w14:paraId="01E4C7A1" w14:textId="77777777" w:rsidR="00DD50C6" w:rsidRDefault="00DD50C6"/>
    <w:p w14:paraId="40CB191F" w14:textId="77777777" w:rsidR="00DD50C6" w:rsidRDefault="00000000">
      <w:pPr>
        <w:pStyle w:val="Heading2"/>
      </w:pPr>
      <w:r>
        <w:t>3.3. Transfer difficulty and model ranking vary across validation regimes</w:t>
      </w:r>
    </w:p>
    <w:p w14:paraId="4A8F857E" w14:textId="77777777" w:rsidR="00DD50C6" w:rsidRDefault="00DD50C6"/>
    <w:p w14:paraId="7F010B56" w14:textId="77777777" w:rsidR="00DD50C6" w:rsidRDefault="00000000">
      <w:pPr>
        <w:ind w:firstLine="360"/>
      </w:pPr>
      <w:r>
        <w:t xml:space="preserve">These ranking shifts support H2 and argue against a single universally best model (Table 2; Table 3; Figure 1A; Figure 1B). MLP was the strongest interpolator under random_cv, but it lost that advantage once the validation target shifted from within-domain interpolation to grouped </w:t>
      </w:r>
      <w:r>
        <w:lastRenderedPageBreak/>
        <w:t>transfer; by group_aut, its mean R2 collapsed to -21744.538 with very large dispersion, and its RMSE rose to approximately 31.5x its random_cv baseline, indicating that high-capacity nonlinear fitting did not translate into reliable study-level portability (Table 2; Figure 1B). LGBM occupied an intermediate position, retaining the strongest performance under group_exp while deteriorating substantially at the study level, where its RMSE reached about 2.5x the random_cv baseline (Figure 1B). EN, by contrast, was never the best in-domain model, but it produced the lowest mean RMSE under the harshest grouped regime (1.674 +/- 1.671) and the smallest performance collapse among the three models in that setting (Table 2; Table 3; Figure 1B).</w:t>
      </w:r>
    </w:p>
    <w:p w14:paraId="661CD6E7" w14:textId="77777777" w:rsidR="00DD50C6" w:rsidRDefault="00DD50C6"/>
    <w:p w14:paraId="7B6D5513" w14:textId="77777777" w:rsidR="00DD50C6" w:rsidRDefault="00000000">
      <w:pPr>
        <w:ind w:firstLine="360"/>
      </w:pPr>
      <w:r>
        <w:t xml:space="preserve">These differences are scientifically plausible because the three paradigms absorb structure in different ways. The strong random-split performance of MLP suggests that the legacy feature-engineering and preprocessing pipeline can exploit rich local regularities when train and validation samples remain close in covariate space, but the grouped-study collapse indicates that much of that apparent signal is not portable across study boundaries. LGBM appears better suited to moderate transfer because boosted trees can capture threshold-like and interaction-driven adsorption responses without requiring the same degree of smooth extrapolation, whereas the sparse EN solution behaves more conservatively when the test domain shifts substantially. The sub-unit EN ratios in Figure 1B should therefore not be interpreted as evidence that grouped transfer improved the model; rather, they reflect that EN was already weak under random_cv, so its absolute RMSE changed relatively little while the nonlinear models degraded much more sharply. This interpretation also helps reconcile the present results with recent adsorption ML studies, which often reported good nonlinear predictive performance under conventional </w:t>
      </w:r>
      <w:r>
        <w:lastRenderedPageBreak/>
        <w:t xml:space="preserve">validation schemes but rarely tested whether that advantage survives grouped transfer (Bryant and Ma, 2023, doi:10.1021/acsestwater.3c00151; Wang et al., 2025, </w:t>
      </w:r>
      <w:proofErr w:type="gramStart"/>
      <w:r>
        <w:t>doi:10.1016/j.surfin</w:t>
      </w:r>
      <w:proofErr w:type="gramEnd"/>
      <w:r>
        <w:t>.2025.107101). The key takeaway is therefore not that simple models are intrinsically superior, but that model choice must be matched to the intended transfer regime and not inferred solely from random-split metrics.</w:t>
      </w:r>
    </w:p>
    <w:p w14:paraId="2C65AF17" w14:textId="77777777" w:rsidR="00DD50C6" w:rsidRDefault="00DD50C6"/>
    <w:p w14:paraId="53FAE27E" w14:textId="77777777" w:rsidR="00DD50C6" w:rsidRDefault="00000000">
      <w:pPr>
        <w:pStyle w:val="Heading2"/>
      </w:pPr>
      <w:r>
        <w:t>3.4. Feature-importance conclusions are method-sensitive</w:t>
      </w:r>
    </w:p>
    <w:p w14:paraId="5ACFCD25" w14:textId="77777777" w:rsidR="00DD50C6" w:rsidRDefault="00DD50C6"/>
    <w:p w14:paraId="70FDE851" w14:textId="77777777" w:rsidR="00DD50C6" w:rsidRDefault="00000000">
      <w:pPr>
        <w:ind w:firstLine="360"/>
      </w:pPr>
      <w:r>
        <w:t>The interpretation results support H3 by showing that broad mechanism narratives are more reproducible than detailed rank claims (Figure 2; Table S6). Across all methods, solution-chemistry terms remained consistently important, but the extent of that dominance varied sharply with the explainer. EN coefficient magnitude assigned essentially all displayed mechanism-group importance to solution chemistry (0.062 in all three regimes), and EN permutation also concentrated strongly on solution chemistry (0.056-0.062) with only very small residual weight on surface area or other groups (Table S6). In contrast, LGBM SHAP distributed importance across several chemically plausible groups, including other (0.024-0.025 in random_cv and group_exp), surface area and porosity (0.021-0.024), solution chemistry (0.020-0.021), and polymer identity (0.010-0.016), while LGBM permutation shifted even more strongly toward other, aging, and polymer-related terms in some regimes (Table S6; Figure 2).</w:t>
      </w:r>
    </w:p>
    <w:p w14:paraId="57C6707F" w14:textId="77777777" w:rsidR="00DD50C6" w:rsidRDefault="00DD50C6"/>
    <w:p w14:paraId="72D6A8C0" w14:textId="77777777" w:rsidR="00DD50C6" w:rsidRDefault="00000000">
      <w:pPr>
        <w:ind w:firstLine="360"/>
        <w:rPr>
          <w:lang w:val="vi-VN"/>
        </w:rPr>
      </w:pPr>
      <w:r>
        <w:t xml:space="preserve">This pattern matters because it changes the mechanistic story a reader would tell from the same trained models. The persistence of solution chemistry as a leading group is chemically </w:t>
      </w:r>
      <w:r>
        <w:lastRenderedPageBreak/>
        <w:t xml:space="preserve">credible and agrees with experimental understanding that pH, dissolved concentration, and related solution controls are major determinants of metal uptake by microplastics (Tang et al., 2020, </w:t>
      </w:r>
      <w:proofErr w:type="gramStart"/>
      <w:r>
        <w:t>doi:10.1016/j.jhazmat</w:t>
      </w:r>
      <w:proofErr w:type="gramEnd"/>
      <w:r>
        <w:t xml:space="preserve">.2019.121960; Bi et al., 2024, </w:t>
      </w:r>
      <w:proofErr w:type="gramStart"/>
      <w:r>
        <w:t>doi:10.1016/j.envpol</w:t>
      </w:r>
      <w:proofErr w:type="gramEnd"/>
      <w:r>
        <w:t>.2024.124634). However, the large method-to-method shifts in aging, polymer, surface-area, and higher-order engineered groups are equally important, because they show that explanatory emphasis is partly a property of the interpretation method rather than only of the data-generating process. That observation aligns with the interpretability literature, which has warned that feature-importance rankings can be unstable under correlated predictors and different attribution rules (Murdoch et al., 2019, doi:10.1073/pnas.1900654116; Molnar et al., 2023, doi:10.1007/s10618-022-00901-9). The novel contribution of the present analysis is therefore not merely to rank features, but to show that in this microplastic-metal setting the most defensible conclusion is a robust broad signal for solution chemistry, whereas finer mechanistic hierarchies remain method-dependent and should be treated cautiously.</w:t>
      </w:r>
    </w:p>
    <w:p w14:paraId="5DA3E487" w14:textId="3B7E090E" w:rsidR="0098305A" w:rsidRPr="0098305A" w:rsidRDefault="0098305A" w:rsidP="0098305A">
      <w:pPr>
        <w:spacing w:before="0" w:line="276" w:lineRule="auto"/>
        <w:ind w:firstLine="360"/>
      </w:pPr>
      <w:r w:rsidRPr="0098305A">
        <w:rPr>
          <w:noProof/>
        </w:rPr>
        <w:drawing>
          <wp:inline distT="0" distB="0" distL="0" distR="0" wp14:anchorId="52A6A20E" wp14:editId="7EA5D8E0">
            <wp:extent cx="5943600" cy="2674620"/>
            <wp:effectExtent l="0" t="0" r="0" b="0"/>
            <wp:docPr id="1124590970"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
                    <pic:cNvPicPr>
                      <a:picLocks noChangeAspect="1" noChangeArrowheads="1"/>
                    </pic:cNvPicPr>
                  </pic:nvPicPr>
                  <pic:blipFill>
                    <a:blip r:embed="rId7">
                      <a:extLst>
                        <a:ext uri="{28A0092B-C50C-407E-A947-70E740481C1C}">
                          <a14:useLocalDpi xmlns:a14="http://schemas.microsoft.com/office/drawing/2010/main" val="0"/>
                        </a:ext>
                      </a:extLst>
                    </a:blip>
                    <a:srcRect/>
                    <a:stretch>
                      <a:fillRect/>
                    </a:stretch>
                  </pic:blipFill>
                  <pic:spPr bwMode="auto">
                    <a:xfrm>
                      <a:off x="0" y="0"/>
                      <a:ext cx="5943600" cy="2674620"/>
                    </a:xfrm>
                    <a:prstGeom prst="rect">
                      <a:avLst/>
                    </a:prstGeom>
                    <a:noFill/>
                    <a:ln>
                      <a:noFill/>
                    </a:ln>
                  </pic:spPr>
                </pic:pic>
              </a:graphicData>
            </a:graphic>
          </wp:inline>
        </w:drawing>
      </w:r>
    </w:p>
    <w:p w14:paraId="18A48B01" w14:textId="77777777" w:rsidR="0098305A" w:rsidRDefault="0098305A" w:rsidP="0098305A">
      <w:pPr>
        <w:ind w:firstLine="360"/>
      </w:pPr>
      <w:r>
        <w:t xml:space="preserve">Figure 2. Mechanism-group importance across methods. The heatmap compares the relative importance of solution chemistry, surface area and porosity, metal identity, surface functionality, </w:t>
      </w:r>
      <w:r>
        <w:lastRenderedPageBreak/>
        <w:t>polymer identity, aging state, and other engineered terms across EN coefficient, EN permutation, LGBM permutation, LGBM gain, and LGBM SHAP. Synthetic null features are excluded from this visualization and audited separately in Figure 3.</w:t>
      </w:r>
    </w:p>
    <w:p w14:paraId="0761DA27" w14:textId="77777777" w:rsidR="0098305A" w:rsidRPr="0098305A" w:rsidRDefault="0098305A">
      <w:pPr>
        <w:ind w:firstLine="360"/>
        <w:rPr>
          <w:lang w:val="vi-VN"/>
        </w:rPr>
      </w:pPr>
    </w:p>
    <w:p w14:paraId="3014CE2E" w14:textId="77777777" w:rsidR="00DD50C6" w:rsidRDefault="00DD50C6"/>
    <w:p w14:paraId="29367B13" w14:textId="77777777" w:rsidR="00DD50C6" w:rsidRDefault="00000000">
      <w:pPr>
        <w:pStyle w:val="Heading2"/>
      </w:pPr>
      <w:r>
        <w:t>3.5. Interpretive reliability requires null diagnostics beyond ranking stability</w:t>
      </w:r>
    </w:p>
    <w:p w14:paraId="2A1C62DE" w14:textId="77777777" w:rsidR="00DD50C6" w:rsidRDefault="00DD50C6"/>
    <w:p w14:paraId="1E09A5C2" w14:textId="77777777" w:rsidR="00DD50C6" w:rsidRDefault="00000000">
      <w:pPr>
        <w:ind w:firstLine="360"/>
      </w:pPr>
      <w:r>
        <w:t xml:space="preserve">The corrected null benchmark indicates that interpretive reliability cannot be judged from ranking stability alone and therefore requires complementary null-feature diagnostics, consistent with H4 (Figure 3; Table S5). After normalization, mean null-importance share and </w:t>
      </w:r>
      <w:proofErr w:type="gramStart"/>
      <w:r>
        <w:t>top-10</w:t>
      </w:r>
      <w:proofErr w:type="gramEnd"/>
      <w:r>
        <w:t xml:space="preserve"> null intrusion </w:t>
      </w:r>
      <w:proofErr w:type="gramStart"/>
      <w:r>
        <w:t>were</w:t>
      </w:r>
      <w:proofErr w:type="gramEnd"/>
      <w:r>
        <w:t xml:space="preserve"> near zero for all methods, so the main separation in Figure 3 came instead from mean real-vs-null importance gap and rank stability. On those axes, LGBM gain performed best (mean real-null gap ~ 0.007, rank stability ~ 0.943), followed by LGBM SHAP (0.006, 0.781), whereas EN coefficient magnitude was relatively stable (0.746) but showed essentially no real-null separation under this metric, reflecting its strongly conservative sparsity pattern (Table S5; Figure 3). Both permutation methods were markedly less stable, especially EN permutation (~0.290) and LGBM permutation (~0.384), indicating that their rankings were much more sensitive to resampling and validation regime (Table S5; Figure 3).</w:t>
      </w:r>
    </w:p>
    <w:p w14:paraId="7328C569" w14:textId="77777777" w:rsidR="00DD50C6" w:rsidRDefault="00DD50C6"/>
    <w:p w14:paraId="7E2A4759" w14:textId="77777777" w:rsidR="00DD50C6" w:rsidRDefault="00000000">
      <w:pPr>
        <w:ind w:firstLine="360"/>
      </w:pPr>
      <w:r>
        <w:t xml:space="preserve">Scientifically, this provides qualified support for H4. The corrected normalization weakened the case that aggregate null uptake alone strongly discriminates among methods, but it reinforced the broader point that no single diagnostic is sufficient and that methods which look acceptable </w:t>
      </w:r>
      <w:r>
        <w:lastRenderedPageBreak/>
        <w:t>on one criterion can still look weak on another. EN coefficient magnitude was conservative but minimally separating; LGBM gain was highly stable and separating; SHAP occupied an intermediate position; permutation methods were comparatively unstable. This more nuanced picture is consistent with recent work arguing that interpretability reliability should be evaluated through multiple complementary diagnostics rather than by assuming that one popular explainer is intrinsically trustworthy (Molnar et al., 2023, doi:10.1007/s10618-022-00901-9; Yasodhara et al., 2021, doi:10.1007/978-3-030-84060-0_19). The practical implication is that null-feature stress testing adds value not because it identifies a universally correct method, but because it reveals which explanation methods are conservative, which are stable, and which require stronger caution before being translated into mechanistic claims.</w:t>
      </w:r>
    </w:p>
    <w:p w14:paraId="4FBC5B9B" w14:textId="0BF57004" w:rsidR="0098305A" w:rsidRPr="0098305A" w:rsidRDefault="0098305A" w:rsidP="0098305A">
      <w:pPr>
        <w:spacing w:before="0" w:line="276" w:lineRule="auto"/>
      </w:pPr>
      <w:r w:rsidRPr="0098305A">
        <w:rPr>
          <w:noProof/>
        </w:rPr>
        <w:drawing>
          <wp:inline distT="0" distB="0" distL="0" distR="0" wp14:anchorId="120472FF" wp14:editId="10399428">
            <wp:extent cx="5943600" cy="2853055"/>
            <wp:effectExtent l="0" t="0" r="0" b="4445"/>
            <wp:docPr id="1055603383"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3"/>
                    <pic:cNvPicPr>
                      <a:picLocks noChangeAspect="1" noChangeArrowheads="1"/>
                    </pic:cNvPicPr>
                  </pic:nvPicPr>
                  <pic:blipFill>
                    <a:blip r:embed="rId8">
                      <a:extLst>
                        <a:ext uri="{28A0092B-C50C-407E-A947-70E740481C1C}">
                          <a14:useLocalDpi xmlns:a14="http://schemas.microsoft.com/office/drawing/2010/main" val="0"/>
                        </a:ext>
                      </a:extLst>
                    </a:blip>
                    <a:srcRect/>
                    <a:stretch>
                      <a:fillRect/>
                    </a:stretch>
                  </pic:blipFill>
                  <pic:spPr bwMode="auto">
                    <a:xfrm>
                      <a:off x="0" y="0"/>
                      <a:ext cx="5943600" cy="2853055"/>
                    </a:xfrm>
                    <a:prstGeom prst="rect">
                      <a:avLst/>
                    </a:prstGeom>
                    <a:noFill/>
                    <a:ln>
                      <a:noFill/>
                    </a:ln>
                  </pic:spPr>
                </pic:pic>
              </a:graphicData>
            </a:graphic>
          </wp:inline>
        </w:drawing>
      </w:r>
    </w:p>
    <w:p w14:paraId="75C81C2E" w14:textId="77777777" w:rsidR="0098305A" w:rsidRDefault="0098305A" w:rsidP="0098305A">
      <w:pPr>
        <w:ind w:firstLine="360"/>
      </w:pPr>
      <w:r>
        <w:t xml:space="preserve">Figure 3. Null-feature benchmarking across </w:t>
      </w:r>
      <w:proofErr w:type="gramStart"/>
      <w:r>
        <w:t>importance</w:t>
      </w:r>
      <w:proofErr w:type="gramEnd"/>
      <w:r>
        <w:t xml:space="preserve"> methods. Because the corrected audit yielded near-zero mean null-importance share and </w:t>
      </w:r>
      <w:proofErr w:type="gramStart"/>
      <w:r>
        <w:t>top-10</w:t>
      </w:r>
      <w:proofErr w:type="gramEnd"/>
      <w:r>
        <w:t xml:space="preserve"> null intrusion across methods, the figure emphasizes the remaining informative diagnostics: mean real-vs-null importance separation and mean rank stability. Together, these panels show the tradeoff between conservative null suppression and ranking stability across methods.</w:t>
      </w:r>
    </w:p>
    <w:p w14:paraId="37002B6D" w14:textId="77777777" w:rsidR="00DD50C6" w:rsidRDefault="00DD50C6"/>
    <w:p w14:paraId="1C8EC573" w14:textId="77777777" w:rsidR="00DD50C6" w:rsidRDefault="00000000">
      <w:pPr>
        <w:pStyle w:val="Heading1"/>
      </w:pPr>
      <w:r>
        <w:t>4. Conclusion</w:t>
      </w:r>
    </w:p>
    <w:p w14:paraId="2C397FE1" w14:textId="77777777" w:rsidR="00DD50C6" w:rsidRDefault="00DD50C6"/>
    <w:p w14:paraId="34EBAFEF" w14:textId="77777777" w:rsidR="00DD50C6" w:rsidRDefault="00000000">
      <w:pPr>
        <w:ind w:firstLine="360"/>
      </w:pPr>
      <w:r>
        <w:t>This study reframed literature-derived adsorption modeling as a reliability problem rather than a best-model contest. Random row-level validation produced substantially stronger performance estimates than grouped experiment-level and grouped study-level validation, and model rankings shifted as transfer difficulty increased across validation regimes. At the same time, mechanistic interpretation was shown to be method-sensitive, while the null-feature audit showed that ranking stability alone is not enough to judge interpretive reliability. The broader implication is that reliable environmental ML requires stress-testing both prediction and interpretation. For literature-derived grouped data, importance should be reported as predictive relevance under explicit validation assumptions and supported by complementary null-feature diagnostics, not treated as direct causal evidence.</w:t>
      </w:r>
    </w:p>
    <w:p w14:paraId="50C92B74" w14:textId="77777777" w:rsidR="00DD50C6" w:rsidRDefault="00DD50C6"/>
    <w:p w14:paraId="5094F3DB" w14:textId="77777777" w:rsidR="00DD50C6" w:rsidRDefault="00000000">
      <w:pPr>
        <w:pStyle w:val="Heading1"/>
      </w:pPr>
      <w:r>
        <w:t>Declaration of Generative AI and AI-assisted technologies in the writing process</w:t>
      </w:r>
    </w:p>
    <w:p w14:paraId="7D5BF5EA" w14:textId="77777777" w:rsidR="00DD50C6" w:rsidRDefault="00DD50C6"/>
    <w:p w14:paraId="4BF61EA6" w14:textId="77777777" w:rsidR="00DD50C6" w:rsidRDefault="00000000">
      <w:pPr>
        <w:ind w:firstLine="360"/>
      </w:pPr>
      <w:r>
        <w:t xml:space="preserve">During manuscript preparation, the authors used OpenAI Codex to support language polishing, structural revision, and consistency checks within the manuscript package. All generated or revised </w:t>
      </w:r>
      <w:proofErr w:type="gramStart"/>
      <w:r>
        <w:t>text was</w:t>
      </w:r>
      <w:proofErr w:type="gramEnd"/>
      <w:r>
        <w:t xml:space="preserve"> subsequently reviewed, edited, and approved by the authors, who take full responsibility for the submitted content.</w:t>
      </w:r>
    </w:p>
    <w:p w14:paraId="3C029DE5" w14:textId="77777777" w:rsidR="00DD50C6" w:rsidRDefault="00DD50C6"/>
    <w:p w14:paraId="4B7040FE" w14:textId="77777777" w:rsidR="00DD50C6" w:rsidRDefault="00000000">
      <w:pPr>
        <w:pStyle w:val="Heading1"/>
      </w:pPr>
      <w:r>
        <w:t>References</w:t>
      </w:r>
    </w:p>
    <w:p w14:paraId="2C7A3235" w14:textId="77777777" w:rsidR="00DD50C6" w:rsidRDefault="00DD50C6"/>
    <w:p w14:paraId="5174228E" w14:textId="77777777" w:rsidR="00C04887" w:rsidRDefault="00000000">
      <w:pPr>
        <w:ind w:firstLine="360"/>
      </w:pPr>
      <w:r>
        <w:t>References are managed in main_manuscript/references.bib. The entries cited in the revised Introduction have been added there; the final formatted reference list remains author-managed for submission.</w:t>
      </w:r>
    </w:p>
    <w:p w14:paraId="1508696A" w14:textId="77777777" w:rsidR="00C04887" w:rsidRDefault="00C04887">
      <w:pPr>
        <w:ind w:firstLine="360"/>
      </w:pPr>
    </w:p>
    <w:p w14:paraId="6CBF86D8" w14:textId="77777777" w:rsidR="00A1430C" w:rsidRPr="00A1430C" w:rsidRDefault="00C04887" w:rsidP="00A1430C">
      <w:pPr>
        <w:pStyle w:val="EndNoteBibliography"/>
        <w:spacing w:after="0"/>
        <w:ind w:left="720" w:hanging="720"/>
      </w:pPr>
      <w:r>
        <w:fldChar w:fldCharType="begin"/>
      </w:r>
      <w:r>
        <w:instrText xml:space="preserve"> ADDIN EN.REFLIST </w:instrText>
      </w:r>
      <w:r>
        <w:fldChar w:fldCharType="separate"/>
      </w:r>
      <w:r w:rsidR="00A1430C" w:rsidRPr="00A1430C">
        <w:t xml:space="preserve">Bi, S., Liu, S., Liu, E., Xiong, J., Xu, Y., Wu, R., Liu, X., Xu, J. 2024. Adsorption behavior and mechanism of heavy metals onto microplastics: A meta-analysis assisted by machine learning. </w:t>
      </w:r>
      <w:r w:rsidR="00A1430C" w:rsidRPr="00A1430C">
        <w:rPr>
          <w:i/>
        </w:rPr>
        <w:t>Environmental Pollution</w:t>
      </w:r>
      <w:r w:rsidR="00A1430C" w:rsidRPr="00A1430C">
        <w:t xml:space="preserve">, </w:t>
      </w:r>
      <w:r w:rsidR="00A1430C" w:rsidRPr="00A1430C">
        <w:rPr>
          <w:b/>
        </w:rPr>
        <w:t>360</w:t>
      </w:r>
      <w:r w:rsidR="00A1430C" w:rsidRPr="00A1430C">
        <w:t>, 124634.</w:t>
      </w:r>
    </w:p>
    <w:p w14:paraId="3B6DBF42" w14:textId="77777777" w:rsidR="00A1430C" w:rsidRPr="00A1430C" w:rsidRDefault="00A1430C" w:rsidP="00A1430C">
      <w:pPr>
        <w:pStyle w:val="EndNoteBibliography"/>
        <w:spacing w:after="0"/>
        <w:ind w:left="720" w:hanging="720"/>
      </w:pPr>
      <w:r w:rsidRPr="00A1430C">
        <w:t xml:space="preserve">Bryant, M.T., Ma, X. 2024. Machine Learning Prediction of Adsorption Behavior of Xenobiotics on Microplastics under Different Environmental Conditions. </w:t>
      </w:r>
      <w:r w:rsidRPr="00A1430C">
        <w:rPr>
          <w:i/>
        </w:rPr>
        <w:t>ACS ES&amp;T Water</w:t>
      </w:r>
      <w:r w:rsidRPr="00A1430C">
        <w:t xml:space="preserve">, </w:t>
      </w:r>
      <w:r w:rsidRPr="00A1430C">
        <w:rPr>
          <w:b/>
        </w:rPr>
        <w:t>4</w:t>
      </w:r>
      <w:r w:rsidRPr="00A1430C">
        <w:t>(3), 991-999.</w:t>
      </w:r>
    </w:p>
    <w:p w14:paraId="319A86EC" w14:textId="77777777" w:rsidR="00A1430C" w:rsidRPr="00A1430C" w:rsidRDefault="00A1430C" w:rsidP="00A1430C">
      <w:pPr>
        <w:pStyle w:val="EndNoteBibliography"/>
        <w:spacing w:after="0"/>
        <w:ind w:left="720" w:hanging="720"/>
      </w:pPr>
      <w:r w:rsidRPr="00A1430C">
        <w:t xml:space="preserve">Gong, X., Luo, S., Yang, Y., Zhou, Q. 2025. Fe(III) Adsorption onto Microplastics in Aquatic Environments: Interaction Mechanism, Influencing Factors, and Adsorption Capacity Prediction. </w:t>
      </w:r>
      <w:r w:rsidRPr="00A1430C">
        <w:rPr>
          <w:i/>
        </w:rPr>
        <w:t>Water</w:t>
      </w:r>
      <w:r w:rsidRPr="00A1430C">
        <w:t xml:space="preserve">, </w:t>
      </w:r>
      <w:r w:rsidRPr="00A1430C">
        <w:rPr>
          <w:b/>
        </w:rPr>
        <w:t>17</w:t>
      </w:r>
      <w:r w:rsidRPr="00A1430C">
        <w:t>(9), 1316.</w:t>
      </w:r>
    </w:p>
    <w:p w14:paraId="0ACD74DC" w14:textId="77777777" w:rsidR="00A1430C" w:rsidRPr="00A1430C" w:rsidRDefault="00A1430C" w:rsidP="00A1430C">
      <w:pPr>
        <w:pStyle w:val="EndNoteBibliography"/>
        <w:spacing w:after="0"/>
        <w:ind w:left="720" w:hanging="720"/>
      </w:pPr>
      <w:r w:rsidRPr="00A1430C">
        <w:t xml:space="preserve">Holmes, L.A., Turner, A., Thompson, R.C. 2012. Adsorption of trace metals to plastic resin pellets in the marine environment. </w:t>
      </w:r>
      <w:r w:rsidRPr="00A1430C">
        <w:rPr>
          <w:i/>
        </w:rPr>
        <w:t>Environmental Pollution</w:t>
      </w:r>
      <w:r w:rsidRPr="00A1430C">
        <w:t xml:space="preserve">, </w:t>
      </w:r>
      <w:r w:rsidRPr="00A1430C">
        <w:rPr>
          <w:b/>
        </w:rPr>
        <w:t>160</w:t>
      </w:r>
      <w:r w:rsidRPr="00A1430C">
        <w:t>, 42-48.</w:t>
      </w:r>
    </w:p>
    <w:p w14:paraId="7A1D15CC" w14:textId="77777777" w:rsidR="00A1430C" w:rsidRPr="00A1430C" w:rsidRDefault="00A1430C" w:rsidP="00A1430C">
      <w:pPr>
        <w:pStyle w:val="EndNoteBibliography"/>
        <w:spacing w:after="0"/>
        <w:ind w:left="720" w:hanging="720"/>
      </w:pPr>
      <w:r w:rsidRPr="00A1430C">
        <w:t xml:space="preserve">Molnar, C., König, G., Bischl, B., Casalicchio, G. 2024. Model-agnostic feature importance and effects with dependent features: a conditional subgroup approach. </w:t>
      </w:r>
      <w:r w:rsidRPr="00A1430C">
        <w:rPr>
          <w:i/>
        </w:rPr>
        <w:t>Data Mining and Knowledge Discovery</w:t>
      </w:r>
      <w:r w:rsidRPr="00A1430C">
        <w:t xml:space="preserve">, </w:t>
      </w:r>
      <w:r w:rsidRPr="00A1430C">
        <w:rPr>
          <w:b/>
        </w:rPr>
        <w:t>38</w:t>
      </w:r>
      <w:r w:rsidRPr="00A1430C">
        <w:t>(5), 2903-2941.</w:t>
      </w:r>
    </w:p>
    <w:p w14:paraId="63F90DFA" w14:textId="77777777" w:rsidR="00A1430C" w:rsidRPr="00A1430C" w:rsidRDefault="00A1430C" w:rsidP="00A1430C">
      <w:pPr>
        <w:pStyle w:val="EndNoteBibliography"/>
        <w:spacing w:after="0"/>
        <w:ind w:left="720" w:hanging="720"/>
      </w:pPr>
      <w:r w:rsidRPr="00A1430C">
        <w:t xml:space="preserve">Murdoch, W.J., Singh, C., Kumbier, K., Abbasi-Asl, R., Yu, B. 2019. Definitions, methods, and applications in interpretable machine learning. </w:t>
      </w:r>
      <w:r w:rsidRPr="00A1430C">
        <w:rPr>
          <w:i/>
        </w:rPr>
        <w:t>Proceedings of the National Academy of Sciences</w:t>
      </w:r>
      <w:r w:rsidRPr="00A1430C">
        <w:t xml:space="preserve">, </w:t>
      </w:r>
      <w:r w:rsidRPr="00A1430C">
        <w:rPr>
          <w:b/>
        </w:rPr>
        <w:t>116</w:t>
      </w:r>
      <w:r w:rsidRPr="00A1430C">
        <w:t>(44), 22071-22080.</w:t>
      </w:r>
    </w:p>
    <w:p w14:paraId="56CC2411" w14:textId="77777777" w:rsidR="00A1430C" w:rsidRPr="00A1430C" w:rsidRDefault="00A1430C" w:rsidP="00A1430C">
      <w:pPr>
        <w:pStyle w:val="EndNoteBibliography"/>
        <w:spacing w:after="0"/>
        <w:ind w:left="720" w:hanging="720"/>
      </w:pPr>
      <w:r w:rsidRPr="00A1430C">
        <w:t xml:space="preserve">Nguyen, X.C., Bui, V.K.H., Cho, K.H., Hur, J. 2023. Practical application of machine learning for organic matter and harmful algal blooms in freshwater systems: A review. </w:t>
      </w:r>
      <w:r w:rsidRPr="00A1430C">
        <w:rPr>
          <w:i/>
        </w:rPr>
        <w:t>Critical Reviews in Environmental Science and Technology</w:t>
      </w:r>
      <w:r w:rsidRPr="00A1430C">
        <w:t xml:space="preserve">, </w:t>
      </w:r>
      <w:r w:rsidRPr="00A1430C">
        <w:rPr>
          <w:b/>
        </w:rPr>
        <w:t>54</w:t>
      </w:r>
      <w:r w:rsidRPr="00A1430C">
        <w:t>, 953-975.</w:t>
      </w:r>
    </w:p>
    <w:p w14:paraId="25B55F8B" w14:textId="77777777" w:rsidR="00A1430C" w:rsidRPr="00A1430C" w:rsidRDefault="00A1430C" w:rsidP="00A1430C">
      <w:pPr>
        <w:pStyle w:val="EndNoteBibliography"/>
        <w:spacing w:after="0"/>
        <w:ind w:left="720" w:hanging="720"/>
      </w:pPr>
      <w:r w:rsidRPr="00A1430C">
        <w:t xml:space="preserve">Nguyen, X.C., Nguyen, T.T.H., Hang, N.T.T., Thai, V.N., Doan, T.O., Duong, T.T., Duong, T.N., Hwang, Y., Lam, V.S., Ly, Q.V. 2024. Insight into the Adsorption of Nutrients from Water by Pyrogenic Carbonaceous Adsorbents Using a Bootstrap Method and Machine Learning. </w:t>
      </w:r>
      <w:r w:rsidRPr="00A1430C">
        <w:rPr>
          <w:i/>
        </w:rPr>
        <w:t>ACS ES&amp;T Water</w:t>
      </w:r>
      <w:r w:rsidRPr="00A1430C">
        <w:t xml:space="preserve">, </w:t>
      </w:r>
      <w:r w:rsidRPr="00A1430C">
        <w:rPr>
          <w:b/>
        </w:rPr>
        <w:t>4</w:t>
      </w:r>
      <w:r w:rsidRPr="00A1430C">
        <w:t>(3), 869-879.</w:t>
      </w:r>
    </w:p>
    <w:p w14:paraId="127B1AFC" w14:textId="77777777" w:rsidR="00A1430C" w:rsidRPr="00A1430C" w:rsidRDefault="00A1430C" w:rsidP="00A1430C">
      <w:pPr>
        <w:pStyle w:val="EndNoteBibliography"/>
        <w:spacing w:after="0"/>
        <w:ind w:left="720" w:hanging="720"/>
      </w:pPr>
      <w:r w:rsidRPr="00A1430C">
        <w:t xml:space="preserve">Roberts, D.R., Bahn, V., Ciuti, S., Boyce, M.S., Elith, J., Guillera-Arroita, G., Hauenstein, S., Lahoz-Monfort, J.J., Schröder, B., Thuiller, W., Warton, D.I., Wintle, B.A., Hartig, F., Dormann, C.F. 2017. Cross-validation strategies for data with temporal, spatial, hierarchical, or phylogenetic structure. </w:t>
      </w:r>
      <w:r w:rsidRPr="00A1430C">
        <w:rPr>
          <w:i/>
        </w:rPr>
        <w:t>Ecography</w:t>
      </w:r>
      <w:r w:rsidRPr="00A1430C">
        <w:t xml:space="preserve">, </w:t>
      </w:r>
      <w:r w:rsidRPr="00A1430C">
        <w:rPr>
          <w:b/>
        </w:rPr>
        <w:t>40</w:t>
      </w:r>
      <w:r w:rsidRPr="00A1430C">
        <w:t>, 913-929.</w:t>
      </w:r>
    </w:p>
    <w:p w14:paraId="448A60FD" w14:textId="77777777" w:rsidR="00A1430C" w:rsidRPr="00A1430C" w:rsidRDefault="00A1430C" w:rsidP="00A1430C">
      <w:pPr>
        <w:pStyle w:val="EndNoteBibliography"/>
        <w:spacing w:after="0"/>
        <w:ind w:left="720" w:hanging="720"/>
      </w:pPr>
      <w:r w:rsidRPr="00A1430C">
        <w:lastRenderedPageBreak/>
        <w:t xml:space="preserve">Tang, S., Lin, L., Wang, X., Feng, A., Yu, A. 2020. Pb(II) uptake onto nylon microplastics: Interaction mechanism and adsorption performance. </w:t>
      </w:r>
      <w:r w:rsidRPr="00A1430C">
        <w:rPr>
          <w:i/>
        </w:rPr>
        <w:t>Journal of Hazardous Materials</w:t>
      </w:r>
      <w:r w:rsidRPr="00A1430C">
        <w:t xml:space="preserve">, </w:t>
      </w:r>
      <w:r w:rsidRPr="00A1430C">
        <w:rPr>
          <w:b/>
        </w:rPr>
        <w:t>386</w:t>
      </w:r>
      <w:r w:rsidRPr="00A1430C">
        <w:t>, 121960.</w:t>
      </w:r>
    </w:p>
    <w:p w14:paraId="711F0AC9" w14:textId="77777777" w:rsidR="00A1430C" w:rsidRPr="00A1430C" w:rsidRDefault="00A1430C" w:rsidP="00A1430C">
      <w:pPr>
        <w:pStyle w:val="EndNoteBibliography"/>
        <w:spacing w:after="0"/>
        <w:ind w:left="720" w:hanging="720"/>
      </w:pPr>
      <w:r w:rsidRPr="00A1430C">
        <w:t xml:space="preserve">Wang, Z., Wang, B., Liu, Q., Huo, X., Chang, T., Sun, J., Zhao, Z., Wang, G., Liu, J. 2025. Predicting heavy metals adsorption on microplastics and unraveling the adsorption mechanism with machine learning methods. </w:t>
      </w:r>
      <w:r w:rsidRPr="00A1430C">
        <w:rPr>
          <w:i/>
        </w:rPr>
        <w:t>Surfaces and Interfaces</w:t>
      </w:r>
      <w:r w:rsidRPr="00A1430C">
        <w:t xml:space="preserve">, </w:t>
      </w:r>
      <w:r w:rsidRPr="00A1430C">
        <w:rPr>
          <w:b/>
        </w:rPr>
        <w:t>72</w:t>
      </w:r>
      <w:r w:rsidRPr="00A1430C">
        <w:t>, 107101.</w:t>
      </w:r>
    </w:p>
    <w:p w14:paraId="463A471A" w14:textId="77777777" w:rsidR="00A1430C" w:rsidRPr="00A1430C" w:rsidRDefault="00A1430C" w:rsidP="00A1430C">
      <w:pPr>
        <w:pStyle w:val="EndNoteBibliography"/>
        <w:spacing w:after="0"/>
        <w:ind w:left="720" w:hanging="720"/>
      </w:pPr>
      <w:r w:rsidRPr="00A1430C">
        <w:t xml:space="preserve">Zhu, G., Yue, K., Ni, X., Yuan, C., Wu, F. 2023a. The types of microplastics, heavy metals, and adsorption environments control the microplastic adsorption capacity of heavy metals. </w:t>
      </w:r>
      <w:r w:rsidRPr="00A1430C">
        <w:rPr>
          <w:i/>
        </w:rPr>
        <w:t>Environmental Science and Pollution Research</w:t>
      </w:r>
      <w:r w:rsidRPr="00A1430C">
        <w:t xml:space="preserve">, </w:t>
      </w:r>
      <w:r w:rsidRPr="00A1430C">
        <w:rPr>
          <w:b/>
        </w:rPr>
        <w:t>30</w:t>
      </w:r>
      <w:r w:rsidRPr="00A1430C">
        <w:t>(33), 80807-80816.</w:t>
      </w:r>
    </w:p>
    <w:p w14:paraId="38D01ED7" w14:textId="77777777" w:rsidR="00A1430C" w:rsidRPr="00A1430C" w:rsidRDefault="00A1430C" w:rsidP="00A1430C">
      <w:pPr>
        <w:pStyle w:val="EndNoteBibliography"/>
        <w:ind w:left="720" w:hanging="720"/>
      </w:pPr>
      <w:r w:rsidRPr="00A1430C">
        <w:t xml:space="preserve">Zhu, J.-J., Yang, M., Ren, Z.J. 2023b. Machine Learning in Environmental Research: Common Pitfalls and Best Practices. </w:t>
      </w:r>
      <w:r w:rsidRPr="00A1430C">
        <w:rPr>
          <w:i/>
        </w:rPr>
        <w:t>Environmental Science &amp; Technology</w:t>
      </w:r>
      <w:r w:rsidRPr="00A1430C">
        <w:t xml:space="preserve">, </w:t>
      </w:r>
      <w:r w:rsidRPr="00A1430C">
        <w:rPr>
          <w:b/>
        </w:rPr>
        <w:t>57</w:t>
      </w:r>
      <w:r w:rsidRPr="00A1430C">
        <w:t>(46), 17671-17689.</w:t>
      </w:r>
    </w:p>
    <w:p w14:paraId="66E4DE3D" w14:textId="0D7ABDCD" w:rsidR="00DD50C6" w:rsidRDefault="00C04887">
      <w:pPr>
        <w:ind w:firstLine="360"/>
      </w:pPr>
      <w:r>
        <w:fldChar w:fldCharType="end"/>
      </w:r>
    </w:p>
    <w:sectPr w:rsidR="00DD50C6" w:rsidSect="00034616">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MS Gothic">
    <w:altName w:val="ＭＳ ゴシック"/>
    <w:panose1 w:val="020B0609070205080204"/>
    <w:charset w:val="80"/>
    <w:family w:val="modern"/>
    <w:pitch w:val="fixed"/>
    <w:sig w:usb0="E00002FF" w:usb1="6AC7FDFB" w:usb2="08000012" w:usb3="00000000" w:csb0="0002009F" w:csb1="00000000"/>
  </w:font>
  <w:font w:name="Courier">
    <w:panose1 w:val="02070409020205020404"/>
    <w:charset w:val="00"/>
    <w:family w:val="auto"/>
    <w:pitch w:val="variable"/>
    <w:sig w:usb0="00000003" w:usb1="00000000" w:usb2="00000000" w:usb3="00000000" w:csb0="00000001"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B6405300"/>
    <w:lvl w:ilvl="0">
      <w:start w:val="1"/>
      <w:numFmt w:val="bullet"/>
      <w:pStyle w:val="ListBullet"/>
      <w:lvlText w:val=""/>
      <w:lvlJc w:val="left"/>
      <w:pPr>
        <w:tabs>
          <w:tab w:val="num" w:pos="360"/>
        </w:tabs>
        <w:ind w:left="360" w:hanging="360"/>
      </w:pPr>
      <w:rPr>
        <w:rFonts w:ascii="Symbol" w:hAnsi="Symbol" w:hint="default"/>
      </w:rPr>
    </w:lvl>
  </w:abstractNum>
  <w:abstractNum w:abstractNumId="9" w15:restartNumberingAfterBreak="0">
    <w:nsid w:val="40111E53"/>
    <w:multiLevelType w:val="multilevel"/>
    <w:tmpl w:val="1732235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num w:numId="1" w16cid:durableId="1281915945">
    <w:abstractNumId w:val="8"/>
  </w:num>
  <w:num w:numId="2" w16cid:durableId="1894191147">
    <w:abstractNumId w:val="6"/>
  </w:num>
  <w:num w:numId="3" w16cid:durableId="2130128962">
    <w:abstractNumId w:val="5"/>
  </w:num>
  <w:num w:numId="4" w16cid:durableId="1662657902">
    <w:abstractNumId w:val="4"/>
  </w:num>
  <w:num w:numId="5" w16cid:durableId="46225823">
    <w:abstractNumId w:val="7"/>
  </w:num>
  <w:num w:numId="6" w16cid:durableId="609432584">
    <w:abstractNumId w:val="3"/>
  </w:num>
  <w:num w:numId="7" w16cid:durableId="1288781561">
    <w:abstractNumId w:val="2"/>
  </w:num>
  <w:num w:numId="8" w16cid:durableId="876312451">
    <w:abstractNumId w:val="1"/>
  </w:num>
  <w:num w:numId="9" w16cid:durableId="941181344">
    <w:abstractNumId w:val="0"/>
  </w:num>
  <w:num w:numId="10" w16cid:durableId="612588826">
    <w:abstractNumId w:val="9"/>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50"/>
  <w:proofState w:spelling="clean" w:grammar="clean"/>
  <w:defaultTabStop w:val="720"/>
  <w:characterSpacingControl w:val="doNotCompress"/>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useWord2013TrackBottomHyphenation" w:uri="http://schemas.microsoft.com/office/word" w:val="1"/>
  </w:compat>
  <w:docVars>
    <w:docVar w:name="EN.InstantFormat" w:val="&lt;ENInstantFormat&gt;&lt;Enabled&gt;1&lt;/Enabled&gt;&lt;ScanUnformatted&gt;1&lt;/ScanUnformatted&gt;&lt;ScanChanges&gt;1&lt;/ScanChanges&gt;&lt;Suspended&gt;0&lt;/Suspended&gt;&lt;/ENInstantFormat&gt;"/>
    <w:docVar w:name="EN.Layout" w:val="&lt;ENLayout&gt;&lt;Style&gt;Bioresource Tech&lt;/Style&gt;&lt;LeftDelim&gt;{&lt;/LeftDelim&gt;&lt;RightDelim&gt;}&lt;/RightDelim&gt;&lt;FontName&gt;Times New Roman&lt;/FontName&gt;&lt;FontSize&gt;11&lt;/FontSize&gt;&lt;ReflistTitle&gt;&lt;/ReflistTitle&gt;&lt;StartingRefnum&gt;1&lt;/StartingRefnum&gt;&lt;FirstLineIndent&gt;0&lt;/FirstLineIndent&gt;&lt;HangingIndent&gt;720&lt;/HangingIndent&gt;&lt;LineSpacing&gt;0&lt;/LineSpacing&gt;&lt;SpaceAfter&gt;0&lt;/SpaceAfter&gt;&lt;HyperlinksEnabled&gt;0&lt;/HyperlinksEnabled&gt;&lt;HyperlinksVisible&gt;0&lt;/HyperlinksVisible&gt;&lt;EnableBibliographyCategories&gt;0&lt;/EnableBibliographyCategories&gt;&lt;/ENLayout&gt;"/>
    <w:docVar w:name="EN.Libraries" w:val="&lt;Libraries&gt;&lt;item db-id=&quot;efe500tem95wwjerpsvvx0p4peszwr2t9epv&quot;&gt;Reference-Converted Copy&lt;record-ids&gt;&lt;item&gt;14337&lt;/item&gt;&lt;item&gt;14561&lt;/item&gt;&lt;item&gt;19018&lt;/item&gt;&lt;item&gt;19019&lt;/item&gt;&lt;item&gt;19020&lt;/item&gt;&lt;item&gt;19021&lt;/item&gt;&lt;item&gt;19022&lt;/item&gt;&lt;item&gt;19023&lt;/item&gt;&lt;item&gt;19024&lt;/item&gt;&lt;item&gt;19025&lt;/item&gt;&lt;item&gt;19026&lt;/item&gt;&lt;item&gt;19027&lt;/item&gt;&lt;item&gt;19028&lt;/item&gt;&lt;/record-ids&gt;&lt;/item&gt;&lt;/Libraries&gt;"/>
  </w:docVars>
  <w:rsids>
    <w:rsidRoot w:val="00B47730"/>
    <w:rsid w:val="00022288"/>
    <w:rsid w:val="00034616"/>
    <w:rsid w:val="00040F11"/>
    <w:rsid w:val="0006063C"/>
    <w:rsid w:val="000E7170"/>
    <w:rsid w:val="0015074B"/>
    <w:rsid w:val="0029639D"/>
    <w:rsid w:val="002A5D14"/>
    <w:rsid w:val="00326F90"/>
    <w:rsid w:val="003E2D5C"/>
    <w:rsid w:val="003E49D5"/>
    <w:rsid w:val="00484B2A"/>
    <w:rsid w:val="00494B4E"/>
    <w:rsid w:val="00497DCC"/>
    <w:rsid w:val="004F6FFA"/>
    <w:rsid w:val="00507436"/>
    <w:rsid w:val="00555AD6"/>
    <w:rsid w:val="00571669"/>
    <w:rsid w:val="00622DAB"/>
    <w:rsid w:val="0066550D"/>
    <w:rsid w:val="006F6BA1"/>
    <w:rsid w:val="00757BED"/>
    <w:rsid w:val="00812A9F"/>
    <w:rsid w:val="008A3398"/>
    <w:rsid w:val="009262F8"/>
    <w:rsid w:val="0098305A"/>
    <w:rsid w:val="009D075A"/>
    <w:rsid w:val="009D17A5"/>
    <w:rsid w:val="00A1430C"/>
    <w:rsid w:val="00A25C54"/>
    <w:rsid w:val="00AA1D8D"/>
    <w:rsid w:val="00B47730"/>
    <w:rsid w:val="00BF6432"/>
    <w:rsid w:val="00C04887"/>
    <w:rsid w:val="00C1276A"/>
    <w:rsid w:val="00C271F8"/>
    <w:rsid w:val="00C306E7"/>
    <w:rsid w:val="00C55FF4"/>
    <w:rsid w:val="00CB0664"/>
    <w:rsid w:val="00DD50C6"/>
    <w:rsid w:val="00DD6B96"/>
    <w:rsid w:val="00F92B51"/>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493C77BF"/>
  <w14:defaultImageDpi w14:val="300"/>
  <w15:docId w15:val="{9174FC79-E603-4138-9D4B-59911CDF19DB}"/>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C1276A"/>
    <w:pPr>
      <w:spacing w:before="120" w:after="120" w:line="480" w:lineRule="auto"/>
      <w:jc w:val="both"/>
    </w:pPr>
    <w:rPr>
      <w:rFonts w:ascii="Times New Roman" w:eastAsia="Times New Roman" w:hAnsi="Times New Roman"/>
      <w:sz w:val="24"/>
    </w:rPr>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b/>
      <w:color w:val="17365D" w:themeColor="text2" w:themeShade="BF"/>
      <w:spacing w:val="5"/>
      <w:kern w:val="28"/>
      <w:sz w:val="3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ind w:left="360"/>
      <w:contextualSpacing/>
    </w:pPr>
  </w:style>
  <w:style w:type="paragraph" w:styleId="ListContinue2">
    <w:name w:val="List Continue 2"/>
    <w:basedOn w:val="Normal"/>
    <w:uiPriority w:val="99"/>
    <w:unhideWhenUsed/>
    <w:rsid w:val="0029639D"/>
    <w:pPr>
      <w:ind w:left="720"/>
      <w:contextualSpacing/>
    </w:pPr>
  </w:style>
  <w:style w:type="paragraph" w:styleId="ListContinue3">
    <w:name w:val="List Continue 3"/>
    <w:basedOn w:val="Normal"/>
    <w:uiPriority w:val="99"/>
    <w:unhideWhenUsed/>
    <w:rsid w:val="0029639D"/>
    <w:pPr>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paragraph" w:customStyle="1" w:styleId="EndNoteBibliographyTitle">
    <w:name w:val="EndNote Bibliography Title"/>
    <w:basedOn w:val="Normal"/>
    <w:link w:val="EndNoteBibliographyTitleChar"/>
    <w:rsid w:val="00C04887"/>
    <w:pPr>
      <w:spacing w:after="0"/>
      <w:jc w:val="center"/>
    </w:pPr>
    <w:rPr>
      <w:rFonts w:cs="Times New Roman"/>
      <w:noProof/>
      <w:sz w:val="22"/>
    </w:rPr>
  </w:style>
  <w:style w:type="character" w:customStyle="1" w:styleId="EndNoteBibliographyTitleChar">
    <w:name w:val="EndNote Bibliography Title Char"/>
    <w:basedOn w:val="DefaultParagraphFont"/>
    <w:link w:val="EndNoteBibliographyTitle"/>
    <w:rsid w:val="00C04887"/>
    <w:rPr>
      <w:rFonts w:ascii="Times New Roman" w:eastAsia="Times New Roman" w:hAnsi="Times New Roman" w:cs="Times New Roman"/>
      <w:noProof/>
    </w:rPr>
  </w:style>
  <w:style w:type="paragraph" w:customStyle="1" w:styleId="EndNoteBibliography">
    <w:name w:val="EndNote Bibliography"/>
    <w:basedOn w:val="Normal"/>
    <w:link w:val="EndNoteBibliographyChar"/>
    <w:rsid w:val="00C04887"/>
    <w:pPr>
      <w:spacing w:line="240" w:lineRule="auto"/>
    </w:pPr>
    <w:rPr>
      <w:rFonts w:cs="Times New Roman"/>
      <w:noProof/>
      <w:sz w:val="22"/>
    </w:rPr>
  </w:style>
  <w:style w:type="character" w:customStyle="1" w:styleId="EndNoteBibliographyChar">
    <w:name w:val="EndNote Bibliography Char"/>
    <w:basedOn w:val="DefaultParagraphFont"/>
    <w:link w:val="EndNoteBibliography"/>
    <w:rsid w:val="00C04887"/>
    <w:rPr>
      <w:rFonts w:ascii="Times New Roman" w:eastAsia="Times New Roman" w:hAnsi="Times New Roman" w:cs="Times New Roman"/>
      <w:noProof/>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relyOnVML/>
  <w:allowPNG/>
</w:webSettings>
</file>

<file path=word/_rels/document.xml.rels><?xml version="1.0" encoding="UTF-8" standalone="yes"?>
<Relationships xmlns="http://schemas.openxmlformats.org/package/2006/relationships"><Relationship Id="rId8" Type="http://schemas.openxmlformats.org/officeDocument/2006/relationships/image" Target="media/image3.png"/><Relationship Id="rId3" Type="http://schemas.openxmlformats.org/officeDocument/2006/relationships/styles" Target="styles.xml"/><Relationship Id="rId7" Type="http://schemas.openxmlformats.org/officeDocument/2006/relationships/image" Target="media/image2.jpeg"/><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image" Target="media/image1.jpeg"/><Relationship Id="rId5" Type="http://schemas.openxmlformats.org/officeDocument/2006/relationships/webSettings" Target="webSettings.xml"/><Relationship Id="rId10" Type="http://schemas.openxmlformats.org/officeDocument/2006/relationships/theme" Target="theme/theme1.xml"/><Relationship Id="rId4" Type="http://schemas.openxmlformats.org/officeDocument/2006/relationships/settings" Target="settings.xml"/><Relationship Id="rId9" Type="http://schemas.openxmlformats.org/officeDocument/2006/relationships/fontTable" Target="fontTable.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16</TotalTime>
  <Pages>19</Pages>
  <Words>3906</Words>
  <Characters>24846</Characters>
  <Application>Microsoft Office Word</Application>
  <DocSecurity>0</DocSecurity>
  <Lines>394</Lines>
  <Paragraphs>76</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28676</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nguyen xuan cuong</cp:lastModifiedBy>
  <cp:revision>8</cp:revision>
  <dcterms:created xsi:type="dcterms:W3CDTF">2026-03-18T23:29:00Z</dcterms:created>
  <dcterms:modified xsi:type="dcterms:W3CDTF">2026-03-18T23:59:00Z</dcterms:modified>
  <cp:category/>
</cp:coreProperties>
</file>

<file path=docProps/custom.xml><?xml version="1.0" encoding="utf-8"?>
<Properties xmlns="http://schemas.openxmlformats.org/officeDocument/2006/custom-properties" xmlns:vt="http://schemas.openxmlformats.org/officeDocument/2006/docPropsVTypes">
  <property fmtid="{D5CDD505-2E9C-101B-9397-08002B2CF9AE}" pid="2" name="GrammarlyDocumentId">
    <vt:lpwstr>9ca3f43e-b6a2-4ea9-99a3-ccc825648aca</vt:lpwstr>
  </property>
</Properties>
</file>