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Information</w:t>
      </w:r>
    </w:p>
    <w:p/>
    <w:p>
      <w:pPr>
        <w:pStyle w:val="Heading1"/>
        <w:jc w:val="left"/>
      </w:pPr>
      <w:r>
        <w:t>S1. Supplementary Methods</w:t>
      </w:r>
    </w:p>
    <w:p/>
    <w:p>
      <w:pPr>
        <w:pStyle w:val="Heading2"/>
        <w:jc w:val="left"/>
      </w:pPr>
      <w:r>
        <w:t>S1.1. Fresh-study boundary</w:t>
      </w:r>
    </w:p>
    <w:p/>
    <w:p>
      <w:pPr>
        <w:ind w:firstLine="360"/>
        <w:jc w:val="both"/>
      </w:pPr>
      <w:r>
        <w:t>The supplementary analysis belongs to the adsorption_reliability_study layer and does not inherit any quantitative result from the legacy benchmark package. Only the final cleaned dataset, feature inventory, and metadata registry were reused as inputs.</w:t>
      </w:r>
    </w:p>
    <w:p/>
    <w:p>
      <w:pPr>
        <w:pStyle w:val="Heading2"/>
        <w:jc w:val="left"/>
      </w:pPr>
      <w:r>
        <w:t>S1.2. Dataset structure</w:t>
      </w:r>
    </w:p>
    <w:p/>
    <w:p>
      <w:pPr>
        <w:ind w:firstLine="360"/>
        <w:jc w:val="both"/>
      </w:pPr>
      <w:r>
        <w:t>The locked modeling dataset contains 1009 rows, 23 study identifiers, and 149 experiment identifiers. Median rows per study are 38, and median rows per experiment are 6. The final response variable is qe, and the predictor space contains 25 real variables before synthetic null-feature augmentation. Variable definitions, units, and missingness are reported in Table S1.</w:t>
      </w:r>
    </w:p>
    <w:p/>
    <w:p>
      <w:pPr>
        <w:pStyle w:val="Heading2"/>
        <w:jc w:val="left"/>
      </w:pPr>
      <w:r>
        <w:t>S1.3. Validation regimes</w:t>
      </w:r>
    </w:p>
    <w:p/>
    <w:p>
      <w:pPr>
        <w:ind w:firstLine="360"/>
        <w:jc w:val="both"/>
      </w:pPr>
      <w:r>
        <w:t>The primary hierarchy used for hypothesis testing was random_cv -&gt; group_exp -&gt; group_aut.</w:t>
      </w:r>
    </w:p>
    <w:p/>
    <w:p>
      <w:pPr>
        <w:pStyle w:val="Heading2"/>
        <w:jc w:val="left"/>
      </w:pPr>
      <w:r>
        <w:t>S1.4. Interpretation stress testing</w:t>
      </w:r>
    </w:p>
    <w:p/>
    <w:p>
      <w:pPr>
        <w:ind w:firstLine="360"/>
        <w:jc w:val="both"/>
      </w:pPr>
      <w:r>
        <w:t>Seven synthetic null features were added for RQ2: three random noise features, two permuted real features, and two group-aware random-effect features keyed to studies and experiments. These features were used only to audit interpretation fragility.</w:t>
      </w:r>
    </w:p>
    <w:p/>
    <w:p>
      <w:pPr>
        <w:pStyle w:val="Heading2"/>
        <w:jc w:val="left"/>
      </w:pPr>
      <w:r>
        <w:t>Text S1. Synthetic null features</w:t>
      </w:r>
    </w:p>
    <w:p/>
    <w:p>
      <w:pPr>
        <w:ind w:firstLine="360"/>
        <w:jc w:val="both"/>
      </w:pPr>
      <w:r>
        <w:t>Synthetic null features were appended only for interpretation diagnostics. By construction, these variables have no causal link to qe and were used as negative controls to test whether feature-importance methods assign importance to predictors that should not carry adsorption mechanism information. They were not treated as physical drivers and were excluded from mechanistic interpretation.</w:t>
      </w:r>
    </w:p>
    <w:p/>
    <w:p>
      <w:pPr>
        <w:ind w:firstLine="360"/>
        <w:jc w:val="both"/>
      </w:pPr>
      <w:r>
        <w:t>Three null-feature classes were used. First, pure-noise variables were sampled independently for each row. Second, permuted variables were created by shuffling observed predictors, preserving their marginal distributions while breaking row-level association with qe. Third, group-aware nulls were keyed to aut_id or exp_id to mimic grouped structure without encoding adsorption chemistry. The seven synthetic null features are listed in Table S2, summary statistics are reported in Table S3, and Table S4 shows the augmented dataset structure. As expected, row-wise nulls had near-zero correlation with qe, whereas group-aware nulls could still show incidental sample-level correlation because they track grouped identifiers rather than adsorption chemistry. These variables were used for diagnostics only.</w:t>
      </w:r>
    </w:p>
    <w:p/>
    <w:p>
      <w:pPr>
        <w:pStyle w:val="Heading1"/>
        <w:jc w:val="left"/>
      </w:pPr>
      <w:r>
        <w:t>S2. Supplementary Results</w:t>
      </w:r>
    </w:p>
    <w:p/>
    <w:p>
      <w:pPr>
        <w:pStyle w:val="Heading2"/>
        <w:jc w:val="left"/>
      </w:pPr>
      <w:r>
        <w:t>S2.1. Full performance table</w:t>
      </w:r>
    </w:p>
    <w:p/>
    <w:p>
      <w:pPr>
        <w:ind w:firstLine="360"/>
        <w:jc w:val="both"/>
      </w:pPr>
      <w:r>
        <w:t>After restoring the legacy higher-capacity training pipeline, the neural baseline was strongest under random_cv, LGBM was strongest under group_exp, and EN had the lowest mean RMSE under group_aut. Figure S1 shows the same validation hierarchy on the R2 scale and supports the interpretation of main-text Figure 1A: random_cv yields the strongest apparent fit, group_exp weakens performance, and study-level transfer drives all models toward much poorer or negative R2, with an extreme collapse for MLP. Because the grouped summaries rely on only five folds and show substantial dispersion, these comparisons should be interpreted descriptively rather than as formal significance-tested rankings.</w:t>
      </w:r>
    </w:p>
    <w:p/>
    <w:p>
      <w:pPr>
        <w:pStyle w:val="Heading2"/>
        <w:jc w:val="left"/>
      </w:pPr>
      <w:r>
        <w:t>S2.2. Reliability ranking of importance methods</w:t>
      </w:r>
    </w:p>
    <w:p/>
    <w:p>
      <w:pPr>
        <w:ind w:firstLine="360"/>
        <w:jc w:val="both"/>
      </w:pPr>
      <w:r>
        <w:t>After correcting the null-feature audit, EN coefficient magnitude ranked highest in the current reliability table because it combined sparsity with near-complete null suppression. SHAP remained more interpretable than gain in a mechanism sense, but not fully null-free. LGBM built-in gain stayed highly stable across splits, yet it also showed the largest null-importance share overall, indicating that rank stability alone can be misleading. These results still argue for method triangulation rather than single-method interpretation, especially when higher-order engineered terms are present in the feature space.</w:t>
      </w:r>
    </w:p>
    <w:p/>
    <w:p>
      <w:pPr>
        <w:pStyle w:val="Heading2"/>
        <w:jc w:val="left"/>
      </w:pPr>
      <w:r>
        <w:t>S2.3. Mechanism-group comparison</w:t>
      </w:r>
    </w:p>
    <w:p/>
    <w:p>
      <w:pPr>
        <w:ind w:firstLine="360"/>
        <w:jc w:val="both"/>
      </w:pPr>
      <w:r>
        <w:t>Solution-chemistry variables were the most persistent broad signal across methods, but the weight assigned to aging, surface area, polymer identity, metal identity, and higher-order engineered terms varied meaningfully by method. Main-text mechanism visualizations therefore exclude synthetic null features, while the null benchmark is reported separately. This indicates that broad mechanism-group agreement is more reliable than highly specific rank claims for individual features.</w:t>
      </w:r>
    </w:p>
    <w:p/>
    <w:p>
      <w:pPr>
        <w:pStyle w:val="Heading1"/>
        <w:jc w:val="left"/>
      </w:pPr>
      <w:r>
        <w:t>S3. Supplementary Figures</w:t>
      </w:r>
    </w:p>
    <w:p/>
    <w:p>
      <w:pPr>
        <w:pStyle w:val="ListBullet"/>
        <w:jc w:val="left"/>
      </w:pPr>
      <w:r>
        <w:t>Figure S1. Validation hierarchy on the R2 scale across random_cv, group_exp, and group_aut.</w:t>
      </w:r>
    </w:p>
    <w:p>
      <w:pPr>
        <w:jc w:val="center"/>
      </w:pPr>
      <w:r>
        <w:drawing>
          <wp:inline xmlns:a="http://schemas.openxmlformats.org/drawingml/2006/main" xmlns:pic="http://schemas.openxmlformats.org/drawingml/2006/picture">
            <wp:extent cx="8046720" cy="4389120"/>
            <wp:docPr id="1" name="Picture 1"/>
            <wp:cNvGraphicFramePr>
              <a:graphicFrameLocks noChangeAspect="1"/>
            </wp:cNvGraphicFramePr>
            <a:graphic>
              <a:graphicData uri="http://schemas.openxmlformats.org/drawingml/2006/picture">
                <pic:pic>
                  <pic:nvPicPr>
                    <pic:cNvPr id="0" name="sifig01_00_validation_hierarchy_r2.tiff"/>
                    <pic:cNvPicPr/>
                  </pic:nvPicPr>
                  <pic:blipFill>
                    <a:blip r:embed="rId9"/>
                    <a:stretch>
                      <a:fillRect/>
                    </a:stretch>
                  </pic:blipFill>
                  <pic:spPr>
                    <a:xfrm>
                      <a:off x="0" y="0"/>
                      <a:ext cx="8046720" cy="4389120"/>
                    </a:xfrm>
                    <a:prstGeom prst="rect"/>
                  </pic:spPr>
                </pic:pic>
              </a:graphicData>
            </a:graphic>
          </wp:inline>
        </w:drawing>
      </w:r>
    </w:p>
    <w:p>
      <w:r>
        <w:br w:type="page"/>
      </w:r>
    </w:p>
    <w:p>
      <w:pPr>
        <w:pStyle w:val="ListBullet"/>
        <w:jc w:val="left"/>
      </w:pPr>
      <w:r>
        <w:t>Figure S2. Importance stability heatmap across methods and validation regimes.</w:t>
      </w:r>
    </w:p>
    <w:p>
      <w:pPr>
        <w:jc w:val="center"/>
      </w:pPr>
      <w:r>
        <w:drawing>
          <wp:inline xmlns:a="http://schemas.openxmlformats.org/drawingml/2006/main" xmlns:pic="http://schemas.openxmlformats.org/drawingml/2006/picture">
            <wp:extent cx="8046720" cy="4526280"/>
            <wp:docPr id="2" name="Picture 2"/>
            <wp:cNvGraphicFramePr>
              <a:graphicFrameLocks noChangeAspect="1"/>
            </wp:cNvGraphicFramePr>
            <a:graphic>
              <a:graphicData uri="http://schemas.openxmlformats.org/drawingml/2006/picture">
                <pic:pic>
                  <pic:nvPicPr>
                    <pic:cNvPr id="0" name="sifig02_importance_stability_heatmap.tiff"/>
                    <pic:cNvPicPr/>
                  </pic:nvPicPr>
                  <pic:blipFill>
                    <a:blip r:embed="rId10"/>
                    <a:stretch>
                      <a:fillRect/>
                    </a:stretch>
                  </pic:blipFill>
                  <pic:spPr>
                    <a:xfrm>
                      <a:off x="0" y="0"/>
                      <a:ext cx="8046720" cy="4526280"/>
                    </a:xfrm>
                    <a:prstGeom prst="rect"/>
                  </pic:spPr>
                </pic:pic>
              </a:graphicData>
            </a:graphic>
          </wp:inline>
        </w:drawing>
      </w:r>
    </w:p>
    <w:p/>
    <w:p>
      <w:pPr>
        <w:pStyle w:val="Heading1"/>
        <w:jc w:val="left"/>
      </w:pPr>
      <w:r>
        <w:t>S4. Supplementary Tables</w:t>
      </w:r>
    </w:p>
    <w:p/>
    <w:p>
      <w:r>
        <w:br w:type="page"/>
      </w:r>
    </w:p>
    <w:p>
      <w:pPr>
        <w:pStyle w:val="ListBullet"/>
        <w:jc w:val="left"/>
      </w:pPr>
      <w:r>
        <w:t>Table S1. Dataset variable summary, including definitions, units, and missingness.</w:t>
      </w:r>
    </w:p>
    <w:p>
      <w:pPr>
        <w:jc w:val="center"/>
      </w:pPr>
      <w:r>
        <w:drawing>
          <wp:inline xmlns:a="http://schemas.openxmlformats.org/drawingml/2006/main" xmlns:pic="http://schemas.openxmlformats.org/drawingml/2006/picture">
            <wp:extent cx="8046720" cy="6217920"/>
            <wp:docPr id="3" name="Picture 3"/>
            <wp:cNvGraphicFramePr>
              <a:graphicFrameLocks noChangeAspect="1"/>
            </wp:cNvGraphicFramePr>
            <a:graphic>
              <a:graphicData uri="http://schemas.openxmlformats.org/drawingml/2006/picture">
                <pic:pic>
                  <pic:nvPicPr>
                    <pic:cNvPr id="0" name="tableS1_dataset_variable_summary_p01.jpg"/>
                    <pic:cNvPicPr/>
                  </pic:nvPicPr>
                  <pic:blipFill>
                    <a:blip r:embed="rId11"/>
                    <a:stretch>
                      <a:fillRect/>
                    </a:stretch>
                  </pic:blipFill>
                  <pic:spPr>
                    <a:xfrm>
                      <a:off x="0" y="0"/>
                      <a:ext cx="8046720" cy="6217920"/>
                    </a:xfrm>
                    <a:prstGeom prst="rect"/>
                  </pic:spPr>
                </pic:pic>
              </a:graphicData>
            </a:graphic>
          </wp:inline>
        </w:drawing>
      </w:r>
    </w:p>
    <w:p>
      <w:r>
        <w:br w:type="page"/>
      </w:r>
    </w:p>
    <w:p>
      <w:pPr>
        <w:pStyle w:val="ListBullet"/>
        <w:jc w:val="left"/>
      </w:pPr>
      <w:r>
        <w:t>Table S2. Synthetic null-feature catalog, including feature name, type, and construction.</w:t>
      </w:r>
    </w:p>
    <w:p>
      <w:pPr>
        <w:jc w:val="center"/>
      </w:pPr>
      <w:r>
        <w:drawing>
          <wp:inline xmlns:a="http://schemas.openxmlformats.org/drawingml/2006/main" xmlns:pic="http://schemas.openxmlformats.org/drawingml/2006/picture">
            <wp:extent cx="8046720" cy="6217920"/>
            <wp:docPr id="4" name="Picture 4"/>
            <wp:cNvGraphicFramePr>
              <a:graphicFrameLocks noChangeAspect="1"/>
            </wp:cNvGraphicFramePr>
            <a:graphic>
              <a:graphicData uri="http://schemas.openxmlformats.org/drawingml/2006/picture">
                <pic:pic>
                  <pic:nvPicPr>
                    <pic:cNvPr id="0" name="tableS2_null_feature_catalog_p01.jpg"/>
                    <pic:cNvPicPr/>
                  </pic:nvPicPr>
                  <pic:blipFill>
                    <a:blip r:embed="rId12"/>
                    <a:stretch>
                      <a:fillRect/>
                    </a:stretch>
                  </pic:blipFill>
                  <pic:spPr>
                    <a:xfrm>
                      <a:off x="0" y="0"/>
                      <a:ext cx="8046720" cy="6217920"/>
                    </a:xfrm>
                    <a:prstGeom prst="rect"/>
                  </pic:spPr>
                </pic:pic>
              </a:graphicData>
            </a:graphic>
          </wp:inline>
        </w:drawing>
      </w:r>
    </w:p>
    <w:p>
      <w:r>
        <w:br w:type="page"/>
      </w:r>
    </w:p>
    <w:p>
      <w:pPr>
        <w:pStyle w:val="ListBullet"/>
        <w:jc w:val="left"/>
      </w:pPr>
      <w:r>
        <w:t>Table S3. Summary statistics for synthetic null features, including mean, standard deviation, and Pearson correlation with qe.</w:t>
      </w:r>
    </w:p>
    <w:p>
      <w:pPr>
        <w:jc w:val="center"/>
      </w:pPr>
      <w:r>
        <w:drawing>
          <wp:inline xmlns:a="http://schemas.openxmlformats.org/drawingml/2006/main" xmlns:pic="http://schemas.openxmlformats.org/drawingml/2006/picture">
            <wp:extent cx="8046720" cy="6217920"/>
            <wp:docPr id="5" name="Picture 5"/>
            <wp:cNvGraphicFramePr>
              <a:graphicFrameLocks noChangeAspect="1"/>
            </wp:cNvGraphicFramePr>
            <a:graphic>
              <a:graphicData uri="http://schemas.openxmlformats.org/drawingml/2006/picture">
                <pic:pic>
                  <pic:nvPicPr>
                    <pic:cNvPr id="0" name="tableS3_null_feature_summary_stats_p01.jpg"/>
                    <pic:cNvPicPr/>
                  </pic:nvPicPr>
                  <pic:blipFill>
                    <a:blip r:embed="rId13"/>
                    <a:stretch>
                      <a:fillRect/>
                    </a:stretch>
                  </pic:blipFill>
                  <pic:spPr>
                    <a:xfrm>
                      <a:off x="0" y="0"/>
                      <a:ext cx="8046720" cy="6217920"/>
                    </a:xfrm>
                    <a:prstGeom prst="rect"/>
                  </pic:spPr>
                </pic:pic>
              </a:graphicData>
            </a:graphic>
          </wp:inline>
        </w:drawing>
      </w:r>
    </w:p>
    <w:p>
      <w:r>
        <w:br w:type="page"/>
      </w:r>
    </w:p>
    <w:p>
      <w:pPr>
        <w:pStyle w:val="ListBullet"/>
        <w:jc w:val="left"/>
      </w:pPr>
      <w:r>
        <w:t>Table S4. Example rows from the augmented dataset showing the appended synthetic null features.</w:t>
      </w:r>
    </w:p>
    <w:p>
      <w:pPr>
        <w:jc w:val="center"/>
      </w:pPr>
      <w:r>
        <w:drawing>
          <wp:inline xmlns:a="http://schemas.openxmlformats.org/drawingml/2006/main" xmlns:pic="http://schemas.openxmlformats.org/drawingml/2006/picture">
            <wp:extent cx="8046720" cy="6217920"/>
            <wp:docPr id="6" name="Picture 6"/>
            <wp:cNvGraphicFramePr>
              <a:graphicFrameLocks noChangeAspect="1"/>
            </wp:cNvGraphicFramePr>
            <a:graphic>
              <a:graphicData uri="http://schemas.openxmlformats.org/drawingml/2006/picture">
                <pic:pic>
                  <pic:nvPicPr>
                    <pic:cNvPr id="0" name="tableS4_null_feature_example_structure_p01.jpg"/>
                    <pic:cNvPicPr/>
                  </pic:nvPicPr>
                  <pic:blipFill>
                    <a:blip r:embed="rId14"/>
                    <a:stretch>
                      <a:fillRect/>
                    </a:stretch>
                  </pic:blipFill>
                  <pic:spPr>
                    <a:xfrm>
                      <a:off x="0" y="0"/>
                      <a:ext cx="8046720" cy="6217920"/>
                    </a:xfrm>
                    <a:prstGeom prst="rect"/>
                  </pic:spPr>
                </pic:pic>
              </a:graphicData>
            </a:graphic>
          </wp:inline>
        </w:drawing>
      </w:r>
    </w:p>
    <w:p>
      <w:r>
        <w:br w:type="page"/>
      </w:r>
    </w:p>
    <w:p>
      <w:pPr>
        <w:pStyle w:val="ListBullet"/>
        <w:jc w:val="left"/>
      </w:pPr>
      <w:r>
        <w:t>Table S5. Feature-importance method reliability summary.</w:t>
      </w:r>
    </w:p>
    <w:p>
      <w:pPr>
        <w:jc w:val="center"/>
      </w:pPr>
      <w:r>
        <w:drawing>
          <wp:inline xmlns:a="http://schemas.openxmlformats.org/drawingml/2006/main" xmlns:pic="http://schemas.openxmlformats.org/drawingml/2006/picture">
            <wp:extent cx="8046720" cy="6217920"/>
            <wp:docPr id="7" name="Picture 7"/>
            <wp:cNvGraphicFramePr>
              <a:graphicFrameLocks noChangeAspect="1"/>
            </wp:cNvGraphicFramePr>
            <a:graphic>
              <a:graphicData uri="http://schemas.openxmlformats.org/drawingml/2006/picture">
                <pic:pic>
                  <pic:nvPicPr>
                    <pic:cNvPr id="0" name="tableS5_feature_importance_method_reliability_p01.jpg"/>
                    <pic:cNvPicPr/>
                  </pic:nvPicPr>
                  <pic:blipFill>
                    <a:blip r:embed="rId15"/>
                    <a:stretch>
                      <a:fillRect/>
                    </a:stretch>
                  </pic:blipFill>
                  <pic:spPr>
                    <a:xfrm>
                      <a:off x="0" y="0"/>
                      <a:ext cx="8046720" cy="6217920"/>
                    </a:xfrm>
                    <a:prstGeom prst="rect"/>
                  </pic:spPr>
                </pic:pic>
              </a:graphicData>
            </a:graphic>
          </wp:inline>
        </w:drawing>
      </w:r>
    </w:p>
    <w:p>
      <w:r>
        <w:br w:type="page"/>
      </w:r>
    </w:p>
    <w:p>
      <w:pPr>
        <w:pStyle w:val="ListBullet"/>
        <w:jc w:val="left"/>
      </w:pPr>
      <w:r>
        <w:t>Table S6. Mechanism-group importance summary across methods and regimes.</w:t>
      </w:r>
    </w:p>
    <w:p>
      <w:pPr>
        <w:jc w:val="center"/>
      </w:pPr>
      <w:r>
        <w:drawing>
          <wp:inline xmlns:a="http://schemas.openxmlformats.org/drawingml/2006/main" xmlns:pic="http://schemas.openxmlformats.org/drawingml/2006/picture">
            <wp:extent cx="8046720" cy="6217920"/>
            <wp:docPr id="8" name="Picture 8"/>
            <wp:cNvGraphicFramePr>
              <a:graphicFrameLocks noChangeAspect="1"/>
            </wp:cNvGraphicFramePr>
            <a:graphic>
              <a:graphicData uri="http://schemas.openxmlformats.org/drawingml/2006/picture">
                <pic:pic>
                  <pic:nvPicPr>
                    <pic:cNvPr id="0" name="tableS6_mechanism_group_importance_p01.jpg"/>
                    <pic:cNvPicPr/>
                  </pic:nvPicPr>
                  <pic:blipFill>
                    <a:blip r:embed="rId16"/>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9" name="Picture 9"/>
            <wp:cNvGraphicFramePr>
              <a:graphicFrameLocks noChangeAspect="1"/>
            </wp:cNvGraphicFramePr>
            <a:graphic>
              <a:graphicData uri="http://schemas.openxmlformats.org/drawingml/2006/picture">
                <pic:pic>
                  <pic:nvPicPr>
                    <pic:cNvPr id="0" name="tableS6_mechanism_group_importance_p02.jpg"/>
                    <pic:cNvPicPr/>
                  </pic:nvPicPr>
                  <pic:blipFill>
                    <a:blip r:embed="rId17"/>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0" name="Picture 10"/>
            <wp:cNvGraphicFramePr>
              <a:graphicFrameLocks noChangeAspect="1"/>
            </wp:cNvGraphicFramePr>
            <a:graphic>
              <a:graphicData uri="http://schemas.openxmlformats.org/drawingml/2006/picture">
                <pic:pic>
                  <pic:nvPicPr>
                    <pic:cNvPr id="0" name="tableS6_mechanism_group_importance_p03.jpg"/>
                    <pic:cNvPicPr/>
                  </pic:nvPicPr>
                  <pic:blipFill>
                    <a:blip r:embed="rId18"/>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1" name="Picture 11"/>
            <wp:cNvGraphicFramePr>
              <a:graphicFrameLocks noChangeAspect="1"/>
            </wp:cNvGraphicFramePr>
            <a:graphic>
              <a:graphicData uri="http://schemas.openxmlformats.org/drawingml/2006/picture">
                <pic:pic>
                  <pic:nvPicPr>
                    <pic:cNvPr id="0" name="tableS6_mechanism_group_importance_p04.jpg"/>
                    <pic:cNvPicPr/>
                  </pic:nvPicPr>
                  <pic:blipFill>
                    <a:blip r:embed="rId19"/>
                    <a:stretch>
                      <a:fillRect/>
                    </a:stretch>
                  </pic:blipFill>
                  <pic:spPr>
                    <a:xfrm>
                      <a:off x="0" y="0"/>
                      <a:ext cx="8046720" cy="6217920"/>
                    </a:xfrm>
                    <a:prstGeom prst="rect"/>
                  </pic:spPr>
                </pic:pic>
              </a:graphicData>
            </a:graphic>
          </wp:inline>
        </w:drawing>
      </w:r>
    </w:p>
    <w:p>
      <w:r>
        <w:br w:type="page"/>
      </w:r>
    </w:p>
    <w:p>
      <w:pPr>
        <w:pStyle w:val="ListBullet"/>
        <w:jc w:val="left"/>
      </w:pPr>
      <w:r>
        <w:t>Table S7. Feature-level importance summary including synthetic null features.</w:t>
      </w:r>
    </w:p>
    <w:p>
      <w:pPr>
        <w:jc w:val="center"/>
      </w:pPr>
      <w:r>
        <w:drawing>
          <wp:inline xmlns:a="http://schemas.openxmlformats.org/drawingml/2006/main" xmlns:pic="http://schemas.openxmlformats.org/drawingml/2006/picture">
            <wp:extent cx="8046720" cy="6217920"/>
            <wp:docPr id="12" name="Picture 12"/>
            <wp:cNvGraphicFramePr>
              <a:graphicFrameLocks noChangeAspect="1"/>
            </wp:cNvGraphicFramePr>
            <a:graphic>
              <a:graphicData uri="http://schemas.openxmlformats.org/drawingml/2006/picture">
                <pic:pic>
                  <pic:nvPicPr>
                    <pic:cNvPr id="0" name="tableS7_feature_importance_summary_p01.jpg"/>
                    <pic:cNvPicPr/>
                  </pic:nvPicPr>
                  <pic:blipFill>
                    <a:blip r:embed="rId20"/>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3" name="Picture 13"/>
            <wp:cNvGraphicFramePr>
              <a:graphicFrameLocks noChangeAspect="1"/>
            </wp:cNvGraphicFramePr>
            <a:graphic>
              <a:graphicData uri="http://schemas.openxmlformats.org/drawingml/2006/picture">
                <pic:pic>
                  <pic:nvPicPr>
                    <pic:cNvPr id="0" name="tableS7_feature_importance_summary_p02.jpg"/>
                    <pic:cNvPicPr/>
                  </pic:nvPicPr>
                  <pic:blipFill>
                    <a:blip r:embed="rId21"/>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4" name="Picture 14"/>
            <wp:cNvGraphicFramePr>
              <a:graphicFrameLocks noChangeAspect="1"/>
            </wp:cNvGraphicFramePr>
            <a:graphic>
              <a:graphicData uri="http://schemas.openxmlformats.org/drawingml/2006/picture">
                <pic:pic>
                  <pic:nvPicPr>
                    <pic:cNvPr id="0" name="tableS7_feature_importance_summary_p03.jpg"/>
                    <pic:cNvPicPr/>
                  </pic:nvPicPr>
                  <pic:blipFill>
                    <a:blip r:embed="rId22"/>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5" name="Picture 15"/>
            <wp:cNvGraphicFramePr>
              <a:graphicFrameLocks noChangeAspect="1"/>
            </wp:cNvGraphicFramePr>
            <a:graphic>
              <a:graphicData uri="http://schemas.openxmlformats.org/drawingml/2006/picture">
                <pic:pic>
                  <pic:nvPicPr>
                    <pic:cNvPr id="0" name="tableS7_feature_importance_summary_p04.jpg"/>
                    <pic:cNvPicPr/>
                  </pic:nvPicPr>
                  <pic:blipFill>
                    <a:blip r:embed="rId23"/>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6" name="Picture 16"/>
            <wp:cNvGraphicFramePr>
              <a:graphicFrameLocks noChangeAspect="1"/>
            </wp:cNvGraphicFramePr>
            <a:graphic>
              <a:graphicData uri="http://schemas.openxmlformats.org/drawingml/2006/picture">
                <pic:pic>
                  <pic:nvPicPr>
                    <pic:cNvPr id="0" name="tableS7_feature_importance_summary_p05.jpg"/>
                    <pic:cNvPicPr/>
                  </pic:nvPicPr>
                  <pic:blipFill>
                    <a:blip r:embed="rId24"/>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7" name="Picture 17"/>
            <wp:cNvGraphicFramePr>
              <a:graphicFrameLocks noChangeAspect="1"/>
            </wp:cNvGraphicFramePr>
            <a:graphic>
              <a:graphicData uri="http://schemas.openxmlformats.org/drawingml/2006/picture">
                <pic:pic>
                  <pic:nvPicPr>
                    <pic:cNvPr id="0" name="tableS7_feature_importance_summary_p06.jpg"/>
                    <pic:cNvPicPr/>
                  </pic:nvPicPr>
                  <pic:blipFill>
                    <a:blip r:embed="rId25"/>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8" name="Picture 18"/>
            <wp:cNvGraphicFramePr>
              <a:graphicFrameLocks noChangeAspect="1"/>
            </wp:cNvGraphicFramePr>
            <a:graphic>
              <a:graphicData uri="http://schemas.openxmlformats.org/drawingml/2006/picture">
                <pic:pic>
                  <pic:nvPicPr>
                    <pic:cNvPr id="0" name="tableS7_feature_importance_summary_p07.jpg"/>
                    <pic:cNvPicPr/>
                  </pic:nvPicPr>
                  <pic:blipFill>
                    <a:blip r:embed="rId26"/>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19" name="Picture 19"/>
            <wp:cNvGraphicFramePr>
              <a:graphicFrameLocks noChangeAspect="1"/>
            </wp:cNvGraphicFramePr>
            <a:graphic>
              <a:graphicData uri="http://schemas.openxmlformats.org/drawingml/2006/picture">
                <pic:pic>
                  <pic:nvPicPr>
                    <pic:cNvPr id="0" name="tableS7_feature_importance_summary_p08.jpg"/>
                    <pic:cNvPicPr/>
                  </pic:nvPicPr>
                  <pic:blipFill>
                    <a:blip r:embed="rId27"/>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0" name="Picture 20"/>
            <wp:cNvGraphicFramePr>
              <a:graphicFrameLocks noChangeAspect="1"/>
            </wp:cNvGraphicFramePr>
            <a:graphic>
              <a:graphicData uri="http://schemas.openxmlformats.org/drawingml/2006/picture">
                <pic:pic>
                  <pic:nvPicPr>
                    <pic:cNvPr id="0" name="tableS7_feature_importance_summary_p09.jpg"/>
                    <pic:cNvPicPr/>
                  </pic:nvPicPr>
                  <pic:blipFill>
                    <a:blip r:embed="rId28"/>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1" name="Picture 21"/>
            <wp:cNvGraphicFramePr>
              <a:graphicFrameLocks noChangeAspect="1"/>
            </wp:cNvGraphicFramePr>
            <a:graphic>
              <a:graphicData uri="http://schemas.openxmlformats.org/drawingml/2006/picture">
                <pic:pic>
                  <pic:nvPicPr>
                    <pic:cNvPr id="0" name="tableS7_feature_importance_summary_p10.jpg"/>
                    <pic:cNvPicPr/>
                  </pic:nvPicPr>
                  <pic:blipFill>
                    <a:blip r:embed="rId29"/>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2" name="Picture 22"/>
            <wp:cNvGraphicFramePr>
              <a:graphicFrameLocks noChangeAspect="1"/>
            </wp:cNvGraphicFramePr>
            <a:graphic>
              <a:graphicData uri="http://schemas.openxmlformats.org/drawingml/2006/picture">
                <pic:pic>
                  <pic:nvPicPr>
                    <pic:cNvPr id="0" name="tableS7_feature_importance_summary_p11.jpg"/>
                    <pic:cNvPicPr/>
                  </pic:nvPicPr>
                  <pic:blipFill>
                    <a:blip r:embed="rId30"/>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3" name="Picture 23"/>
            <wp:cNvGraphicFramePr>
              <a:graphicFrameLocks noChangeAspect="1"/>
            </wp:cNvGraphicFramePr>
            <a:graphic>
              <a:graphicData uri="http://schemas.openxmlformats.org/drawingml/2006/picture">
                <pic:pic>
                  <pic:nvPicPr>
                    <pic:cNvPr id="0" name="tableS7_feature_importance_summary_p12.jpg"/>
                    <pic:cNvPicPr/>
                  </pic:nvPicPr>
                  <pic:blipFill>
                    <a:blip r:embed="rId31"/>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4" name="Picture 24"/>
            <wp:cNvGraphicFramePr>
              <a:graphicFrameLocks noChangeAspect="1"/>
            </wp:cNvGraphicFramePr>
            <a:graphic>
              <a:graphicData uri="http://schemas.openxmlformats.org/drawingml/2006/picture">
                <pic:pic>
                  <pic:nvPicPr>
                    <pic:cNvPr id="0" name="tableS7_feature_importance_summary_p13.jpg"/>
                    <pic:cNvPicPr/>
                  </pic:nvPicPr>
                  <pic:blipFill>
                    <a:blip r:embed="rId32"/>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5" name="Picture 25"/>
            <wp:cNvGraphicFramePr>
              <a:graphicFrameLocks noChangeAspect="1"/>
            </wp:cNvGraphicFramePr>
            <a:graphic>
              <a:graphicData uri="http://schemas.openxmlformats.org/drawingml/2006/picture">
                <pic:pic>
                  <pic:nvPicPr>
                    <pic:cNvPr id="0" name="tableS7_feature_importance_summary_p14.jpg"/>
                    <pic:cNvPicPr/>
                  </pic:nvPicPr>
                  <pic:blipFill>
                    <a:blip r:embed="rId33"/>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6" name="Picture 26"/>
            <wp:cNvGraphicFramePr>
              <a:graphicFrameLocks noChangeAspect="1"/>
            </wp:cNvGraphicFramePr>
            <a:graphic>
              <a:graphicData uri="http://schemas.openxmlformats.org/drawingml/2006/picture">
                <pic:pic>
                  <pic:nvPicPr>
                    <pic:cNvPr id="0" name="tableS7_feature_importance_summary_p15.jpg"/>
                    <pic:cNvPicPr/>
                  </pic:nvPicPr>
                  <pic:blipFill>
                    <a:blip r:embed="rId34"/>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7" name="Picture 27"/>
            <wp:cNvGraphicFramePr>
              <a:graphicFrameLocks noChangeAspect="1"/>
            </wp:cNvGraphicFramePr>
            <a:graphic>
              <a:graphicData uri="http://schemas.openxmlformats.org/drawingml/2006/picture">
                <pic:pic>
                  <pic:nvPicPr>
                    <pic:cNvPr id="0" name="tableS7_feature_importance_summary_p16.jpg"/>
                    <pic:cNvPicPr/>
                  </pic:nvPicPr>
                  <pic:blipFill>
                    <a:blip r:embed="rId35"/>
                    <a:stretch>
                      <a:fillRect/>
                    </a:stretch>
                  </pic:blipFill>
                  <pic:spPr>
                    <a:xfrm>
                      <a:off x="0" y="0"/>
                      <a:ext cx="8046720" cy="62179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046720" cy="6217920"/>
            <wp:docPr id="28" name="Picture 28"/>
            <wp:cNvGraphicFramePr>
              <a:graphicFrameLocks noChangeAspect="1"/>
            </wp:cNvGraphicFramePr>
            <a:graphic>
              <a:graphicData uri="http://schemas.openxmlformats.org/drawingml/2006/picture">
                <pic:pic>
                  <pic:nvPicPr>
                    <pic:cNvPr id="0" name="tableS7_feature_importance_summary_p17.jpg"/>
                    <pic:cNvPicPr/>
                  </pic:nvPicPr>
                  <pic:blipFill>
                    <a:blip r:embed="rId36"/>
                    <a:stretch>
                      <a:fillRect/>
                    </a:stretch>
                  </pic:blipFill>
                  <pic:spPr>
                    <a:xfrm>
                      <a:off x="0" y="0"/>
                      <a:ext cx="8046720" cy="6217920"/>
                    </a:xfrm>
                    <a:prstGeom prst="rect"/>
                  </pic:spPr>
                </pic:pic>
              </a:graphicData>
            </a:graphic>
          </wp:inline>
        </w:drawing>
      </w:r>
    </w:p>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 Id="rId10" Type="http://schemas.openxmlformats.org/officeDocument/2006/relationships/image" Target="media/image2.tiff"/><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