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Captions</w:t>
      </w:r>
    </w:p>
    <w:p/>
    <w:p>
      <w:pPr>
        <w:ind w:firstLine="360"/>
        <w:jc w:val="both"/>
      </w:pPr>
      <w:r>
        <w:t>Table 1. Dataset overview of the final modeling set used in the fresh reliability study, including grouped structure, qe distribution, metal and polymer composition, and reporting completeness.</w:t>
      </w:r>
    </w:p>
    <w:p/>
    <w:p>
      <w:pPr>
        <w:ind w:firstLine="360"/>
        <w:jc w:val="both"/>
      </w:pPr>
      <w:r>
        <w:t>Table 2. Predictive performance across validation regimes for EN, LGBM, and MLP. Values are descriptive mean +/- SD across folds or repeats.</w:t>
      </w:r>
    </w:p>
    <w:p/>
    <w:p>
      <w:pPr>
        <w:ind w:firstLine="360"/>
        <w:jc w:val="both"/>
      </w:pPr>
      <w:r>
        <w:t>Table 3. Generalization-gap summary relative to random row-level validation, highlighting the performance cost of experiment-level and study-level transfer.</w:t>
      </w:r>
    </w:p>
    <w:p/>
    <w:p>
      <w:pPr>
        <w:ind w:firstLine="360"/>
        <w:jc w:val="both"/>
      </w:pPr>
      <w:r>
        <w:t>Table S1. Dataset variable summary for the locked modeling dataset, including variable definitions, units, and missingness.</w:t>
      </w:r>
    </w:p>
    <w:p/>
    <w:p>
      <w:pPr>
        <w:ind w:firstLine="360"/>
        <w:jc w:val="both"/>
      </w:pPr>
      <w:r>
        <w:t>Table S2. Synthetic null-feature catalog, including feature name, null-feature type, and construction rule.</w:t>
      </w:r>
    </w:p>
    <w:p/>
    <w:p>
      <w:pPr>
        <w:ind w:firstLine="360"/>
        <w:jc w:val="both"/>
      </w:pPr>
      <w:r>
        <w:t>Table S3. Summary statistics for the seven synthetic null features, including mean, standard deviation, and Pearson correlation with qe.</w:t>
      </w:r>
    </w:p>
    <w:p/>
    <w:p>
      <w:pPr>
        <w:ind w:firstLine="360"/>
        <w:jc w:val="both"/>
      </w:pPr>
      <w:r>
        <w:t>Table S4. Example rows from the augmented dataset showing how synthetic null features were appended for interpretation diagnostics.</w:t>
      </w:r>
    </w:p>
    <w:p/>
    <w:p>
      <w:pPr>
        <w:ind w:firstLine="360"/>
        <w:jc w:val="both"/>
      </w:pPr>
      <w:r>
        <w:t>Table S5. Reliability summary for feature-importance methods, including EN- and LGBM-based methods, null suppression, ranking stability, top-rank null contamination, and an overall heuristic reliability score.</w:t>
      </w:r>
    </w:p>
    <w:p/>
    <w:p>
      <w:pPr>
        <w:ind w:firstLine="360"/>
        <w:jc w:val="both"/>
      </w:pPr>
      <w:r>
        <w:t>Table S6. Mechanism-group importance summary across EN- and LGBM-based methods and validation regimes, including synthetic null features for audit completeness.</w:t>
      </w:r>
    </w:p>
    <w:p/>
    <w:p>
      <w:pPr>
        <w:ind w:firstLine="360"/>
        <w:jc w:val="both"/>
      </w:pPr>
      <w:r>
        <w:t>Table S7. Feature-level importance summary across EN- and LGBM-based methods, including synthetic null features.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