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ĐÍNH CHÍNH NỘI DUNG MÔ HÌNH VÀ DASHBOARD TIKILENS</w:t>
      </w:r>
    </w:p>
    <w:p>
      <w:pPr>
        <w:jc w:val="center"/>
      </w:pPr>
      <w:r>
        <w:rPr>
          <w:i/>
        </w:rPr>
        <w:t>Tài liệu thay thế các đoạn chưa khớp giữa Chương 4, Chương 5 và mã ứng dụng</w:t>
      </w:r>
    </w:p>
    <w:p>
      <w:r>
        <w:t>Phạm vi đối chiếu: Big data.pdf (Chương 4), Big data (1).pdf (Chương 5), mã nguồn TikiLens hiện tại và gói Colab/Orange được cung cấp ngày 30/10/2026. Các con số trong ảnh cũ là kết quả tại lúc chụp; không được coi là chỉ số cố định của ứng dụng sau khi dữ liệu hoặc mô hình thay đổi.</w:t>
      </w:r>
    </w:p>
    <w:p>
      <w:pPr>
        <w:pStyle w:val="Heading1"/>
      </w:pPr>
      <w:r>
        <w:t>1. Nội dung thay thế cho mục 5.3.1 Dashboard phân tích kinh doanh</w:t>
      </w:r>
    </w:p>
    <w:p>
      <w:r>
        <w:t>Dashboard đọc dữ liệu sản phẩm từ clean_products và dữ liệu đánh giá từ clean_reviews trong MongoDB. Bộ lọc danh mục, giá và dịch vụ áp dụng cho toàn bộ sản phẩm và các đánh giá liên kết với chúng. Bộ lọc ngày chỉ áp dụng cho đánh giá, nên không làm thay đổi doanh thu ước tính hoặc số lượng sản phẩm. Biểu đồ được tạo từ dữ liệu đang tải lên ứng dụng, không phải ảnh tĩnh lưu trong mã.</w:t>
      </w:r>
    </w:p>
    <w:p>
      <w:r>
        <w:t>Doanh thu ước tính ưu tiên trường revenue_estimate đã lưu của mỗi sản phẩm; khi trường này thiếu, ứng dụng tính price × quantity_sold. Đây là ước tính từ ảnh chụp dữ liệu sản phẩm, không phải doanh thu kế toán hay doanh thu phát sinh theo ngày. Biểu đồ Pareto cộng doanh thu ước tính theo danh mục, sắp xếp giảm dần và thể hiện tỷ trọng lũy kế trên cùng phạm vi lọc. Các KPI cần ghi rõ mẫu số và phạm vi lọc khi so sánh.</w:t>
      </w:r>
    </w:p>
    <w:p>
      <w:pPr>
        <w:pStyle w:val="Heading1"/>
      </w:pPr>
      <w:r>
        <w:t>2. Nội dung thay thế cho mục 5.3.2 Phân cụm khách hàng và nhà bán hàng</w:t>
      </w:r>
    </w:p>
    <w:p>
      <w:r>
        <w:t>Trang phân cụm có hai thẻ: Khách hàng và Nhà bán hàng. Khách hàng được nhóm bằng K-Means trên năm đặc trưng rút ra từ lịch sử đánh giá: số lượt đánh giá, điểm đánh giá trung bình, độ lệch chuẩn điểm, số sản phẩm đã đánh giá và tỷ lệ đánh giá tiêu cực. Người dùng chọn ngưỡng số lượt đánh giá tối thiểu và số cụm; các đặc trưng được chuẩn hóa trước khi phân cụm. Kết quả thể hiện bằng biểu đồ phân tán, biểu đồ quy mô cụm và bảng hồ sơ cụm.</w:t>
      </w:r>
    </w:p>
    <w:p>
      <w:r>
        <w:t>Nhà bán hàng được nhóm trên năm đặc trưng tổng hợp theo seller_id: số sản phẩm, số lượng đã bán, doanh thu ước tính, tổng lượt đánh giá và điểm đánh giá trung bình của sản phẩm. Đây là phân cụm danh mục và hiệu quả sản phẩm tại thời điểm thu thập. Dữ liệu không có lịch sử đơn hàng theo khách hàng và không có biến Recency được dùng trong trang nhà bán; vì vậy không gọi mô hình tích hợp trong app là RFM giao dịch. Số cụm, nhãn cụm và số phần tử mỗi cụm có thể đổi khi dữ liệu hoặc tham số thay đổi.</w:t>
      </w:r>
    </w:p>
    <w:p>
      <w:r>
        <w:t>Kết quả RFM nhà bán trong Chương 4, nếu được giữ lại, cần ghi rõ là thí nghiệm riêng trên tập CSV ở Colab, không phải mô hình đang chạy trên trang phân cụm của ứng dụng. Không sao chép các con số 314/1 nhà bán hoặc nhãn cụm của thí nghiệm sang phần mô tả app nếu chưa chạy đối chiếu trên cùng dữ liệu và cùng bộ biến.</w:t>
      </w:r>
    </w:p>
    <w:p>
      <w:pPr>
        <w:pStyle w:val="Heading1"/>
      </w:pPr>
      <w:r>
        <w:t>3. Nội dung thay thế cho mục 5.3.3 Ước tính số lượng đã bán</w:t>
      </w:r>
    </w:p>
    <w:p>
      <w:r>
        <w:t>Ứng dụng huấn luyện Random Forest Regressor trên dữ liệu sản phẩm hiện tại. Biến đích là quantity_sold. Năm biến số gồm price, original_price, discount_rate, rating_average và review_count; năm biến phân loại gồm category_name, price_segment, seller_type, is_tiki_now và is_freeship_xtra. Pipeline điền giá trị thiếu, chuẩn hóa biến số và mã hóa one-hot biến phân loại; mô hình gồm 150 cây với random_state = 42. Dữ liệu được chia ngẫu nhiên 80% huấn luyện, 20% kiểm tra. MAE, RMSE và R² được tính trên tập kiểm tra, đi kèm biểu đồ giá trị thực tế so với ước lượng và phân bố sai số.</w:t>
      </w:r>
    </w:p>
    <w:p>
      <w:r>
        <w:t>Mô hình ở Chương 4 là một thí nghiệm khác, dùng bộ biến đầu vào khác; kết quả R² = 0,2714 ở chương đó không thể so trực tiếp với R² = 0,692 trong ảnh cũ của Chương 5 như thể hai con số thuộc cùng một mô hình. Khi nộp báo cáo, ghi rõ hai thí nghiệm riêng hoặc thay mô hình app bằng pipeline đã xuất từ Colab rồi đánh giá lại trên cùng tập kiểm tra. Chưa có tệp pipeline dự báo đã xuất trong các tệp được cung cấp, nên hiện chưa thể xác nhận hai mô hình đồng nhất.</w:t>
      </w:r>
    </w:p>
    <w:p>
      <w:r>
        <w:t>Mô hình ước tính lượng bán tích lũy từ thuộc tính của sản phẩm trong ảnh chụp; dữ liệu hiện có không phải chuỗi lượng bán theo ngày hay tháng. Không diễn giải kết quả thành dự báo nhu cầu tương lai hoặc bằng chứng rằng thay đổi giá sẽ gây ra thay đổi lượng bán.</w:t>
      </w:r>
    </w:p>
    <w:p>
      <w:pPr>
        <w:pStyle w:val="Heading1"/>
      </w:pPr>
      <w:r>
        <w:t>4. Nội dung thay thế cho mục 5.3.4 Phát hiện sản phẩm bất thường</w:t>
      </w:r>
    </w:p>
    <w:p>
      <w:r>
        <w:t>Ứng dụng dùng Isolation Forest với đúng năm biến của thí nghiệm Python trong Chương 4: price, discount_rate, quantity_sold, revenue_estimate và review_count. Nếu một bản ghi không có revenue_estimate, ứng dụng dùng doanh thu ước tính đã chuẩn hóa của bản ghi đó; các bản ghi thiếu biến số còn lại không đưa vào lượt chạy mô hình. Mặc định tỷ lệ bất thường giả định là 2%, random_state = 42. Chỉ một cột doanh thu được đưa vào mô hình, tránh tính lặp ảnh hưởng của doanh thu.</w:t>
      </w:r>
    </w:p>
    <w:p>
      <w:r>
        <w:t>Đối chiếu trên tệp tikilens_vn.clean_products.csv được gửi cùng gói Colab: 2.307 sản phẩm, mô hình Python đánh dấu 47 sản phẩm; phiên bản app sau chỉnh sửa đánh dấu cùng 47/47 mã sản phẩm trên đúng tệp này. Sự trùng khớp này chỉ xác nhận app và mã Python trên cùng snapshot CSV. Tệp Orange .ows thể hiện sơ đồ và tham số 2%, nhưng chưa có tệp kết quả Orange để xác minh sự trùng khớp từng mã giữa Orange và Python. Vì vậy không dùng khẳng định “đồng nhất tuyệt đối 100% giữa Orange và Python” nếu thiếu bảng đối chiếu đầu ra Orange.</w:t>
      </w:r>
    </w:p>
    <w:p>
      <w:r>
        <w:t>Dashboard bất thường gồm phân bố điểm mô hình, tỷ lệ bất thường theo danh mục, biểu đồ giá so với lượng bán, các KPI và bảng sản phẩm cần xem xét. Điểm bất thường là tín hiệu thống kê, không tự chứng minh hàng lỗi, gian lận hoặc nguyên nhân bán chạy.</w:t>
      </w:r>
    </w:p>
    <w:p>
      <w:r>
        <w:br w:type="page"/>
      </w:r>
    </w:p>
    <w:p>
      <w:pPr>
        <w:pStyle w:val="Heading1"/>
      </w:pPr>
      <w:r>
        <w:t>5. Ảnh cần cập nhật trước khi nộp</w:t>
      </w:r>
    </w:p>
    <w:tbl>
      <w:tblPr>
        <w:tblStyle w:val="TableGrid"/>
        <w:tblW w:type="auto" w:w="0"/>
        <w:tblLook w:firstColumn="1" w:firstRow="1" w:lastColumn="0" w:lastRow="0" w:noHBand="0" w:noVBand="1" w:val="04A0"/>
      </w:tblPr>
      <w:tblGrid>
        <w:gridCol w:w="4592"/>
        <w:gridCol w:w="4592"/>
      </w:tblGrid>
      <w:tr>
        <w:tc>
          <w:tcPr>
            <w:tcW w:type="dxa" w:w="4592"/>
            <w:vAlign w:val="center"/>
            <w:tcBorders>
              <w:top w:val="single" w:sz="4" w:color="D9D9D9"/>
              <w:left w:val="single" w:sz="4" w:color="D9D9D9"/>
              <w:bottom w:val="single" w:sz="4" w:color="D9D9D9"/>
              <w:right w:val="single" w:sz="4" w:color="D9D9D9"/>
            </w:tcBorders>
            <w:shd w:fill="DCE8F5"/>
          </w:tcPr>
          <w:p>
            <w:pPr>
              <w:spacing w:after="60"/>
            </w:pPr>
            <w:r>
              <w:rPr>
                <w:rFonts w:ascii="Times New Roman" w:hAnsi="Times New Roman"/>
                <w:b/>
                <w:sz w:val="21"/>
              </w:rPr>
              <w:t>Vị trí trong PDF</w:t>
            </w:r>
          </w:p>
        </w:tc>
        <w:tc>
          <w:tcPr>
            <w:tcW w:type="dxa" w:w="4592"/>
            <w:vAlign w:val="center"/>
            <w:tcBorders>
              <w:top w:val="single" w:sz="4" w:color="D9D9D9"/>
              <w:left w:val="single" w:sz="4" w:color="D9D9D9"/>
              <w:bottom w:val="single" w:sz="4" w:color="D9D9D9"/>
              <w:right w:val="single" w:sz="4" w:color="D9D9D9"/>
            </w:tcBorders>
            <w:shd w:fill="DCE8F5"/>
          </w:tcPr>
          <w:p>
            <w:pPr>
              <w:spacing w:after="60"/>
            </w:pPr>
            <w:r>
              <w:rPr>
                <w:rFonts w:ascii="Times New Roman" w:hAnsi="Times New Roman"/>
                <w:b/>
                <w:sz w:val="21"/>
              </w:rPr>
              <w:t>Việc cần làm</w:t>
            </w:r>
          </w:p>
        </w:tc>
      </w:tr>
      <w:tr>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Chương 5, trang 6</w:t>
            </w:r>
          </w:p>
        </w:tc>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Chụp lại KPI và Pareto sau khi tải dữ liệu. Giữ chú thích doanh thu ước tính đúng nguồn trường.</w:t>
            </w:r>
          </w:p>
        </w:tc>
      </w:tr>
      <w:tr>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Chương 5, trang 7</w:t>
            </w:r>
          </w:p>
        </w:tc>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Chụp lại hai thẻ Khách hàng và Nhà bán. Sửa “6 đặc trưng” thành “5 đặc trưng”; thay số cụm theo ảnh mới. Ảnh cũ ghi cụm 1 có 145 khách hàng nhưng lời viết ghi 211.</w:t>
            </w:r>
          </w:p>
        </w:tc>
      </w:tr>
      <w:tr>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Chương 5, trang 8</w:t>
            </w:r>
          </w:p>
        </w:tc>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Chụp lại MAE, RMSE, R² cùng hai biểu đồ đánh giá và form ước tính. Không dùng ảnh cũ để mô tả kết quả Chương 4.</w:t>
            </w:r>
          </w:p>
        </w:tc>
      </w:tr>
      <w:tr>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Chương 5, trang 9</w:t>
            </w:r>
          </w:p>
        </w:tc>
        <w:tc>
          <w:tcPr>
            <w:tcW w:type="dxa" w:w="4592"/>
            <w:vAlign w:val="center"/>
            <w:tcBorders>
              <w:top w:val="single" w:sz="4" w:color="D9D9D9"/>
              <w:left w:val="single" w:sz="4" w:color="D9D9D9"/>
              <w:bottom w:val="single" w:sz="4" w:color="D9D9D9"/>
              <w:right w:val="single" w:sz="4" w:color="D9D9D9"/>
            </w:tcBorders>
          </w:tcPr>
          <w:p>
            <w:pPr>
              <w:spacing w:after="60"/>
            </w:pPr>
            <w:r>
              <w:rPr>
                <w:rFonts w:ascii="Times New Roman" w:hAnsi="Times New Roman"/>
                <w:sz w:val="21"/>
              </w:rPr>
              <w:t>Chụp lại KPI, ba biểu đồ và bảng bất thường sau khi dùng đúng năm biến. Chỉ ghi 47/2.307 khi đang dùng đúng snapshot CSV đã đối chiếu.</w:t>
            </w:r>
          </w:p>
        </w:tc>
      </w:tr>
    </w:tbl>
    <w:p>
      <w:r>
        <w:t>Ghi chú thực hiện: Chụp ảnh từ cùng một phiên dữ liệu và cùng cấu hình bộ lọc; ghi ngày chụp, tỷ lệ bất thường và số cụm ngay dưới hình.</w:t>
      </w:r>
    </w:p>
    <w:p>
      <w:pPr>
        <w:pStyle w:val="Heading1"/>
      </w:pPr>
      <w:r>
        <w:t>6. Trình tự kiểm tra minh chứng</w:t>
      </w:r>
    </w:p>
    <w:p>
      <w:r>
        <w:t>Bước 1. Mở ứng dụng, đăng nhập và chọn cùng một snapshot dữ liệu. Nhấn làm mới dữ liệu một lần trước khi chụp. Ghi lại tổng số sản phẩm và đánh giá hiển thị trên dashboard.</w:t>
      </w:r>
    </w:p>
    <w:p>
      <w:r>
        <w:t>Bước 2. Chụp toàn bộ phần KPI và từng biểu đồ liên quan. Với phân cụm, ghi số cụm và ngưỡng đánh giá tối thiểu; với phát hiện bất thường, ghi tỷ lệ giả định. Không cắt mất tiêu đề hoặc chú thích của biểu đồ.</w:t>
      </w:r>
    </w:p>
    <w:p>
      <w:r>
        <w:t>Bước 3. Sau khi thay ảnh vào báo cáo, so từng số trong lời viết với đúng ảnh mới. Nếu mô hình hoặc nguồn dữ liệu thay đổi, cập nhật lại MAE, RMSE, R², số phần tử mỗi cụm và số sản phẩm bất thường thay vì giữ số ở ảnh cũ.</w:t>
      </w:r>
    </w:p>
    <w:sectPr w:rsidR="00FC693F" w:rsidRPr="0006063C" w:rsidSect="00034616">
      <w:pgSz w:w="11906" w:h="16838"/>
      <w:pgMar w:top="1191" w:right="1191"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