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TWELF2026 Call for Papers - Graph Template</w:t>
      </w:r>
    </w:p>
    <w:p>
      <w:pPr>
        <w:jc w:val="center"/>
      </w:pPr>
      <w:r>
        <w:t>Bilingual education-technology conference template for Neo4j / reviewer-agent ingestion</w:t>
      </w:r>
    </w:p>
    <w:p>
      <w:pPr>
        <w:pStyle w:val="Heading1"/>
      </w:pPr>
      <w:r>
        <w:t>SOURCE_METADATA</w:t>
      </w:r>
    </w:p>
    <w:p>
      <w:pPr>
        <w:pStyle w:val="NoSpacing"/>
      </w:pPr>
      <w:r>
        <w:rPr>
          <w:b/>
        </w:rPr>
        <w:t xml:space="preserve">source_title: </w:t>
      </w:r>
      <w:r>
        <w:t>TWELF2026 Call for Papers / 論文徵稿</w:t>
      </w:r>
      <w:r>
        <w:br/>
      </w:r>
      <w:r>
        <w:rPr>
          <w:b/>
        </w:rPr>
        <w:t xml:space="preserve">source_type: </w:t>
      </w:r>
      <w:r>
        <w:t>conference_call_for_papers</w:t>
      </w:r>
      <w:r>
        <w:br/>
      </w:r>
      <w:r>
        <w:rPr>
          <w:b/>
        </w:rPr>
        <w:t xml:space="preserve">venue_or_journal: </w:t>
      </w:r>
      <w:r>
        <w:t>Taiwan E-Learning Forum (TWELF 2026)</w:t>
      </w:r>
      <w:r>
        <w:br/>
      </w:r>
      <w:r>
        <w:rPr>
          <w:b/>
        </w:rPr>
        <w:t xml:space="preserve">domain: </w:t>
      </w:r>
      <w:r>
        <w:t>E-Learning / Educational Technology / AI in Education</w:t>
      </w:r>
      <w:r>
        <w:br/>
      </w:r>
      <w:r>
        <w:rPr>
          <w:b/>
        </w:rPr>
        <w:t xml:space="preserve">year: </w:t>
      </w:r>
      <w:r>
        <w:t>2026</w:t>
      </w:r>
      <w:r>
        <w:br/>
      </w:r>
      <w:r>
        <w:rPr>
          <w:b/>
        </w:rPr>
        <w:t xml:space="preserve">source_url: </w:t>
      </w:r>
      <w:r>
        <w:t>https://www.twelf2026.tw/35542259912450131295.html</w:t>
      </w:r>
      <w:r>
        <w:br/>
      </w:r>
      <w:r>
        <w:rPr>
          <w:b/>
        </w:rPr>
        <w:t xml:space="preserve">article_type: </w:t>
      </w:r>
      <w:r>
        <w:t>Long paper 3-5 pages; Poster paper 1-2 pages</w:t>
      </w:r>
      <w:r>
        <w:br/>
      </w:r>
      <w:r>
        <w:rPr>
          <w:b/>
        </w:rPr>
        <w:t xml:space="preserve">language: </w:t>
      </w:r>
      <w:r>
        <w:t>Chinese and English</w:t>
      </w:r>
      <w:r>
        <w:br/>
      </w:r>
    </w:p>
    <w:p>
      <w:pPr>
        <w:pStyle w:val="Heading1"/>
      </w:pPr>
      <w:r>
        <w:t>STRUCTURED_SUMMARY</w:t>
      </w:r>
    </w:p>
    <w:p>
      <w:r>
        <w:t>This template extracts venue-scope, topic, submission-format, and presentation-compliance criteria from the TWELF2026 call for papers.</w:t>
      </w:r>
    </w:p>
    <w:p>
      <w:r>
        <w:t>The call emphasizes digital learning innovation, cross-disciplinary knowledge exchange, educational practice, and topics such as AI in education, educational big data, technology-enhanced language learning, immersive technologies, assessment, collaborative/personalized learning, and digital learning theory.</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Snippet type</w:t>
            </w:r>
          </w:p>
        </w:tc>
        <w:tc>
          <w:tcPr>
            <w:tcW w:type="dxa" w:w="3456"/>
            <w:shd w:fill="D9EAF7"/>
            <w:vAlign w:val="center"/>
          </w:tcPr>
          <w:p>
            <w:r/>
            <w:r>
              <w:rPr>
                <w:b/>
                <w:sz w:val="18"/>
              </w:rPr>
              <w:t>Short paraphrase / source cue</w:t>
            </w:r>
          </w:p>
        </w:tc>
        <w:tc>
          <w:tcPr>
            <w:tcW w:type="dxa" w:w="3456"/>
            <w:shd w:fill="D9EAF7"/>
            <w:vAlign w:val="center"/>
          </w:tcPr>
          <w:p>
            <w:r/>
            <w:r>
              <w:rPr>
                <w:b/>
                <w:sz w:val="18"/>
              </w:rPr>
              <w:t>Graph use</w:t>
            </w:r>
          </w:p>
        </w:tc>
      </w:tr>
      <w:tr>
        <w:tc>
          <w:tcPr>
            <w:tcW w:type="dxa" w:w="3456"/>
            <w:vAlign w:val="top"/>
          </w:tcPr>
          <w:p>
            <w:r/>
            <w:r>
              <w:rPr>
                <w:b w:val="0"/>
                <w:sz w:val="18"/>
              </w:rPr>
              <w:t>Venue identity</w:t>
            </w:r>
          </w:p>
        </w:tc>
        <w:tc>
          <w:tcPr>
            <w:tcW w:type="dxa" w:w="3456"/>
            <w:vAlign w:val="top"/>
          </w:tcPr>
          <w:p>
            <w:r/>
            <w:r>
              <w:rPr>
                <w:b w:val="0"/>
                <w:sz w:val="18"/>
              </w:rPr>
              <w:t>TWELF2026 is the 21st Taiwan E-Learning Forum, held March 5-6, 2026 at Sun Moon Lake Teachers Hostel.</w:t>
            </w:r>
          </w:p>
        </w:tc>
        <w:tc>
          <w:tcPr>
            <w:tcW w:type="dxa" w:w="3456"/>
            <w:vAlign w:val="top"/>
          </w:tcPr>
          <w:p>
            <w:r/>
            <w:r>
              <w:rPr>
                <w:b w:val="0"/>
                <w:sz w:val="18"/>
              </w:rPr>
              <w:t>Venue</w:t>
            </w:r>
          </w:p>
        </w:tc>
      </w:tr>
      <w:tr>
        <w:tc>
          <w:tcPr>
            <w:tcW w:type="dxa" w:w="3456"/>
            <w:vAlign w:val="top"/>
          </w:tcPr>
          <w:p>
            <w:r/>
            <w:r>
              <w:rPr>
                <w:b w:val="0"/>
                <w:sz w:val="18"/>
              </w:rPr>
              <w:t>Conference aim</w:t>
            </w:r>
          </w:p>
        </w:tc>
        <w:tc>
          <w:tcPr>
            <w:tcW w:type="dxa" w:w="3456"/>
            <w:vAlign w:val="top"/>
          </w:tcPr>
          <w:p>
            <w:r/>
            <w:r>
              <w:rPr>
                <w:b w:val="0"/>
                <w:sz w:val="18"/>
              </w:rPr>
              <w:t>The call invites academic, educational-practice, and industry stakeholders to share research outcomes and applications around digital learning innovation.</w:t>
            </w:r>
          </w:p>
        </w:tc>
        <w:tc>
          <w:tcPr>
            <w:tcW w:type="dxa" w:w="3456"/>
            <w:vAlign w:val="top"/>
          </w:tcPr>
          <w:p>
            <w:r/>
            <w:r>
              <w:rPr>
                <w:b w:val="0"/>
                <w:sz w:val="18"/>
              </w:rPr>
              <w:t>ScopeCriterion</w:t>
            </w:r>
          </w:p>
        </w:tc>
      </w:tr>
      <w:tr>
        <w:tc>
          <w:tcPr>
            <w:tcW w:type="dxa" w:w="3456"/>
            <w:vAlign w:val="top"/>
          </w:tcPr>
          <w:p>
            <w:r/>
            <w:r>
              <w:rPr>
                <w:b w:val="0"/>
                <w:sz w:val="18"/>
              </w:rPr>
              <w:t>Topics</w:t>
            </w:r>
          </w:p>
        </w:tc>
        <w:tc>
          <w:tcPr>
            <w:tcW w:type="dxa" w:w="3456"/>
            <w:vAlign w:val="top"/>
          </w:tcPr>
          <w:p>
            <w:r/>
            <w:r>
              <w:rPr>
                <w:b w:val="0"/>
                <w:sz w:val="18"/>
              </w:rPr>
              <w:t>Listed topics include accessible e-learning, CSCL/CPSL, assessment/personalization, game/innovative technology, technology-enhanced language learning, big data in education, AI in education and society, and immersive technologies.</w:t>
            </w:r>
          </w:p>
        </w:tc>
        <w:tc>
          <w:tcPr>
            <w:tcW w:type="dxa" w:w="3456"/>
            <w:vAlign w:val="top"/>
          </w:tcPr>
          <w:p>
            <w:r/>
            <w:r>
              <w:rPr>
                <w:b w:val="0"/>
                <w:sz w:val="18"/>
              </w:rPr>
              <w:t>DomainTaxonomy</w:t>
            </w:r>
          </w:p>
        </w:tc>
      </w:tr>
      <w:tr>
        <w:tc>
          <w:tcPr>
            <w:tcW w:type="dxa" w:w="3456"/>
            <w:vAlign w:val="top"/>
          </w:tcPr>
          <w:p>
            <w:r/>
            <w:r>
              <w:rPr>
                <w:b w:val="0"/>
                <w:sz w:val="18"/>
              </w:rPr>
              <w:t>Submission type</w:t>
            </w:r>
          </w:p>
        </w:tc>
        <w:tc>
          <w:tcPr>
            <w:tcW w:type="dxa" w:w="3456"/>
            <w:vAlign w:val="top"/>
          </w:tcPr>
          <w:p>
            <w:r/>
            <w:r>
              <w:rPr>
                <w:b w:val="0"/>
                <w:sz w:val="18"/>
              </w:rPr>
              <w:t>Long papers are 3-5 pages; poster submissions are 1-2 pages.</w:t>
            </w:r>
          </w:p>
        </w:tc>
        <w:tc>
          <w:tcPr>
            <w:tcW w:type="dxa" w:w="3456"/>
            <w:vAlign w:val="top"/>
          </w:tcPr>
          <w:p>
            <w:r/>
            <w:r>
              <w:rPr>
                <w:b w:val="0"/>
                <w:sz w:val="18"/>
              </w:rPr>
              <w:t>ArticleType</w:t>
            </w:r>
          </w:p>
        </w:tc>
      </w:tr>
      <w:tr>
        <w:tc>
          <w:tcPr>
            <w:tcW w:type="dxa" w:w="3456"/>
            <w:vAlign w:val="top"/>
          </w:tcPr>
          <w:p>
            <w:r/>
            <w:r>
              <w:rPr>
                <w:b w:val="0"/>
                <w:sz w:val="18"/>
              </w:rPr>
              <w:t>Accepted paper requirement</w:t>
            </w:r>
          </w:p>
        </w:tc>
        <w:tc>
          <w:tcPr>
            <w:tcW w:type="dxa" w:w="3456"/>
            <w:vAlign w:val="top"/>
          </w:tcPr>
          <w:p>
            <w:r/>
            <w:r>
              <w:rPr>
                <w:b w:val="0"/>
                <w:sz w:val="18"/>
              </w:rPr>
              <w:t>At least one author for each accepted paper must register and present.</w:t>
            </w:r>
          </w:p>
        </w:tc>
        <w:tc>
          <w:tcPr>
            <w:tcW w:type="dxa" w:w="3456"/>
            <w:vAlign w:val="top"/>
          </w:tcPr>
          <w:p>
            <w:r/>
            <w:r>
              <w:rPr>
                <w:b w:val="0"/>
                <w:sz w:val="18"/>
              </w:rPr>
              <w:t>ProcessRequirement</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criterion_name</w:t>
            </w:r>
          </w:p>
        </w:tc>
        <w:tc>
          <w:tcPr>
            <w:tcW w:type="dxa" w:w="2074"/>
            <w:shd w:fill="D9EAF7"/>
            <w:vAlign w:val="center"/>
          </w:tcPr>
          <w:p>
            <w:r/>
            <w:r>
              <w:rPr>
                <w:b/>
                <w:sz w:val="18"/>
              </w:rPr>
              <w:t>criterion_group</w:t>
            </w:r>
          </w:p>
        </w:tc>
        <w:tc>
          <w:tcPr>
            <w:tcW w:type="dxa" w:w="2074"/>
            <w:shd w:fill="D9EAF7"/>
            <w:vAlign w:val="center"/>
          </w:tcPr>
          <w:p>
            <w:r/>
            <w:r>
              <w:rPr>
                <w:b/>
                <w:sz w:val="18"/>
              </w:rPr>
              <w:t>description</w:t>
            </w:r>
          </w:p>
        </w:tc>
        <w:tc>
          <w:tcPr>
            <w:tcW w:type="dxa" w:w="2074"/>
            <w:shd w:fill="D9EAF7"/>
            <w:vAlign w:val="center"/>
          </w:tcPr>
          <w:p>
            <w:r/>
            <w:r>
              <w:rPr>
                <w:b/>
                <w:sz w:val="18"/>
              </w:rPr>
              <w:t>evidence_required</w:t>
            </w:r>
          </w:p>
        </w:tc>
        <w:tc>
          <w:tcPr>
            <w:tcW w:type="dxa" w:w="2074"/>
            <w:shd w:fill="D9EAF7"/>
            <w:vAlign w:val="center"/>
          </w:tcPr>
          <w:p>
            <w:r/>
            <w:r>
              <w:rPr>
                <w:b/>
                <w:sz w:val="18"/>
              </w:rPr>
              <w:t>severity_if_missing</w:t>
            </w:r>
          </w:p>
        </w:tc>
      </w:tr>
      <w:tr>
        <w:tc>
          <w:tcPr>
            <w:tcW w:type="dxa" w:w="2074"/>
            <w:vAlign w:val="top"/>
          </w:tcPr>
          <w:p>
            <w:r/>
            <w:r>
              <w:rPr>
                <w:b w:val="0"/>
                <w:sz w:val="18"/>
              </w:rPr>
              <w:t>Fit to digital learning innovation</w:t>
            </w:r>
          </w:p>
        </w:tc>
        <w:tc>
          <w:tcPr>
            <w:tcW w:type="dxa" w:w="2074"/>
            <w:vAlign w:val="top"/>
          </w:tcPr>
          <w:p>
            <w:r/>
            <w:r>
              <w:rPr>
                <w:b w:val="0"/>
                <w:sz w:val="18"/>
              </w:rPr>
              <w:t>Scope / Fit</w:t>
            </w:r>
          </w:p>
        </w:tc>
        <w:tc>
          <w:tcPr>
            <w:tcW w:type="dxa" w:w="2074"/>
            <w:vAlign w:val="top"/>
          </w:tcPr>
          <w:p>
            <w:r/>
            <w:r>
              <w:rPr>
                <w:b w:val="0"/>
                <w:sz w:val="18"/>
              </w:rPr>
              <w:t>Assess whether the submission addresses e-learning, digital learning innovation, educational technology, or a listed TWELF topic.</w:t>
            </w:r>
          </w:p>
        </w:tc>
        <w:tc>
          <w:tcPr>
            <w:tcW w:type="dxa" w:w="2074"/>
            <w:vAlign w:val="top"/>
          </w:tcPr>
          <w:p>
            <w:r/>
            <w:r>
              <w:rPr>
                <w:b w:val="0"/>
                <w:sz w:val="18"/>
              </w:rPr>
              <w:t>topic match; educational technology context; contribution to digital learning</w:t>
            </w:r>
          </w:p>
        </w:tc>
        <w:tc>
          <w:tcPr>
            <w:tcW w:type="dxa" w:w="2074"/>
            <w:vAlign w:val="top"/>
          </w:tcPr>
          <w:p>
            <w:r/>
            <w:r>
              <w:rPr>
                <w:b w:val="0"/>
                <w:sz w:val="18"/>
              </w:rPr>
              <w:t>major</w:t>
            </w:r>
          </w:p>
        </w:tc>
      </w:tr>
      <w:tr>
        <w:tc>
          <w:tcPr>
            <w:tcW w:type="dxa" w:w="2074"/>
            <w:vAlign w:val="top"/>
          </w:tcPr>
          <w:p>
            <w:r/>
            <w:r>
              <w:rPr>
                <w:b w:val="0"/>
                <w:sz w:val="18"/>
              </w:rPr>
              <w:t>Educational application and practice relevance</w:t>
            </w:r>
          </w:p>
        </w:tc>
        <w:tc>
          <w:tcPr>
            <w:tcW w:type="dxa" w:w="2074"/>
            <w:vAlign w:val="top"/>
          </w:tcPr>
          <w:p>
            <w:r/>
            <w:r>
              <w:rPr>
                <w:b w:val="0"/>
                <w:sz w:val="18"/>
              </w:rPr>
              <w:t>Educational Contribution</w:t>
            </w:r>
          </w:p>
        </w:tc>
        <w:tc>
          <w:tcPr>
            <w:tcW w:type="dxa" w:w="2074"/>
            <w:vAlign w:val="top"/>
          </w:tcPr>
          <w:p>
            <w:r/>
            <w:r>
              <w:rPr>
                <w:b w:val="0"/>
                <w:sz w:val="18"/>
              </w:rPr>
              <w:t>Evaluate whether the work contributes to education practice, learning design, learning analytics, assessment, or technology-supported instruction.</w:t>
            </w:r>
          </w:p>
        </w:tc>
        <w:tc>
          <w:tcPr>
            <w:tcW w:type="dxa" w:w="2074"/>
            <w:vAlign w:val="top"/>
          </w:tcPr>
          <w:p>
            <w:r/>
            <w:r>
              <w:rPr>
                <w:b w:val="0"/>
                <w:sz w:val="18"/>
              </w:rPr>
              <w:t>learning scenario; target learners; pedagogical rationale; implementation context</w:t>
            </w:r>
          </w:p>
        </w:tc>
        <w:tc>
          <w:tcPr>
            <w:tcW w:type="dxa" w:w="2074"/>
            <w:vAlign w:val="top"/>
          </w:tcPr>
          <w:p>
            <w:r/>
            <w:r>
              <w:rPr>
                <w:b w:val="0"/>
                <w:sz w:val="18"/>
              </w:rPr>
              <w:t>major</w:t>
            </w:r>
          </w:p>
        </w:tc>
      </w:tr>
      <w:tr>
        <w:tc>
          <w:tcPr>
            <w:tcW w:type="dxa" w:w="2074"/>
            <w:vAlign w:val="top"/>
          </w:tcPr>
          <w:p>
            <w:r/>
            <w:r>
              <w:rPr>
                <w:b w:val="0"/>
                <w:sz w:val="18"/>
              </w:rPr>
              <w:t>Research/application outcome clarity</w:t>
            </w:r>
          </w:p>
        </w:tc>
        <w:tc>
          <w:tcPr>
            <w:tcW w:type="dxa" w:w="2074"/>
            <w:vAlign w:val="top"/>
          </w:tcPr>
          <w:p>
            <w:r/>
            <w:r>
              <w:rPr>
                <w:b w:val="0"/>
                <w:sz w:val="18"/>
              </w:rPr>
              <w:t>Clarity / Presentation</w:t>
            </w:r>
          </w:p>
        </w:tc>
        <w:tc>
          <w:tcPr>
            <w:tcW w:type="dxa" w:w="2074"/>
            <w:vAlign w:val="top"/>
          </w:tcPr>
          <w:p>
            <w:r/>
            <w:r>
              <w:rPr>
                <w:b w:val="0"/>
                <w:sz w:val="18"/>
              </w:rPr>
              <w:t>Submission should clearly communicate research results, application experience, or design implications within strict page limits.</w:t>
            </w:r>
          </w:p>
        </w:tc>
        <w:tc>
          <w:tcPr>
            <w:tcW w:type="dxa" w:w="2074"/>
            <w:vAlign w:val="top"/>
          </w:tcPr>
          <w:p>
            <w:r/>
            <w:r>
              <w:rPr>
                <w:b w:val="0"/>
                <w:sz w:val="18"/>
              </w:rPr>
              <w:t>problem statement; method or system design; expected/actual results; implications</w:t>
            </w:r>
          </w:p>
        </w:tc>
        <w:tc>
          <w:tcPr>
            <w:tcW w:type="dxa" w:w="2074"/>
            <w:vAlign w:val="top"/>
          </w:tcPr>
          <w:p>
            <w:r/>
            <w:r>
              <w:rPr>
                <w:b w:val="0"/>
                <w:sz w:val="18"/>
              </w:rPr>
              <w:t>major</w:t>
            </w:r>
          </w:p>
        </w:tc>
      </w:tr>
      <w:tr>
        <w:tc>
          <w:tcPr>
            <w:tcW w:type="dxa" w:w="2074"/>
            <w:vAlign w:val="top"/>
          </w:tcPr>
          <w:p>
            <w:r/>
            <w:r>
              <w:rPr>
                <w:b w:val="0"/>
                <w:sz w:val="18"/>
              </w:rPr>
              <w:t>Topic classification for SIG/session routing</w:t>
            </w:r>
          </w:p>
        </w:tc>
        <w:tc>
          <w:tcPr>
            <w:tcW w:type="dxa" w:w="2074"/>
            <w:vAlign w:val="top"/>
          </w:tcPr>
          <w:p>
            <w:r/>
            <w:r>
              <w:rPr>
                <w:b w:val="0"/>
                <w:sz w:val="18"/>
              </w:rPr>
              <w:t>Review Process</w:t>
            </w:r>
          </w:p>
        </w:tc>
        <w:tc>
          <w:tcPr>
            <w:tcW w:type="dxa" w:w="2074"/>
            <w:vAlign w:val="top"/>
          </w:tcPr>
          <w:p>
            <w:r/>
            <w:r>
              <w:rPr>
                <w:b w:val="0"/>
                <w:sz w:val="18"/>
              </w:rPr>
              <w:t>If submission selects one of the first ten SIG topics, it can be routed to the appropriate SIG session after acceptance.</w:t>
            </w:r>
          </w:p>
        </w:tc>
        <w:tc>
          <w:tcPr>
            <w:tcW w:type="dxa" w:w="2074"/>
            <w:vAlign w:val="top"/>
          </w:tcPr>
          <w:p>
            <w:r/>
            <w:r>
              <w:rPr>
                <w:b w:val="0"/>
                <w:sz w:val="18"/>
              </w:rPr>
              <w:t>selected topic; taxonomy mapping; keywords</w:t>
            </w:r>
          </w:p>
        </w:tc>
        <w:tc>
          <w:tcPr>
            <w:tcW w:type="dxa" w:w="2074"/>
            <w:vAlign w:val="top"/>
          </w:tcPr>
          <w:p>
            <w:r/>
            <w:r>
              <w:rPr>
                <w:b w:val="0"/>
                <w:sz w:val="18"/>
              </w:rPr>
              <w:t>minor</w:t>
            </w:r>
          </w:p>
        </w:tc>
      </w:tr>
      <w:tr>
        <w:tc>
          <w:tcPr>
            <w:tcW w:type="dxa" w:w="2074"/>
            <w:vAlign w:val="top"/>
          </w:tcPr>
          <w:p>
            <w:r/>
            <w:r>
              <w:rPr>
                <w:b w:val="0"/>
                <w:sz w:val="18"/>
              </w:rPr>
              <w:t>Format and presentation compliance</w:t>
            </w:r>
          </w:p>
        </w:tc>
        <w:tc>
          <w:tcPr>
            <w:tcW w:type="dxa" w:w="2074"/>
            <w:vAlign w:val="top"/>
          </w:tcPr>
          <w:p>
            <w:r/>
            <w:r>
              <w:rPr>
                <w:b w:val="0"/>
                <w:sz w:val="18"/>
              </w:rPr>
              <w:t>Submission Compliance</w:t>
            </w:r>
          </w:p>
        </w:tc>
        <w:tc>
          <w:tcPr>
            <w:tcW w:type="dxa" w:w="2074"/>
            <w:vAlign w:val="top"/>
          </w:tcPr>
          <w:p>
            <w:r/>
            <w:r>
              <w:rPr>
                <w:b w:val="0"/>
                <w:sz w:val="18"/>
              </w:rPr>
              <w:t>Check page length, PDF submission, language option, and accepted-paper registration/presentation requirements.</w:t>
            </w:r>
          </w:p>
        </w:tc>
        <w:tc>
          <w:tcPr>
            <w:tcW w:type="dxa" w:w="2074"/>
            <w:vAlign w:val="top"/>
          </w:tcPr>
          <w:p>
            <w:r/>
            <w:r>
              <w:rPr>
                <w:b w:val="0"/>
                <w:sz w:val="18"/>
              </w:rPr>
              <w:t>PDF format; page count; author registration; presentation plan</w:t>
            </w:r>
          </w:p>
        </w:tc>
        <w:tc>
          <w:tcPr>
            <w:tcW w:type="dxa" w:w="2074"/>
            <w:vAlign w:val="top"/>
          </w:tcPr>
          <w:p>
            <w:r/>
            <w:r>
              <w:rPr>
                <w:b w:val="0"/>
                <w:sz w:val="18"/>
              </w:rPr>
              <w:t>major</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field_name</w:t>
            </w:r>
          </w:p>
        </w:tc>
        <w:tc>
          <w:tcPr>
            <w:tcW w:type="dxa" w:w="2592"/>
            <w:shd w:fill="D9EAF7"/>
            <w:vAlign w:val="center"/>
          </w:tcPr>
          <w:p>
            <w:r/>
            <w:r>
              <w:rPr>
                <w:b/>
                <w:sz w:val="18"/>
              </w:rPr>
              <w:t>field_type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Conference topic</w:t>
            </w:r>
          </w:p>
        </w:tc>
        <w:tc>
          <w:tcPr>
            <w:tcW w:type="dxa" w:w="2592"/>
            <w:vAlign w:val="top"/>
          </w:tcPr>
          <w:p>
            <w:r/>
            <w:r>
              <w:rPr>
                <w:b w:val="0"/>
                <w:sz w:val="18"/>
              </w:rPr>
              <w:t>taxonomy_choice</w:t>
            </w:r>
          </w:p>
        </w:tc>
        <w:tc>
          <w:tcPr>
            <w:tcW w:type="dxa" w:w="2592"/>
            <w:vAlign w:val="top"/>
          </w:tcPr>
          <w:p>
            <w:r/>
            <w:r>
              <w:rPr>
                <w:b w:val="0"/>
                <w:sz w:val="18"/>
              </w:rPr>
              <w:t>One or more TWELF topics/SIG topics selected by the submission.</w:t>
            </w:r>
          </w:p>
        </w:tc>
        <w:tc>
          <w:tcPr>
            <w:tcW w:type="dxa" w:w="2592"/>
            <w:vAlign w:val="top"/>
          </w:tcPr>
          <w:p>
            <w:r/>
            <w:r>
              <w:rPr>
                <w:b w:val="0"/>
                <w:sz w:val="18"/>
              </w:rPr>
              <w:t>true</w:t>
            </w:r>
          </w:p>
        </w:tc>
      </w:tr>
      <w:tr>
        <w:tc>
          <w:tcPr>
            <w:tcW w:type="dxa" w:w="2592"/>
            <w:vAlign w:val="top"/>
          </w:tcPr>
          <w:p>
            <w:r/>
            <w:r>
              <w:rPr>
                <w:b w:val="0"/>
                <w:sz w:val="18"/>
              </w:rPr>
              <w:t>Submission type</w:t>
            </w:r>
          </w:p>
        </w:tc>
        <w:tc>
          <w:tcPr>
            <w:tcW w:type="dxa" w:w="2592"/>
            <w:vAlign w:val="top"/>
          </w:tcPr>
          <w:p>
            <w:r/>
            <w:r>
              <w:rPr>
                <w:b w:val="0"/>
                <w:sz w:val="18"/>
              </w:rPr>
              <w:t>category</w:t>
            </w:r>
          </w:p>
        </w:tc>
        <w:tc>
          <w:tcPr>
            <w:tcW w:type="dxa" w:w="2592"/>
            <w:vAlign w:val="top"/>
          </w:tcPr>
          <w:p>
            <w:r/>
            <w:r>
              <w:rPr>
                <w:b w:val="0"/>
                <w:sz w:val="18"/>
              </w:rPr>
              <w:t>Long paper or poster paper.</w:t>
            </w:r>
          </w:p>
        </w:tc>
        <w:tc>
          <w:tcPr>
            <w:tcW w:type="dxa" w:w="2592"/>
            <w:vAlign w:val="top"/>
          </w:tcPr>
          <w:p>
            <w:r/>
            <w:r>
              <w:rPr>
                <w:b w:val="0"/>
                <w:sz w:val="18"/>
              </w:rPr>
              <w:t>true</w:t>
            </w:r>
          </w:p>
        </w:tc>
      </w:tr>
      <w:tr>
        <w:tc>
          <w:tcPr>
            <w:tcW w:type="dxa" w:w="2592"/>
            <w:vAlign w:val="top"/>
          </w:tcPr>
          <w:p>
            <w:r/>
            <w:r>
              <w:rPr>
                <w:b w:val="0"/>
                <w:sz w:val="18"/>
              </w:rPr>
              <w:t>Page length</w:t>
            </w:r>
          </w:p>
        </w:tc>
        <w:tc>
          <w:tcPr>
            <w:tcW w:type="dxa" w:w="2592"/>
            <w:vAlign w:val="top"/>
          </w:tcPr>
          <w:p>
            <w:r/>
            <w:r>
              <w:rPr>
                <w:b w:val="0"/>
                <w:sz w:val="18"/>
              </w:rPr>
              <w:t>numeric_range</w:t>
            </w:r>
          </w:p>
        </w:tc>
        <w:tc>
          <w:tcPr>
            <w:tcW w:type="dxa" w:w="2592"/>
            <w:vAlign w:val="top"/>
          </w:tcPr>
          <w:p>
            <w:r/>
            <w:r>
              <w:rPr>
                <w:b w:val="0"/>
                <w:sz w:val="18"/>
              </w:rPr>
              <w:t>3-5 pages for long paper; 1-2 pages for poster.</w:t>
            </w:r>
          </w:p>
        </w:tc>
        <w:tc>
          <w:tcPr>
            <w:tcW w:type="dxa" w:w="2592"/>
            <w:vAlign w:val="top"/>
          </w:tcPr>
          <w:p>
            <w:r/>
            <w:r>
              <w:rPr>
                <w:b w:val="0"/>
                <w:sz w:val="18"/>
              </w:rPr>
              <w:t>true</w:t>
            </w:r>
          </w:p>
        </w:tc>
      </w:tr>
      <w:tr>
        <w:tc>
          <w:tcPr>
            <w:tcW w:type="dxa" w:w="2592"/>
            <w:vAlign w:val="top"/>
          </w:tcPr>
          <w:p>
            <w:r/>
            <w:r>
              <w:rPr>
                <w:b w:val="0"/>
                <w:sz w:val="18"/>
              </w:rPr>
              <w:t>Language</w:t>
            </w:r>
          </w:p>
        </w:tc>
        <w:tc>
          <w:tcPr>
            <w:tcW w:type="dxa" w:w="2592"/>
            <w:vAlign w:val="top"/>
          </w:tcPr>
          <w:p>
            <w:r/>
            <w:r>
              <w:rPr>
                <w:b w:val="0"/>
                <w:sz w:val="18"/>
              </w:rPr>
              <w:t>category</w:t>
            </w:r>
          </w:p>
        </w:tc>
        <w:tc>
          <w:tcPr>
            <w:tcW w:type="dxa" w:w="2592"/>
            <w:vAlign w:val="top"/>
          </w:tcPr>
          <w:p>
            <w:r/>
            <w:r>
              <w:rPr>
                <w:b w:val="0"/>
                <w:sz w:val="18"/>
              </w:rPr>
              <w:t>Chinese or English.</w:t>
            </w:r>
          </w:p>
        </w:tc>
        <w:tc>
          <w:tcPr>
            <w:tcW w:type="dxa" w:w="2592"/>
            <w:vAlign w:val="top"/>
          </w:tcPr>
          <w:p>
            <w:r/>
            <w:r>
              <w:rPr>
                <w:b w:val="0"/>
                <w:sz w:val="18"/>
              </w:rPr>
              <w:t>true</w:t>
            </w:r>
          </w:p>
        </w:tc>
      </w:tr>
      <w:tr>
        <w:tc>
          <w:tcPr>
            <w:tcW w:type="dxa" w:w="2592"/>
            <w:vAlign w:val="top"/>
          </w:tcPr>
          <w:p>
            <w:r/>
            <w:r>
              <w:rPr>
                <w:b w:val="0"/>
                <w:sz w:val="18"/>
              </w:rPr>
              <w:t>Presentation registration</w:t>
            </w:r>
          </w:p>
        </w:tc>
        <w:tc>
          <w:tcPr>
            <w:tcW w:type="dxa" w:w="2592"/>
            <w:vAlign w:val="top"/>
          </w:tcPr>
          <w:p>
            <w:r/>
            <w:r>
              <w:rPr>
                <w:b w:val="0"/>
                <w:sz w:val="18"/>
              </w:rPr>
              <w:t>process_check</w:t>
            </w:r>
          </w:p>
        </w:tc>
        <w:tc>
          <w:tcPr>
            <w:tcW w:type="dxa" w:w="2592"/>
            <w:vAlign w:val="top"/>
          </w:tcPr>
          <w:p>
            <w:r/>
            <w:r>
              <w:rPr>
                <w:b w:val="0"/>
                <w:sz w:val="18"/>
              </w:rPr>
              <w:t>At least one accepted-paper author registers and presents.</w:t>
            </w:r>
          </w:p>
        </w:tc>
        <w:tc>
          <w:tcPr>
            <w:tcW w:type="dxa" w:w="2592"/>
            <w:vAlign w:val="top"/>
          </w:tcPr>
          <w:p>
            <w:r/>
            <w:r>
              <w:rPr>
                <w:b w:val="0"/>
                <w:sz w:val="18"/>
              </w:rPr>
              <w:t>conditional</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evidence_name</w:t>
            </w:r>
          </w:p>
        </w:tc>
        <w:tc>
          <w:tcPr>
            <w:tcW w:type="dxa" w:w="2592"/>
            <w:shd w:fill="D9EAF7"/>
            <w:vAlign w:val="center"/>
          </w:tcPr>
          <w:p>
            <w:r/>
            <w:r>
              <w:rPr>
                <w:b/>
                <w:sz w:val="18"/>
              </w:rPr>
              <w:t>evidence_type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Topic-match evidence</w:t>
            </w:r>
          </w:p>
        </w:tc>
        <w:tc>
          <w:tcPr>
            <w:tcW w:type="dxa" w:w="2592"/>
            <w:vAlign w:val="top"/>
          </w:tcPr>
          <w:p>
            <w:r/>
            <w:r>
              <w:rPr>
                <w:b w:val="0"/>
                <w:sz w:val="18"/>
              </w:rPr>
              <w:t>scope_evidence</w:t>
            </w:r>
          </w:p>
        </w:tc>
        <w:tc>
          <w:tcPr>
            <w:tcW w:type="dxa" w:w="2592"/>
            <w:vAlign w:val="top"/>
          </w:tcPr>
          <w:p>
            <w:r/>
            <w:r>
              <w:rPr>
                <w:b w:val="0"/>
                <w:sz w:val="18"/>
              </w:rPr>
              <w:t>Paper keywords, abstract, and contribution should show clear relation to TWELF topics.</w:t>
            </w:r>
          </w:p>
        </w:tc>
        <w:tc>
          <w:tcPr>
            <w:tcW w:type="dxa" w:w="2592"/>
            <w:vAlign w:val="top"/>
          </w:tcPr>
          <w:p>
            <w:r/>
            <w:r>
              <w:rPr>
                <w:b w:val="0"/>
                <w:sz w:val="18"/>
              </w:rPr>
              <w:t>true</w:t>
            </w:r>
          </w:p>
        </w:tc>
      </w:tr>
      <w:tr>
        <w:tc>
          <w:tcPr>
            <w:tcW w:type="dxa" w:w="2592"/>
            <w:vAlign w:val="top"/>
          </w:tcPr>
          <w:p>
            <w:r/>
            <w:r>
              <w:rPr>
                <w:b w:val="0"/>
                <w:sz w:val="18"/>
              </w:rPr>
              <w:t>Educational context evidence</w:t>
            </w:r>
          </w:p>
        </w:tc>
        <w:tc>
          <w:tcPr>
            <w:tcW w:type="dxa" w:w="2592"/>
            <w:vAlign w:val="top"/>
          </w:tcPr>
          <w:p>
            <w:r/>
            <w:r>
              <w:rPr>
                <w:b w:val="0"/>
                <w:sz w:val="18"/>
              </w:rPr>
              <w:t>method_context</w:t>
            </w:r>
          </w:p>
        </w:tc>
        <w:tc>
          <w:tcPr>
            <w:tcW w:type="dxa" w:w="2592"/>
            <w:vAlign w:val="top"/>
          </w:tcPr>
          <w:p>
            <w:r/>
            <w:r>
              <w:rPr>
                <w:b w:val="0"/>
                <w:sz w:val="18"/>
              </w:rPr>
              <w:t>Paper should specify learners, educational setting, technology, or learning problem.</w:t>
            </w:r>
          </w:p>
        </w:tc>
        <w:tc>
          <w:tcPr>
            <w:tcW w:type="dxa" w:w="2592"/>
            <w:vAlign w:val="top"/>
          </w:tcPr>
          <w:p>
            <w:r/>
            <w:r>
              <w:rPr>
                <w:b w:val="0"/>
                <w:sz w:val="18"/>
              </w:rPr>
              <w:t>true</w:t>
            </w:r>
          </w:p>
        </w:tc>
      </w:tr>
      <w:tr>
        <w:tc>
          <w:tcPr>
            <w:tcW w:type="dxa" w:w="2592"/>
            <w:vAlign w:val="top"/>
          </w:tcPr>
          <w:p>
            <w:r/>
            <w:r>
              <w:rPr>
                <w:b w:val="0"/>
                <w:sz w:val="18"/>
              </w:rPr>
              <w:t>Submission-format evidence</w:t>
            </w:r>
          </w:p>
        </w:tc>
        <w:tc>
          <w:tcPr>
            <w:tcW w:type="dxa" w:w="2592"/>
            <w:vAlign w:val="top"/>
          </w:tcPr>
          <w:p>
            <w:r/>
            <w:r>
              <w:rPr>
                <w:b w:val="0"/>
                <w:sz w:val="18"/>
              </w:rPr>
              <w:t>format_check</w:t>
            </w:r>
          </w:p>
        </w:tc>
        <w:tc>
          <w:tcPr>
            <w:tcW w:type="dxa" w:w="2592"/>
            <w:vAlign w:val="top"/>
          </w:tcPr>
          <w:p>
            <w:r/>
            <w:r>
              <w:rPr>
                <w:b w:val="0"/>
                <w:sz w:val="18"/>
              </w:rPr>
              <w:t>PDF, page count, language, and submission category evidence.</w:t>
            </w:r>
          </w:p>
        </w:tc>
        <w:tc>
          <w:tcPr>
            <w:tcW w:type="dxa" w:w="2592"/>
            <w:vAlign w:val="top"/>
          </w:tcPr>
          <w:p>
            <w:r/>
            <w:r>
              <w:rPr>
                <w:b w:val="0"/>
                <w:sz w:val="18"/>
              </w:rPr>
              <w:t>true</w:t>
            </w:r>
          </w:p>
        </w:tc>
      </w:tr>
    </w:tbl>
    <w:p/>
    <w:p>
      <w:pPr>
        <w:pStyle w:val="Heading2"/>
      </w:pPr>
      <w:r>
        <w:t>Suggested graph relations</w:t>
      </w:r>
    </w:p>
    <w:p>
      <w:pPr>
        <w:pStyle w:val="ListBullet"/>
      </w:pPr>
      <w:r>
        <w:rPr>
          <w:rFonts w:ascii="Consolas" w:hAnsi="Consolas"/>
          <w:sz w:val="18"/>
        </w:rPr>
        <w:t>(:Venue {name:"TWELF2026"})-[:HAS_TOPIC]-&gt;(:Domain {name:"AI in Education and Society"})</w:t>
      </w:r>
    </w:p>
    <w:p>
      <w:pPr>
        <w:pStyle w:val="ListBullet"/>
      </w:pPr>
      <w:r>
        <w:rPr>
          <w:rFonts w:ascii="Consolas" w:hAnsi="Consolas"/>
          <w:sz w:val="18"/>
        </w:rPr>
        <w:t>(:Venue {name:"TWELF2026"})-[:HAS_ARTICLE_TYPE]-&gt;(:ArticleType {name:"Long paper 3-5 pages"})</w:t>
      </w:r>
    </w:p>
    <w:p>
      <w:pPr>
        <w:pStyle w:val="ListBullet"/>
      </w:pPr>
      <w:r>
        <w:rPr>
          <w:rFonts w:ascii="Consolas" w:hAnsi="Consolas"/>
          <w:sz w:val="18"/>
        </w:rPr>
        <w:t>(:ReviewCriterion {name:"Fit to digital learning innovation"})-[:REQUIRES_EVIDENCE]-&gt;(:EvidenceRequirement {name:"Topic-match evidence"})</w:t>
      </w:r>
    </w:p>
    <w:p>
      <w:pPr>
        <w:pStyle w:val="ListBullet"/>
      </w:pPr>
      <w:r>
        <w:rPr>
          <w:rFonts w:ascii="Consolas" w:hAnsi="Consolas"/>
          <w:sz w:val="18"/>
        </w:rPr>
        <w:t>(:ReviewCriterion {name:"Educational application and practice relevance"})-[:REQUIRES_EVIDENCE]-&gt;(:EvidenceRequirement {name:"Educational context evidence"})</w:t>
      </w:r>
    </w:p>
    <w:p>
      <w:pPr>
        <w:pStyle w:val="Heading1"/>
      </w:pPr>
      <w:r>
        <w:t>LLM_EXTRACTION_NOTES</w:t>
      </w:r>
    </w:p>
    <w:p>
      <w:pPr>
        <w:pStyle w:val="ListBullet"/>
      </w:pPr>
      <w:r>
        <w:t>Treat short source snippets as provenance cues, not as full guideline replication.</w:t>
      </w:r>
    </w:p>
    <w:p>
      <w:pPr>
        <w:pStyle w:val="ListBullet"/>
      </w:pPr>
      <w:r>
        <w:t>During graph ingestion, preserve source_url, source_type, venue_or_journal, year, domain, and article_type as node properties.</w:t>
      </w:r>
    </w:p>
    <w:p>
      <w:pPr>
        <w:pStyle w:val="ListBullet"/>
      </w:pPr>
      <w:r>
        <w:t>Use MERGE in Neo4j to avoid duplicate Criterion and EvidenceRequirement nodes when multiple templates share similar criteria.</w:t>
      </w:r>
    </w:p>
    <w:p>
      <w:pPr>
        <w:pStyle w:val="ListBullet"/>
      </w:pPr>
      <w:r>
        <w:t>Human spot-check recommended before marking extracted nodes as verified=true.</w:t>
      </w:r>
    </w:p>
    <w:p>
      <w:pPr>
        <w:pStyle w:val="ListBullet"/>
      </w:pPr>
      <w:r>
        <w:t>This is a call-for-papers template, not a reviewer form. Use it mainly for scope, topic taxonomy, submission compliance, and education-technology domain routing.</w:t>
      </w:r>
    </w:p>
    <w:p>
      <w:pPr>
        <w:pStyle w:val="Heading1"/>
      </w:pPr>
      <w:r>
        <w:t>COPYRIGHT_AND_USE_NOTE</w:t>
      </w:r>
    </w:p>
    <w:p>
      <w:r>
        <w:t>This file is a structured, paraphrased extraction template for internal graph ingestion. It does not reproduce the full source page. Keep the source URL and short provenance cues so the graph can point back to the official source during verification.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