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7F0F07">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Credit Card</w:t>
      </w:r>
      <w:r>
        <w:rPr>
          <w:rFonts w:hint="default"/>
          <w:b/>
          <w:bCs/>
          <w:color w:val="000000" w:themeColor="text1"/>
          <w:sz w:val="36"/>
          <w:szCs w:val="36"/>
          <w:lang w:val="en-US"/>
          <w14:textFill>
            <w14:solidFill>
              <w14:schemeClr w14:val="tx1"/>
            </w14:solidFill>
          </w14:textFill>
        </w:rPr>
        <w:t xml:space="preserve"> Transactions</w:t>
      </w:r>
      <w:r>
        <w:rPr>
          <w:b/>
          <w:bCs/>
          <w:color w:val="000000" w:themeColor="text1"/>
          <w:sz w:val="36"/>
          <w:szCs w:val="36"/>
          <w14:textFill>
            <w14:solidFill>
              <w14:schemeClr w14:val="tx1"/>
            </w14:solidFill>
          </w14:textFill>
        </w:rPr>
        <w:t xml:space="preserve"> Fraud Detection </w:t>
      </w:r>
    </w:p>
    <w:p w14:paraId="16C475BD">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using Machine Learning</w:t>
      </w:r>
    </w:p>
    <w:p w14:paraId="09E5803F">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Problem</w:t>
      </w:r>
    </w:p>
    <w:p w14:paraId="4475B2C9">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The growth of electronic payment systems has made credit cards one of the most widely used payment methods, but it has also created more opportunities for fraudulent activity, making fraud detection a critical challenge for financial institutions. While credit card fraud detection can be framed as a binary classification problem — legitimate versus fraudulent — it is complicated in practice by two factors: fraudulent transactions represent only a small fraction of all transactions, which can cause models to favour the majority class and appear accurate while missing most fraud; and individual transaction attributes alone often provide limited signal, since fraud is better revealed through patterns in transaction history, timing, and customer spending behaviour than through any single attribute in isolation.</w:t>
      </w:r>
    </w:p>
    <w:p w14:paraId="7258AC8F">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Based on these considerations, this study develops a machine learning pipeline for credit card fraud detection that combines exploratory data analysis, data preprocessing, </w:t>
      </w:r>
      <w:r>
        <w:rPr>
          <w:color w:val="000000" w:themeColor="text1"/>
          <w:sz w:val="24"/>
          <w:szCs w:val="24"/>
          <w:lang w:val="en-US"/>
          <w14:textFill>
            <w14:solidFill>
              <w14:schemeClr w14:val="tx1"/>
            </w14:solidFill>
          </w14:textFill>
        </w:rPr>
        <w:t>behavioral</w:t>
      </w:r>
      <w:r>
        <w:rPr>
          <w:color w:val="000000" w:themeColor="text1"/>
          <w:sz w:val="24"/>
          <w:szCs w:val="24"/>
          <w14:textFill>
            <w14:solidFill>
              <w14:schemeClr w14:val="tx1"/>
            </w14:solidFill>
          </w14:textFill>
        </w:rPr>
        <w:t xml:space="preserve"> and temporal feature engineering, and supervised model evaluation, with the aim of providing a systematic approach to improving fraud detection performance and understanding the contribution of engineered features.</w:t>
      </w:r>
    </w:p>
    <w:p w14:paraId="4EE0E2E2">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Data</w:t>
      </w:r>
    </w:p>
    <w:p w14:paraId="246CD863">
      <w:pPr>
        <w:pStyle w:val="4"/>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rPr>
          <w:rFonts w:hint="default" w:ascii="Times New Roman" w:hAnsi="Times New Roman" w:cs="Times New Roman"/>
          <w:i/>
          <w:iCs/>
          <w:color w:val="auto"/>
        </w:rPr>
      </w:pPr>
      <w:r>
        <w:rPr>
          <w:rFonts w:hint="default" w:ascii="Times New Roman" w:hAnsi="Times New Roman" w:cs="Times New Roman"/>
          <w:i/>
          <w:iCs/>
          <w:color w:val="auto"/>
        </w:rPr>
        <w:t>2.1 Dataset Overview</w:t>
      </w:r>
    </w:p>
    <w:p w14:paraId="7EB61119">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The notebook uses 2 source files: Train (1,296,675 transactions) and Test (555,719 transactions), each with 23 raw columns. Each row represents a single card transaction, combining transaction-level attributes (timestamp, merchant, merchant category, amount, merchant coordinates) with cardholder attributes (name, gender, address, job, date of birth, card number) and the binary target, is_fraud. A column-level profile of the combined dataset confirmed zero missing values across all 23 raw columns, and the data types were consistent with each field's semantics. Duplicate rows were removed from the training file before feature engineering. </w:t>
      </w:r>
    </w:p>
    <w:p w14:paraId="29BAE2B2">
      <w:pPr>
        <w:pStyle w:val="4"/>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rPr>
          <w:rFonts w:hint="default" w:ascii="Times New Roman" w:hAnsi="Times New Roman" w:cs="Times New Roman"/>
          <w:i/>
          <w:iCs/>
          <w:color w:val="auto"/>
        </w:rPr>
      </w:pPr>
      <w:r>
        <w:rPr>
          <w:rFonts w:hint="default" w:ascii="Times New Roman" w:hAnsi="Times New Roman" w:cs="Times New Roman"/>
          <w:i/>
          <w:iCs/>
          <w:color w:val="auto"/>
        </w:rPr>
        <w:t>2.2 Key Features</w:t>
      </w:r>
    </w:p>
    <w:tbl>
      <w:tblPr>
        <w:tblStyle w:val="9"/>
        <w:tblW w:w="0" w:type="auto"/>
        <w:tblInd w:w="0" w:type="dxa"/>
        <w:tblLayout w:type="autofit"/>
        <w:tblCellMar>
          <w:top w:w="15" w:type="dxa"/>
          <w:left w:w="15" w:type="dxa"/>
          <w:bottom w:w="15" w:type="dxa"/>
          <w:right w:w="15" w:type="dxa"/>
        </w:tblCellMar>
      </w:tblPr>
      <w:tblGrid>
        <w:gridCol w:w="2832"/>
        <w:gridCol w:w="2221"/>
        <w:gridCol w:w="4247"/>
      </w:tblGrid>
      <w:tr w14:paraId="1F8141C5">
        <w:tblPrEx>
          <w:tblCellMar>
            <w:top w:w="15" w:type="dxa"/>
            <w:left w:w="15" w:type="dxa"/>
            <w:bottom w:w="15" w:type="dxa"/>
            <w:right w:w="15" w:type="dxa"/>
          </w:tblCellMar>
        </w:tblPrEx>
        <w:trPr>
          <w:trHeight w:val="574" w:hRule="atLeast"/>
        </w:trPr>
        <w:tc>
          <w:tcPr>
            <w:tcW w:w="0" w:type="auto"/>
            <w:tcBorders>
              <w:top w:val="single" w:color="000000" w:sz="8" w:space="0"/>
              <w:left w:val="single" w:color="000000" w:sz="8" w:space="0"/>
              <w:bottom w:val="single" w:color="000000" w:sz="8" w:space="0"/>
              <w:right w:val="single" w:color="000000" w:sz="8" w:space="0"/>
            </w:tcBorders>
            <w:shd w:val="clear" w:color="auto" w:fill="D9E2F3"/>
            <w:tcMar>
              <w:top w:w="0" w:type="dxa"/>
              <w:left w:w="100" w:type="dxa"/>
              <w:bottom w:w="0" w:type="dxa"/>
              <w:right w:w="100" w:type="dxa"/>
            </w:tcMar>
          </w:tcPr>
          <w:p w14:paraId="01978ED3">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jc w:val="both"/>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Features</w:t>
            </w:r>
          </w:p>
        </w:tc>
        <w:tc>
          <w:tcPr>
            <w:tcW w:w="2221" w:type="dxa"/>
            <w:tcBorders>
              <w:top w:val="single" w:color="000000" w:sz="8" w:space="0"/>
              <w:left w:val="single" w:color="000000" w:sz="8" w:space="0"/>
              <w:bottom w:val="single" w:color="000000" w:sz="8" w:space="0"/>
              <w:right w:val="single" w:color="000000" w:sz="8" w:space="0"/>
            </w:tcBorders>
            <w:shd w:val="clear" w:color="auto" w:fill="D9E2F3"/>
            <w:tcMar>
              <w:top w:w="0" w:type="dxa"/>
              <w:left w:w="100" w:type="dxa"/>
              <w:bottom w:w="0" w:type="dxa"/>
              <w:right w:w="100" w:type="dxa"/>
            </w:tcMar>
          </w:tcPr>
          <w:p w14:paraId="2E4EE50F">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jc w:val="both"/>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Type</w:t>
            </w:r>
          </w:p>
        </w:tc>
        <w:tc>
          <w:tcPr>
            <w:tcW w:w="4247" w:type="dxa"/>
            <w:tcBorders>
              <w:top w:val="single" w:color="000000" w:sz="8" w:space="0"/>
              <w:left w:val="single" w:color="000000" w:sz="8" w:space="0"/>
              <w:bottom w:val="single" w:color="000000" w:sz="8" w:space="0"/>
              <w:right w:val="single" w:color="000000" w:sz="8" w:space="0"/>
            </w:tcBorders>
            <w:shd w:val="clear" w:color="auto" w:fill="D9E2F3"/>
            <w:tcMar>
              <w:top w:w="0" w:type="dxa"/>
              <w:left w:w="100" w:type="dxa"/>
              <w:bottom w:w="0" w:type="dxa"/>
              <w:right w:w="100" w:type="dxa"/>
            </w:tcMar>
          </w:tcPr>
          <w:p w14:paraId="23B630F7">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jc w:val="both"/>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Description</w:t>
            </w:r>
          </w:p>
        </w:tc>
      </w:tr>
      <w:tr w14:paraId="76675035">
        <w:tblPrEx>
          <w:tblCellMar>
            <w:top w:w="15" w:type="dxa"/>
            <w:left w:w="15" w:type="dxa"/>
            <w:bottom w:w="15" w:type="dxa"/>
            <w:right w:w="15" w:type="dxa"/>
          </w:tblCellMar>
        </w:tblPrEx>
        <w:trPr>
          <w:trHeight w:val="541" w:hRule="atLeast"/>
        </w:trPr>
        <w:tc>
          <w:tcPr>
            <w:tcW w:w="0" w:type="auto"/>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3CC4F015">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amt</w:t>
            </w:r>
          </w:p>
        </w:tc>
        <w:tc>
          <w:tcPr>
            <w:tcW w:w="2221"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6A3B18BA">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Existing feature</w:t>
            </w:r>
          </w:p>
        </w:tc>
        <w:tc>
          <w:tcPr>
            <w:tcW w:w="4247"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7830778D">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right="6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Transaction amount</w:t>
            </w:r>
          </w:p>
        </w:tc>
      </w:tr>
      <w:tr w14:paraId="12E6C761">
        <w:tblPrEx>
          <w:tblCellMar>
            <w:top w:w="15" w:type="dxa"/>
            <w:left w:w="15" w:type="dxa"/>
            <w:bottom w:w="15" w:type="dxa"/>
            <w:right w:w="15" w:type="dxa"/>
          </w:tblCellMar>
        </w:tblPrEx>
        <w:trPr>
          <w:trHeight w:val="548" w:hRule="atLeast"/>
        </w:trPr>
        <w:tc>
          <w:tcPr>
            <w:tcW w:w="0" w:type="auto"/>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747D0859">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city_pop</w:t>
            </w:r>
          </w:p>
        </w:tc>
        <w:tc>
          <w:tcPr>
            <w:tcW w:w="2221"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7BB62B59">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Existing feature</w:t>
            </w:r>
          </w:p>
        </w:tc>
        <w:tc>
          <w:tcPr>
            <w:tcW w:w="4247"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16AA00A0">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right="6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 xml:space="preserve">Population of the </w:t>
            </w:r>
            <w:r>
              <w:rPr>
                <w:rFonts w:ascii="Times New Roman" w:hAnsi="Times New Roman" w:cs="Times New Roman"/>
                <w:b w:val="0"/>
                <w:bCs w:val="0"/>
                <w:color w:val="000000" w:themeColor="text1"/>
                <w:sz w:val="22"/>
                <w:szCs w:val="22"/>
                <w:lang w:val="en-US"/>
                <w14:textFill>
                  <w14:solidFill>
                    <w14:schemeClr w14:val="tx1"/>
                  </w14:solidFill>
                </w14:textFill>
              </w:rPr>
              <w:t>card holder's</w:t>
            </w:r>
            <w:r>
              <w:rPr>
                <w:rFonts w:ascii="Times New Roman" w:hAnsi="Times New Roman" w:cs="Times New Roman"/>
                <w:b w:val="0"/>
                <w:bCs w:val="0"/>
                <w:color w:val="000000" w:themeColor="text1"/>
                <w:sz w:val="22"/>
                <w:szCs w:val="22"/>
                <w14:textFill>
                  <w14:solidFill>
                    <w14:schemeClr w14:val="tx1"/>
                  </w14:solidFill>
                </w14:textFill>
              </w:rPr>
              <w:t xml:space="preserve"> city</w:t>
            </w:r>
          </w:p>
        </w:tc>
      </w:tr>
      <w:tr w14:paraId="36E2665C">
        <w:tblPrEx>
          <w:tblCellMar>
            <w:top w:w="15" w:type="dxa"/>
            <w:left w:w="15" w:type="dxa"/>
            <w:bottom w:w="15" w:type="dxa"/>
            <w:right w:w="15" w:type="dxa"/>
          </w:tblCellMar>
        </w:tblPrEx>
        <w:trPr>
          <w:trHeight w:val="542" w:hRule="atLeast"/>
        </w:trPr>
        <w:tc>
          <w:tcPr>
            <w:tcW w:w="0" w:type="auto"/>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3A7B9221">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category</w:t>
            </w:r>
          </w:p>
        </w:tc>
        <w:tc>
          <w:tcPr>
            <w:tcW w:w="2221"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31A1D72D">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Existing feature</w:t>
            </w:r>
          </w:p>
        </w:tc>
        <w:tc>
          <w:tcPr>
            <w:tcW w:w="4247"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28C8B55D">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right="6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Merchant category of the transaction</w:t>
            </w:r>
          </w:p>
        </w:tc>
      </w:tr>
      <w:tr w14:paraId="024D4C6B">
        <w:tblPrEx>
          <w:tblCellMar>
            <w:top w:w="15" w:type="dxa"/>
            <w:left w:w="15" w:type="dxa"/>
            <w:bottom w:w="15" w:type="dxa"/>
            <w:right w:w="15" w:type="dxa"/>
          </w:tblCellMar>
        </w:tblPrEx>
        <w:trPr>
          <w:trHeight w:val="139" w:hRule="atLeast"/>
        </w:trPr>
        <w:tc>
          <w:tcPr>
            <w:tcW w:w="0" w:type="auto"/>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267DAC64">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previous_transactions</w:t>
            </w:r>
          </w:p>
        </w:tc>
        <w:tc>
          <w:tcPr>
            <w:tcW w:w="2221"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3E4B516B">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Engineered feature</w:t>
            </w:r>
          </w:p>
        </w:tc>
        <w:tc>
          <w:tcPr>
            <w:tcW w:w="4247"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30F6ACBB">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right="6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Number of previous transactions associated with the customer</w:t>
            </w:r>
          </w:p>
        </w:tc>
      </w:tr>
      <w:tr w14:paraId="41CEE700">
        <w:tblPrEx>
          <w:tblCellMar>
            <w:top w:w="15" w:type="dxa"/>
            <w:left w:w="15" w:type="dxa"/>
            <w:bottom w:w="15" w:type="dxa"/>
            <w:right w:w="15" w:type="dxa"/>
          </w:tblCellMar>
        </w:tblPrEx>
        <w:trPr>
          <w:trHeight w:val="759" w:hRule="atLeast"/>
        </w:trPr>
        <w:tc>
          <w:tcPr>
            <w:tcW w:w="0" w:type="auto"/>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6A79471C">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time_since_last_transaction</w:t>
            </w:r>
          </w:p>
        </w:tc>
        <w:tc>
          <w:tcPr>
            <w:tcW w:w="2221"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49A9FDC0">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Engineered feature</w:t>
            </w:r>
          </w:p>
        </w:tc>
        <w:tc>
          <w:tcPr>
            <w:tcW w:w="4247"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197893E8">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right="6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Time elapsed since the customer's previous transaction</w:t>
            </w:r>
          </w:p>
        </w:tc>
      </w:tr>
      <w:tr w14:paraId="7B436650">
        <w:tblPrEx>
          <w:tblCellMar>
            <w:top w:w="15" w:type="dxa"/>
            <w:left w:w="15" w:type="dxa"/>
            <w:bottom w:w="15" w:type="dxa"/>
            <w:right w:w="15" w:type="dxa"/>
          </w:tblCellMar>
        </w:tblPrEx>
        <w:trPr>
          <w:trHeight w:val="759" w:hRule="atLeast"/>
        </w:trPr>
        <w:tc>
          <w:tcPr>
            <w:tcW w:w="0" w:type="auto"/>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3980BBEC">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customer_total_amount</w:t>
            </w:r>
          </w:p>
        </w:tc>
        <w:tc>
          <w:tcPr>
            <w:tcW w:w="2221"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1AB62D2B">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Engineered feature</w:t>
            </w:r>
          </w:p>
        </w:tc>
        <w:tc>
          <w:tcPr>
            <w:tcW w:w="4247"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59EF9BB1">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right="6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Cumulative transaction amount associated with the customer</w:t>
            </w:r>
          </w:p>
          <w:p w14:paraId="5834C3AB">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right="6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 </w:t>
            </w:r>
          </w:p>
        </w:tc>
      </w:tr>
      <w:tr w14:paraId="50F28F96">
        <w:tblPrEx>
          <w:tblCellMar>
            <w:top w:w="15" w:type="dxa"/>
            <w:left w:w="15" w:type="dxa"/>
            <w:bottom w:w="15" w:type="dxa"/>
            <w:right w:w="15" w:type="dxa"/>
          </w:tblCellMar>
        </w:tblPrEx>
        <w:trPr>
          <w:trHeight w:val="973" w:hRule="atLeast"/>
        </w:trPr>
        <w:tc>
          <w:tcPr>
            <w:tcW w:w="0" w:type="auto"/>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3E3219E0">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jc w:val="both"/>
              <w:rPr>
                <w:rFonts w:ascii="Times New Roman" w:hAnsi="Times New Roman" w:cs="Times New Roman"/>
                <w:b w:val="0"/>
                <w:bCs w:val="0"/>
                <w:color w:val="000000" w:themeColor="text1"/>
                <w:sz w:val="22"/>
                <w:szCs w:val="22"/>
                <w:lang w:val="vi-VN"/>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customer_avg_amt_excluding</w:t>
            </w:r>
          </w:p>
          <w:p w14:paraId="63B8FA2E">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jc w:val="both"/>
              <w:rPr>
                <w:rFonts w:ascii="Times New Roman" w:hAnsi="Times New Roman" w:cs="Times New Roman"/>
                <w:b w:val="0"/>
                <w:bCs w:val="0"/>
                <w:color w:val="000000" w:themeColor="text1"/>
                <w:sz w:val="22"/>
                <w:szCs w:val="22"/>
                <w:lang w:val="vi-VN"/>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_current</w:t>
            </w:r>
          </w:p>
        </w:tc>
        <w:tc>
          <w:tcPr>
            <w:tcW w:w="2221"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4A629EF0">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Engineered feature</w:t>
            </w:r>
          </w:p>
        </w:tc>
        <w:tc>
          <w:tcPr>
            <w:tcW w:w="4247"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44782A10">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right="6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Customer's average transaction amount calculated from previous transactions, excluding the current transaction</w:t>
            </w:r>
          </w:p>
        </w:tc>
      </w:tr>
      <w:tr w14:paraId="49B6D3AC">
        <w:tblPrEx>
          <w:tblCellMar>
            <w:top w:w="15" w:type="dxa"/>
            <w:left w:w="15" w:type="dxa"/>
            <w:bottom w:w="15" w:type="dxa"/>
            <w:right w:w="15" w:type="dxa"/>
          </w:tblCellMar>
        </w:tblPrEx>
        <w:trPr>
          <w:trHeight w:val="898" w:hRule="atLeast"/>
        </w:trPr>
        <w:tc>
          <w:tcPr>
            <w:tcW w:w="0" w:type="auto"/>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047B5D4A">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amt_to_avg_ratio</w:t>
            </w:r>
          </w:p>
        </w:tc>
        <w:tc>
          <w:tcPr>
            <w:tcW w:w="2221"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0BB693A9">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Engineered feature</w:t>
            </w:r>
          </w:p>
        </w:tc>
        <w:tc>
          <w:tcPr>
            <w:tcW w:w="4247"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764B8193">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right="6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Ratio of the current transaction amount to the customer's historical average transaction amount</w:t>
            </w:r>
          </w:p>
        </w:tc>
      </w:tr>
      <w:tr w14:paraId="76CD7D1F">
        <w:tblPrEx>
          <w:tblCellMar>
            <w:top w:w="15" w:type="dxa"/>
            <w:left w:w="15" w:type="dxa"/>
            <w:bottom w:w="15" w:type="dxa"/>
            <w:right w:w="15" w:type="dxa"/>
          </w:tblCellMar>
        </w:tblPrEx>
        <w:trPr>
          <w:trHeight w:val="759" w:hRule="atLeast"/>
        </w:trPr>
        <w:tc>
          <w:tcPr>
            <w:tcW w:w="0" w:type="auto"/>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05E33D49">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distance</w:t>
            </w:r>
          </w:p>
        </w:tc>
        <w:tc>
          <w:tcPr>
            <w:tcW w:w="2221"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79B2DE27">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Engineered feature</w:t>
            </w:r>
          </w:p>
        </w:tc>
        <w:tc>
          <w:tcPr>
            <w:tcW w:w="4247"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5E0166B1">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right="6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Geographical distance between the cardholder and the merchant</w:t>
            </w:r>
          </w:p>
        </w:tc>
      </w:tr>
      <w:tr w14:paraId="2983F7E4">
        <w:tblPrEx>
          <w:tblCellMar>
            <w:top w:w="15" w:type="dxa"/>
            <w:left w:w="15" w:type="dxa"/>
            <w:bottom w:w="15" w:type="dxa"/>
            <w:right w:w="15" w:type="dxa"/>
          </w:tblCellMar>
        </w:tblPrEx>
        <w:trPr>
          <w:trHeight w:val="480" w:hRule="atLeast"/>
        </w:trPr>
        <w:tc>
          <w:tcPr>
            <w:tcW w:w="0" w:type="auto"/>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444612E3">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hour</w:t>
            </w:r>
          </w:p>
        </w:tc>
        <w:tc>
          <w:tcPr>
            <w:tcW w:w="2221"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4F4F5545">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Engineered feature</w:t>
            </w:r>
          </w:p>
        </w:tc>
        <w:tc>
          <w:tcPr>
            <w:tcW w:w="4247"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31872ADC">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right="6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Hour of the day when the transaction occurred</w:t>
            </w:r>
          </w:p>
        </w:tc>
      </w:tr>
      <w:tr w14:paraId="2942F0A2">
        <w:tblPrEx>
          <w:tblCellMar>
            <w:top w:w="15" w:type="dxa"/>
            <w:left w:w="15" w:type="dxa"/>
            <w:bottom w:w="15" w:type="dxa"/>
            <w:right w:w="15" w:type="dxa"/>
          </w:tblCellMar>
        </w:tblPrEx>
        <w:trPr>
          <w:trHeight w:val="686" w:hRule="atLeast"/>
        </w:trPr>
        <w:tc>
          <w:tcPr>
            <w:tcW w:w="0" w:type="auto"/>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46C9A19F">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hour_sin, hour_cos</w:t>
            </w:r>
          </w:p>
        </w:tc>
        <w:tc>
          <w:tcPr>
            <w:tcW w:w="2221"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404A28A7">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Engineered feature</w:t>
            </w:r>
          </w:p>
        </w:tc>
        <w:tc>
          <w:tcPr>
            <w:tcW w:w="4247"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78066AFA">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right="6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Cyclic sine and cosine transformation of the transaction hour </w:t>
            </w:r>
          </w:p>
        </w:tc>
      </w:tr>
      <w:tr w14:paraId="12E11D79">
        <w:tblPrEx>
          <w:tblCellMar>
            <w:top w:w="15" w:type="dxa"/>
            <w:left w:w="15" w:type="dxa"/>
            <w:bottom w:w="15" w:type="dxa"/>
            <w:right w:w="15" w:type="dxa"/>
          </w:tblCellMar>
        </w:tblPrEx>
        <w:trPr>
          <w:trHeight w:val="540" w:hRule="atLeast"/>
        </w:trPr>
        <w:tc>
          <w:tcPr>
            <w:tcW w:w="0" w:type="auto"/>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08163B6A">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age</w:t>
            </w:r>
          </w:p>
        </w:tc>
        <w:tc>
          <w:tcPr>
            <w:tcW w:w="2221"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57F20CB3">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Engineered feature</w:t>
            </w:r>
          </w:p>
        </w:tc>
        <w:tc>
          <w:tcPr>
            <w:tcW w:w="4247" w:type="dxa"/>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tcPr>
          <w:p w14:paraId="7BDE1BE5">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20" w:right="60"/>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Cardholder's age at the time of the transaction</w:t>
            </w:r>
          </w:p>
        </w:tc>
      </w:tr>
    </w:tbl>
    <w:p w14:paraId="61347968">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rFonts w:ascii="Times New Roman" w:hAnsi="Times New Roman" w:cs="Times New Roman"/>
          <w:b w:val="0"/>
          <w:bCs w:val="0"/>
          <w:i/>
          <w:iCs/>
          <w:color w:val="000000" w:themeColor="text1"/>
          <w:sz w:val="24"/>
          <w:szCs w:val="24"/>
          <w:lang w:val="vi-VN"/>
          <w14:textFill>
            <w14:solidFill>
              <w14:schemeClr w14:val="tx1"/>
            </w14:solidFill>
          </w14:textFill>
        </w:rPr>
      </w:pPr>
      <w:r>
        <w:rPr>
          <w:rFonts w:ascii="Times New Roman" w:hAnsi="Times New Roman" w:cs="Times New Roman"/>
          <w:b w:val="0"/>
          <w:bCs w:val="0"/>
          <w:i/>
          <w:iCs/>
          <w:color w:val="000000" w:themeColor="text1"/>
          <w:sz w:val="22"/>
          <w:szCs w:val="22"/>
          <w:lang w:val="vi-VN"/>
          <w14:textFill>
            <w14:solidFill>
              <w14:schemeClr w14:val="tx1"/>
            </w14:solidFill>
          </w14:textFill>
        </w:rPr>
        <w:t>Table 1: Key features used for model training</w:t>
      </w:r>
    </w:p>
    <w:p w14:paraId="35226B71">
      <w:pPr>
        <w:pStyle w:val="4"/>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rPr>
          <w:rFonts w:hint="default" w:ascii="Times New Roman" w:hAnsi="Times New Roman" w:cs="Times New Roman"/>
          <w:i/>
          <w:iCs/>
          <w:color w:val="auto"/>
        </w:rPr>
      </w:pPr>
      <w:r>
        <w:rPr>
          <w:rFonts w:hint="default" w:ascii="Times New Roman" w:hAnsi="Times New Roman" w:cs="Times New Roman"/>
          <w:i/>
          <w:iCs/>
          <w:color w:val="auto"/>
        </w:rPr>
        <w:t>2.3. EDA Findings</w:t>
      </w:r>
    </w:p>
    <w:p w14:paraId="04808DAB">
      <w:pPr>
        <w:pStyle w:val="22"/>
        <w:keepNext w:val="0"/>
        <w:keepLines w:val="0"/>
        <w:pageBreakBefore w:val="0"/>
        <w:widowControl/>
        <w:numPr>
          <w:ilvl w:val="0"/>
          <w:numId w:val="1"/>
        </w:numPr>
        <w:kinsoku/>
        <w:wordWrap/>
        <w:overflowPunct/>
        <w:topLinePunct w:val="0"/>
        <w:autoSpaceDE/>
        <w:autoSpaceDN/>
        <w:bidi w:val="0"/>
        <w:adjustRightInd/>
        <w:snapToGrid/>
        <w:spacing w:before="120" w:beforeAutospacing="0" w:after="120" w:afterAutospacing="0" w:line="23" w:lineRule="atLeast"/>
        <w:jc w:val="both"/>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Severe class imbalance: Out of the 1,296,675 Train transactions, only 7,506 (0.58%) were fraudulent — roughly one fraud for every 172 genuine transactions. This pattern is consistent with the severe imbalance typically reported for real-world transactional fraud data (Haixiang et al., 2017).</w:t>
      </w:r>
    </w:p>
    <w:p w14:paraId="52C794C3">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720"/>
        <w:jc w:val="center"/>
        <w:rPr>
          <w:color w:val="000000" w:themeColor="text1"/>
          <w:sz w:val="24"/>
          <w:szCs w:val="24"/>
          <w:lang w:val="vi-VN"/>
          <w14:textFill>
            <w14:solidFill>
              <w14:schemeClr w14:val="tx1"/>
            </w14:solidFill>
          </w14:textFill>
        </w:rPr>
      </w:pPr>
      <w:r>
        <w:rPr>
          <w:color w:val="000000"/>
          <w:sz w:val="24"/>
          <w:szCs w:val="24"/>
        </w:rPr>
        <w:drawing>
          <wp:inline distT="0" distB="0" distL="0" distR="0">
            <wp:extent cx="4119880" cy="1755140"/>
            <wp:effectExtent l="0" t="0" r="0" b="0"/>
            <wp:docPr id="122924616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46169" name="Picture 38"/>
                    <pic:cNvPicPr>
                      <a:picLocks noChangeAspect="1" noChangeArrowheads="1"/>
                    </pic:cNvPicPr>
                  </pic:nvPicPr>
                  <pic:blipFill>
                    <a:blip r:embed="rId6">
                      <a:extLst>
                        <a:ext uri="{28A0092B-C50C-407E-A947-70E740481C1C}">
                          <a14:useLocalDpi xmlns:a14="http://schemas.microsoft.com/office/drawing/2010/main" val="0"/>
                        </a:ext>
                      </a:extLst>
                    </a:blip>
                    <a:srcRect l="6580" t="15021" b="15258"/>
                    <a:stretch>
                      <a:fillRect/>
                    </a:stretch>
                  </pic:blipFill>
                  <pic:spPr>
                    <a:xfrm>
                      <a:off x="0" y="0"/>
                      <a:ext cx="4124549" cy="1756970"/>
                    </a:xfrm>
                    <a:prstGeom prst="rect">
                      <a:avLst/>
                    </a:prstGeom>
                    <a:noFill/>
                    <a:ln>
                      <a:noFill/>
                    </a:ln>
                  </pic:spPr>
                </pic:pic>
              </a:graphicData>
            </a:graphic>
          </wp:inline>
        </w:drawing>
      </w:r>
    </w:p>
    <w:p w14:paraId="78DEFB28">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rFonts w:ascii="Times New Roman" w:hAnsi="Times New Roman" w:cs="Times New Roman"/>
          <w:b w:val="0"/>
          <w:bCs w:val="0"/>
          <w:i/>
          <w:iCs/>
          <w:color w:val="000000" w:themeColor="text1"/>
          <w:sz w:val="22"/>
          <w:szCs w:val="22"/>
          <w:lang w:val="vi-VN"/>
          <w14:textFill>
            <w14:solidFill>
              <w14:schemeClr w14:val="tx1"/>
            </w14:solidFill>
          </w14:textFill>
        </w:rPr>
      </w:pPr>
      <w:r>
        <w:rPr>
          <w:rFonts w:ascii="Times New Roman" w:hAnsi="Times New Roman" w:cs="Times New Roman"/>
          <w:b w:val="0"/>
          <w:bCs w:val="0"/>
          <w:i/>
          <w:iCs/>
          <w:color w:val="000000" w:themeColor="text1"/>
          <w:sz w:val="22"/>
          <w:szCs w:val="22"/>
          <w:lang w:val="vi-VN"/>
          <w14:textFill>
            <w14:solidFill>
              <w14:schemeClr w14:val="tx1"/>
            </w14:solidFill>
          </w14:textFill>
        </w:rPr>
        <w:t>Figure 1</w:t>
      </w:r>
      <w:r>
        <w:rPr>
          <w:rFonts w:hint="default" w:ascii="Times New Roman" w:hAnsi="Times New Roman" w:cs="Times New Roman"/>
          <w:b w:val="0"/>
          <w:bCs w:val="0"/>
          <w:i/>
          <w:iCs/>
          <w:color w:val="000000" w:themeColor="text1"/>
          <w:sz w:val="22"/>
          <w:szCs w:val="22"/>
          <w:lang w:val="en-US"/>
          <w14:textFill>
            <w14:solidFill>
              <w14:schemeClr w14:val="tx1"/>
            </w14:solidFill>
          </w14:textFill>
        </w:rPr>
        <w:t>.</w:t>
      </w:r>
      <w:r>
        <w:rPr>
          <w:rFonts w:ascii="Times New Roman" w:hAnsi="Times New Roman" w:cs="Times New Roman"/>
          <w:b w:val="0"/>
          <w:bCs w:val="0"/>
          <w:i/>
          <w:iCs/>
          <w:color w:val="000000" w:themeColor="text1"/>
          <w:sz w:val="22"/>
          <w:szCs w:val="22"/>
          <w:lang w:val="vi-VN"/>
          <w14:textFill>
            <w14:solidFill>
              <w14:schemeClr w14:val="tx1"/>
            </w14:solidFill>
          </w14:textFill>
        </w:rPr>
        <w:t xml:space="preserve"> Fraud vs Genuine transaction distribution</w:t>
      </w:r>
    </w:p>
    <w:p w14:paraId="4DA2ED28">
      <w:pPr>
        <w:pStyle w:val="22"/>
        <w:keepNext w:val="0"/>
        <w:keepLines w:val="0"/>
        <w:pageBreakBefore w:val="0"/>
        <w:widowControl/>
        <w:numPr>
          <w:ilvl w:val="0"/>
          <w:numId w:val="2"/>
        </w:numPr>
        <w:kinsoku/>
        <w:wordWrap/>
        <w:overflowPunct/>
        <w:topLinePunct w:val="0"/>
        <w:autoSpaceDE/>
        <w:autoSpaceDN/>
        <w:bidi w:val="0"/>
        <w:adjustRightInd/>
        <w:snapToGrid/>
        <w:spacing w:before="120" w:beforeAutospacing="0" w:after="120" w:afterAutospacing="0" w:line="23" w:lineRule="atLeast"/>
        <w:jc w:val="both"/>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Transaction amount: The log-transformed amount distribution differed visibly between genuine and fraudulent transactions, motivating the use of amount-based ratio.</w:t>
      </w:r>
    </w:p>
    <w:p w14:paraId="7E70FC15">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720"/>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4121150" cy="2579370"/>
            <wp:effectExtent l="0" t="0" r="0" b="0"/>
            <wp:docPr id="202241442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14425"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286005" cy="2682554"/>
                    </a:xfrm>
                    <a:prstGeom prst="rect">
                      <a:avLst/>
                    </a:prstGeom>
                    <a:noFill/>
                    <a:ln>
                      <a:noFill/>
                    </a:ln>
                  </pic:spPr>
                </pic:pic>
              </a:graphicData>
            </a:graphic>
          </wp:inline>
        </w:drawing>
      </w:r>
    </w:p>
    <w:p w14:paraId="3F4E0FF9">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rFonts w:ascii="Times New Roman" w:hAnsi="Times New Roman" w:cs="Times New Roman"/>
          <w:b w:val="0"/>
          <w:bCs w:val="0"/>
          <w:i/>
          <w:iCs/>
          <w:color w:val="000000" w:themeColor="text1"/>
          <w:sz w:val="22"/>
          <w:szCs w:val="22"/>
          <w:lang w:val="vi-VN"/>
          <w14:textFill>
            <w14:solidFill>
              <w14:schemeClr w14:val="tx1"/>
            </w14:solidFill>
          </w14:textFill>
        </w:rPr>
      </w:pPr>
      <w:r>
        <w:rPr>
          <w:rFonts w:hint="default" w:ascii="Times New Roman" w:hAnsi="Times New Roman" w:cs="Times New Roman"/>
          <w:b w:val="0"/>
          <w:bCs w:val="0"/>
          <w:i/>
          <w:iCs/>
          <w:color w:val="000000" w:themeColor="text1"/>
          <w:sz w:val="22"/>
          <w:szCs w:val="22"/>
          <w:lang w:val="vi-VN"/>
          <w14:textFill>
            <w14:solidFill>
              <w14:schemeClr w14:val="tx1"/>
            </w14:solidFill>
          </w14:textFill>
        </w:rPr>
        <w:t>Figure 2</w:t>
      </w:r>
      <w:r>
        <w:rPr>
          <w:rFonts w:hint="default" w:ascii="Times New Roman" w:hAnsi="Times New Roman" w:cs="Times New Roman"/>
          <w:b w:val="0"/>
          <w:bCs w:val="0"/>
          <w:i/>
          <w:iCs/>
          <w:color w:val="000000" w:themeColor="text1"/>
          <w:sz w:val="22"/>
          <w:szCs w:val="22"/>
          <w:lang w:val="en-US"/>
          <w14:textFill>
            <w14:solidFill>
              <w14:schemeClr w14:val="tx1"/>
            </w14:solidFill>
          </w14:textFill>
        </w:rPr>
        <w:t xml:space="preserve">. </w:t>
      </w:r>
      <w:r>
        <w:rPr>
          <w:rFonts w:hint="default" w:ascii="Times New Roman" w:hAnsi="Times New Roman" w:cs="Times New Roman"/>
          <w:b w:val="0"/>
          <w:bCs w:val="0"/>
          <w:i/>
          <w:iCs/>
          <w:color w:val="000000" w:themeColor="text1"/>
          <w:sz w:val="22"/>
          <w:szCs w:val="22"/>
          <w:lang w:val="vi-VN"/>
          <w14:textFill>
            <w14:solidFill>
              <w14:schemeClr w14:val="tx1"/>
            </w14:solidFill>
          </w14:textFill>
        </w:rPr>
        <w:t>Distribution of log_amount by transaction class</w:t>
      </w:r>
    </w:p>
    <w:p w14:paraId="4F83A8B0">
      <w:pPr>
        <w:pStyle w:val="22"/>
        <w:keepNext w:val="0"/>
        <w:keepLines w:val="0"/>
        <w:pageBreakBefore w:val="0"/>
        <w:widowControl/>
        <w:numPr>
          <w:ilvl w:val="0"/>
          <w:numId w:val="3"/>
        </w:numPr>
        <w:kinsoku/>
        <w:wordWrap/>
        <w:overflowPunct/>
        <w:topLinePunct w:val="0"/>
        <w:autoSpaceDE/>
        <w:autoSpaceDN/>
        <w:bidi w:val="0"/>
        <w:adjustRightInd/>
        <w:snapToGrid/>
        <w:spacing w:before="120" w:beforeAutospacing="0" w:after="120" w:afterAutospacing="0" w:line="23" w:lineRule="atLeast"/>
        <w:jc w:val="both"/>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Amount-to-average</w:t>
      </w:r>
      <w:r>
        <w:rPr>
          <w:color w:val="000000" w:themeColor="text1"/>
          <w:sz w:val="24"/>
          <w:szCs w:val="24"/>
          <w:lang w:val="vi-VN"/>
          <w14:textFill>
            <w14:solidFill>
              <w14:schemeClr w14:val="tx1"/>
            </w14:solidFill>
          </w14:textFill>
        </w:rPr>
        <w:t xml:space="preserve"> </w:t>
      </w:r>
      <w:r>
        <w:rPr>
          <w:color w:val="000000" w:themeColor="text1"/>
          <w:sz w:val="24"/>
          <w:szCs w:val="24"/>
          <w14:textFill>
            <w14:solidFill>
              <w14:schemeClr w14:val="tx1"/>
            </w14:solidFill>
          </w14:textFill>
        </w:rPr>
        <w:t>ratio: Binning amt_to_avg_ratio revealed a strong, monotonic relationship with fraud incidence (Table 1) — rising from 0.29% of transactions at ratio ≤ 0.5 to 23.39% of transactions at ratio &gt; 8. A transaction disproportionately larger than a card's own historical average is therefore one of the strongest behavioural indicators in the dataset.</w:t>
      </w:r>
    </w:p>
    <w:p w14:paraId="08EB59E8">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720"/>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4688205" cy="2099945"/>
            <wp:effectExtent l="0" t="0" r="0" b="0"/>
            <wp:docPr id="43496098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60985" name="Picture 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822156" cy="2159915"/>
                    </a:xfrm>
                    <a:prstGeom prst="rect">
                      <a:avLst/>
                    </a:prstGeom>
                    <a:noFill/>
                    <a:ln>
                      <a:noFill/>
                    </a:ln>
                  </pic:spPr>
                </pic:pic>
              </a:graphicData>
            </a:graphic>
          </wp:inline>
        </w:drawing>
      </w:r>
    </w:p>
    <w:p w14:paraId="0D1ED58F">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rFonts w:hint="default" w:ascii="Times New Roman" w:hAnsi="Times New Roman" w:cs="Times New Roman"/>
          <w:b w:val="0"/>
          <w:bCs w:val="0"/>
          <w:i/>
          <w:iCs/>
          <w:color w:val="000000" w:themeColor="text1"/>
          <w:sz w:val="22"/>
          <w:szCs w:val="22"/>
          <w:lang w:val="vi-VN"/>
          <w14:textFill>
            <w14:solidFill>
              <w14:schemeClr w14:val="tx1"/>
            </w14:solidFill>
          </w14:textFill>
        </w:rPr>
      </w:pPr>
      <w:r>
        <w:rPr>
          <w:rFonts w:hint="default" w:ascii="Times New Roman" w:hAnsi="Times New Roman" w:cs="Times New Roman"/>
          <w:b w:val="0"/>
          <w:bCs w:val="0"/>
          <w:i/>
          <w:iCs/>
          <w:color w:val="000000" w:themeColor="text1"/>
          <w:sz w:val="22"/>
          <w:szCs w:val="22"/>
          <w:lang w:val="vi-VN"/>
          <w14:textFill>
            <w14:solidFill>
              <w14:schemeClr w14:val="tx1"/>
            </w14:solidFill>
          </w14:textFill>
        </w:rPr>
        <w:t>Table 2</w:t>
      </w:r>
      <w:r>
        <w:rPr>
          <w:rFonts w:hint="default" w:ascii="Times New Roman" w:hAnsi="Times New Roman" w:cs="Times New Roman"/>
          <w:b w:val="0"/>
          <w:bCs w:val="0"/>
          <w:i/>
          <w:iCs/>
          <w:color w:val="000000" w:themeColor="text1"/>
          <w:sz w:val="22"/>
          <w:szCs w:val="22"/>
          <w:lang w:val="en-US"/>
          <w14:textFill>
            <w14:solidFill>
              <w14:schemeClr w14:val="tx1"/>
            </w14:solidFill>
          </w14:textFill>
        </w:rPr>
        <w:t>.</w:t>
      </w:r>
      <w:r>
        <w:rPr>
          <w:rFonts w:hint="default" w:ascii="Times New Roman" w:hAnsi="Times New Roman" w:cs="Times New Roman"/>
          <w:b w:val="0"/>
          <w:bCs w:val="0"/>
          <w:i/>
          <w:iCs/>
          <w:color w:val="000000" w:themeColor="text1"/>
          <w:sz w:val="22"/>
          <w:szCs w:val="22"/>
          <w:lang w:val="vi-VN"/>
          <w14:textFill>
            <w14:solidFill>
              <w14:schemeClr w14:val="tx1"/>
            </w14:solidFill>
          </w14:textFill>
        </w:rPr>
        <w:t xml:space="preserve"> Fraud rate by amt_to_avg_ratio bin</w:t>
      </w:r>
    </w:p>
    <w:p w14:paraId="47E4D752">
      <w:pPr>
        <w:pStyle w:val="22"/>
        <w:keepNext w:val="0"/>
        <w:keepLines w:val="0"/>
        <w:pageBreakBefore w:val="0"/>
        <w:widowControl/>
        <w:numPr>
          <w:ilvl w:val="0"/>
          <w:numId w:val="4"/>
        </w:numPr>
        <w:kinsoku/>
        <w:wordWrap/>
        <w:overflowPunct/>
        <w:topLinePunct w:val="0"/>
        <w:autoSpaceDE/>
        <w:autoSpaceDN/>
        <w:bidi w:val="0"/>
        <w:adjustRightInd/>
        <w:snapToGrid/>
        <w:spacing w:before="120" w:beforeAutospacing="0" w:after="120" w:afterAutospacing="0" w:line="23" w:lineRule="atLeast"/>
        <w:jc w:val="both"/>
        <w:textAlignment w:val="baseline"/>
        <w:rPr>
          <w:color w:val="000000" w:themeColor="text1"/>
          <w:sz w:val="24"/>
          <w:szCs w:val="24"/>
          <w14:textFill>
            <w14:solidFill>
              <w14:schemeClr w14:val="tx1"/>
            </w14:solidFill>
          </w14:textFill>
        </w:rPr>
      </w:pPr>
      <w:r>
        <w:rPr>
          <w:color w:val="000000" w:themeColor="text1"/>
          <w:sz w:val="24"/>
          <w:szCs w:val="24"/>
          <w:lang w:val="vi-VN"/>
          <w14:textFill>
            <w14:solidFill>
              <w14:schemeClr w14:val="tx1"/>
            </w14:solidFill>
          </w14:textFill>
        </w:rPr>
        <w:t xml:space="preserve">Transaction time in the day: </w:t>
      </w:r>
      <w:r>
        <w:rPr>
          <w:color w:val="000000" w:themeColor="text1"/>
          <w:sz w:val="24"/>
          <w:szCs w:val="24"/>
          <w14:textFill>
            <w14:solidFill>
              <w14:schemeClr w14:val="tx1"/>
            </w14:solidFill>
          </w14:textFill>
        </w:rPr>
        <w:t>The distribution of transaction hour differed between genuine and fraudulent cases, motivating the cyclical sin/cos encoding used to represent the 24-hour periodicity for tree- and margin-based models.</w:t>
      </w:r>
    </w:p>
    <w:p w14:paraId="31254DEA">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360"/>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4037965" cy="2507615"/>
            <wp:effectExtent l="0" t="0" r="635" b="0"/>
            <wp:docPr id="172210898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08989"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037965" cy="2507615"/>
                    </a:xfrm>
                    <a:prstGeom prst="rect">
                      <a:avLst/>
                    </a:prstGeom>
                    <a:noFill/>
                    <a:ln>
                      <a:noFill/>
                    </a:ln>
                  </pic:spPr>
                </pic:pic>
              </a:graphicData>
            </a:graphic>
          </wp:inline>
        </w:drawing>
      </w:r>
    </w:p>
    <w:p w14:paraId="75BD17A1">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rFonts w:hint="default" w:ascii="Times New Roman" w:hAnsi="Times New Roman" w:cs="Times New Roman"/>
          <w:b w:val="0"/>
          <w:bCs w:val="0"/>
          <w:i/>
          <w:iCs/>
          <w:color w:val="000000" w:themeColor="text1"/>
          <w:sz w:val="22"/>
          <w:szCs w:val="22"/>
          <w:lang w:val="vi-VN"/>
          <w14:textFill>
            <w14:solidFill>
              <w14:schemeClr w14:val="tx1"/>
            </w14:solidFill>
          </w14:textFill>
        </w:rPr>
      </w:pPr>
      <w:r>
        <w:rPr>
          <w:rFonts w:hint="default" w:ascii="Times New Roman" w:hAnsi="Times New Roman" w:cs="Times New Roman"/>
          <w:b w:val="0"/>
          <w:bCs w:val="0"/>
          <w:i/>
          <w:iCs/>
          <w:color w:val="000000" w:themeColor="text1"/>
          <w:sz w:val="22"/>
          <w:szCs w:val="22"/>
          <w:lang w:val="vi-VN"/>
          <w14:textFill>
            <w14:solidFill>
              <w14:schemeClr w14:val="tx1"/>
            </w14:solidFill>
          </w14:textFill>
        </w:rPr>
        <w:t>Figure 3</w:t>
      </w:r>
      <w:r>
        <w:rPr>
          <w:rFonts w:hint="default" w:ascii="Times New Roman" w:hAnsi="Times New Roman" w:cs="Times New Roman"/>
          <w:b w:val="0"/>
          <w:bCs w:val="0"/>
          <w:i/>
          <w:iCs/>
          <w:color w:val="000000" w:themeColor="text1"/>
          <w:sz w:val="22"/>
          <w:szCs w:val="22"/>
          <w:lang w:val="en-US"/>
          <w14:textFill>
            <w14:solidFill>
              <w14:schemeClr w14:val="tx1"/>
            </w14:solidFill>
          </w14:textFill>
        </w:rPr>
        <w:t>.</w:t>
      </w:r>
      <w:r>
        <w:rPr>
          <w:rFonts w:hint="default" w:ascii="Times New Roman" w:hAnsi="Times New Roman" w:cs="Times New Roman"/>
          <w:b w:val="0"/>
          <w:bCs w:val="0"/>
          <w:i/>
          <w:iCs/>
          <w:color w:val="000000" w:themeColor="text1"/>
          <w:sz w:val="22"/>
          <w:szCs w:val="22"/>
          <w:lang w:val="vi-VN"/>
          <w14:textFill>
            <w14:solidFill>
              <w14:schemeClr w14:val="tx1"/>
            </w14:solidFill>
          </w14:textFill>
        </w:rPr>
        <w:t xml:space="preserve"> Distribution of transaction hour by class</w:t>
      </w:r>
    </w:p>
    <w:p w14:paraId="7F2ADDC6">
      <w:pPr>
        <w:pStyle w:val="22"/>
        <w:keepNext w:val="0"/>
        <w:keepLines w:val="0"/>
        <w:pageBreakBefore w:val="0"/>
        <w:widowControl/>
        <w:numPr>
          <w:ilvl w:val="0"/>
          <w:numId w:val="5"/>
        </w:numPr>
        <w:kinsoku/>
        <w:wordWrap/>
        <w:overflowPunct/>
        <w:topLinePunct w:val="0"/>
        <w:autoSpaceDE/>
        <w:autoSpaceDN/>
        <w:bidi w:val="0"/>
        <w:adjustRightInd/>
        <w:snapToGrid/>
        <w:spacing w:before="120" w:beforeAutospacing="0" w:after="120" w:afterAutospacing="0" w:line="23" w:lineRule="atLeast"/>
        <w:jc w:val="both"/>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City-level fraud rate: A scatter analysis of raw per-city fraud rate against transaction volume showed that several low-volume cities exhibited a 100% raw fraud rate — an artefact of small sample size rather than genuine city risk — which motivated Bayesian smoothing of the exploratory city_fraud_encoded feature toward the overall fraud rate.</w:t>
      </w:r>
    </w:p>
    <w:p w14:paraId="2A8AF7FB">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720" w:hanging="360"/>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4137660" cy="2483485"/>
            <wp:effectExtent l="0" t="0" r="2540" b="5715"/>
            <wp:docPr id="164482618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26189" name="Picture 33"/>
                    <pic:cNvPicPr>
                      <a:picLocks noChangeAspect="1" noChangeArrowheads="1"/>
                    </pic:cNvPicPr>
                  </pic:nvPicPr>
                  <pic:blipFill>
                    <a:blip r:embed="rId10">
                      <a:extLst>
                        <a:ext uri="{28A0092B-C50C-407E-A947-70E740481C1C}">
                          <a14:useLocalDpi xmlns:a14="http://schemas.microsoft.com/office/drawing/2010/main" val="0"/>
                        </a:ext>
                      </a:extLst>
                    </a:blip>
                    <a:srcRect t="4574"/>
                    <a:stretch>
                      <a:fillRect/>
                    </a:stretch>
                  </pic:blipFill>
                  <pic:spPr>
                    <a:xfrm>
                      <a:off x="0" y="0"/>
                      <a:ext cx="4194844" cy="2517801"/>
                    </a:xfrm>
                    <a:prstGeom prst="rect">
                      <a:avLst/>
                    </a:prstGeom>
                    <a:noFill/>
                    <a:ln>
                      <a:noFill/>
                    </a:ln>
                  </pic:spPr>
                </pic:pic>
              </a:graphicData>
            </a:graphic>
          </wp:inline>
        </w:drawing>
      </w:r>
    </w:p>
    <w:p w14:paraId="77EB4B88">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rFonts w:hint="default" w:ascii="Times New Roman" w:hAnsi="Times New Roman" w:cs="Times New Roman"/>
          <w:b w:val="0"/>
          <w:bCs w:val="0"/>
          <w:i/>
          <w:iCs/>
          <w:color w:val="000000" w:themeColor="text1"/>
          <w:sz w:val="22"/>
          <w:szCs w:val="22"/>
          <w:lang w:val="vi-VN"/>
          <w14:textFill>
            <w14:solidFill>
              <w14:schemeClr w14:val="tx1"/>
            </w14:solidFill>
          </w14:textFill>
        </w:rPr>
      </w:pPr>
      <w:r>
        <w:rPr>
          <w:rFonts w:hint="default" w:ascii="Times New Roman" w:hAnsi="Times New Roman" w:cs="Times New Roman"/>
          <w:b w:val="0"/>
          <w:bCs w:val="0"/>
          <w:i/>
          <w:iCs/>
          <w:color w:val="000000" w:themeColor="text1"/>
          <w:sz w:val="22"/>
          <w:szCs w:val="22"/>
          <w:lang w:val="vi-VN"/>
          <w14:textFill>
            <w14:solidFill>
              <w14:schemeClr w14:val="tx1"/>
            </w14:solidFill>
          </w14:textFill>
        </w:rPr>
        <w:t>Figure 4</w:t>
      </w:r>
      <w:r>
        <w:rPr>
          <w:rFonts w:hint="default" w:ascii="Times New Roman" w:hAnsi="Times New Roman" w:cs="Times New Roman"/>
          <w:b w:val="0"/>
          <w:bCs w:val="0"/>
          <w:i/>
          <w:iCs/>
          <w:color w:val="000000" w:themeColor="text1"/>
          <w:sz w:val="22"/>
          <w:szCs w:val="22"/>
          <w:lang w:val="en-US"/>
          <w14:textFill>
            <w14:solidFill>
              <w14:schemeClr w14:val="tx1"/>
            </w14:solidFill>
          </w14:textFill>
        </w:rPr>
        <w:t>.</w:t>
      </w:r>
      <w:r>
        <w:rPr>
          <w:rFonts w:hint="default" w:ascii="Times New Roman" w:hAnsi="Times New Roman" w:cs="Times New Roman"/>
          <w:b w:val="0"/>
          <w:bCs w:val="0"/>
          <w:i/>
          <w:iCs/>
          <w:color w:val="000000" w:themeColor="text1"/>
          <w:sz w:val="22"/>
          <w:szCs w:val="22"/>
          <w:lang w:val="vi-VN"/>
          <w14:textFill>
            <w14:solidFill>
              <w14:schemeClr w14:val="tx1"/>
            </w14:solidFill>
          </w14:textFill>
        </w:rPr>
        <w:t xml:space="preserve"> City-level fraud rate vs. transaction volume</w:t>
      </w:r>
    </w:p>
    <w:p w14:paraId="3058262F">
      <w:pPr>
        <w:pStyle w:val="22"/>
        <w:keepNext w:val="0"/>
        <w:keepLines w:val="0"/>
        <w:pageBreakBefore w:val="0"/>
        <w:widowControl/>
        <w:numPr>
          <w:ilvl w:val="0"/>
          <w:numId w:val="6"/>
        </w:numPr>
        <w:kinsoku/>
        <w:wordWrap/>
        <w:overflowPunct/>
        <w:topLinePunct w:val="0"/>
        <w:autoSpaceDE/>
        <w:autoSpaceDN/>
        <w:bidi w:val="0"/>
        <w:adjustRightInd/>
        <w:snapToGrid/>
        <w:spacing w:before="120" w:beforeAutospacing="0" w:after="120" w:afterAutospacing="0" w:line="23" w:lineRule="atLeast"/>
        <w:jc w:val="both"/>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Multicollinearity screening: a correlation heat map of the processed numeric predictors was produced to visually screen for redundancy among the twelve final numeric features before model training.</w:t>
      </w:r>
    </w:p>
    <w:p w14:paraId="40BDB649">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6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5377815" cy="4662805"/>
            <wp:effectExtent l="0" t="0" r="0" b="0"/>
            <wp:docPr id="142810326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03261" name="Picture 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377815" cy="4662805"/>
                    </a:xfrm>
                    <a:prstGeom prst="rect">
                      <a:avLst/>
                    </a:prstGeom>
                    <a:noFill/>
                    <a:ln>
                      <a:noFill/>
                    </a:ln>
                  </pic:spPr>
                </pic:pic>
              </a:graphicData>
            </a:graphic>
          </wp:inline>
        </w:drawing>
      </w:r>
    </w:p>
    <w:p w14:paraId="0185459C">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rFonts w:hint="default" w:ascii="Times New Roman" w:hAnsi="Times New Roman" w:cs="Times New Roman"/>
          <w:b w:val="0"/>
          <w:bCs w:val="0"/>
          <w:i/>
          <w:iCs/>
          <w:color w:val="000000" w:themeColor="text1"/>
          <w:sz w:val="22"/>
          <w:szCs w:val="22"/>
          <w:lang w:val="vi-VN"/>
          <w14:textFill>
            <w14:solidFill>
              <w14:schemeClr w14:val="tx1"/>
            </w14:solidFill>
          </w14:textFill>
        </w:rPr>
      </w:pPr>
      <w:r>
        <w:rPr>
          <w:rFonts w:hint="default" w:ascii="Times New Roman" w:hAnsi="Times New Roman" w:cs="Times New Roman"/>
          <w:b w:val="0"/>
          <w:bCs w:val="0"/>
          <w:i/>
          <w:iCs/>
          <w:color w:val="000000" w:themeColor="text1"/>
          <w:sz w:val="22"/>
          <w:szCs w:val="22"/>
          <w:lang w:val="vi-VN"/>
          <w14:textFill>
            <w14:solidFill>
              <w14:schemeClr w14:val="tx1"/>
            </w14:solidFill>
          </w14:textFill>
        </w:rPr>
        <w:t>Figure 5</w:t>
      </w:r>
      <w:r>
        <w:rPr>
          <w:rFonts w:hint="default" w:ascii="Times New Roman" w:hAnsi="Times New Roman" w:cs="Times New Roman"/>
          <w:b w:val="0"/>
          <w:bCs w:val="0"/>
          <w:i/>
          <w:iCs/>
          <w:color w:val="000000" w:themeColor="text1"/>
          <w:sz w:val="22"/>
          <w:szCs w:val="22"/>
          <w:lang w:val="en-US"/>
          <w14:textFill>
            <w14:solidFill>
              <w14:schemeClr w14:val="tx1"/>
            </w14:solidFill>
          </w14:textFill>
        </w:rPr>
        <w:t>.</w:t>
      </w:r>
      <w:r>
        <w:rPr>
          <w:rFonts w:hint="default" w:ascii="Times New Roman" w:hAnsi="Times New Roman" w:cs="Times New Roman"/>
          <w:b w:val="0"/>
          <w:bCs w:val="0"/>
          <w:i/>
          <w:iCs/>
          <w:color w:val="000000" w:themeColor="text1"/>
          <w:sz w:val="22"/>
          <w:szCs w:val="22"/>
          <w:lang w:val="vi-VN"/>
          <w14:textFill>
            <w14:solidFill>
              <w14:schemeClr w14:val="tx1"/>
            </w14:solidFill>
          </w14:textFill>
        </w:rPr>
        <w:t xml:space="preserve"> Correlation heatmap of processed numeric features</w:t>
      </w:r>
    </w:p>
    <w:p w14:paraId="4906E6DC">
      <w:pPr>
        <w:pStyle w:val="4"/>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rPr>
          <w:rFonts w:hint="default" w:ascii="Times New Roman" w:hAnsi="Times New Roman" w:cs="Times New Roman"/>
          <w:i/>
          <w:iCs/>
          <w:color w:val="auto"/>
        </w:rPr>
      </w:pPr>
      <w:r>
        <w:rPr>
          <w:rFonts w:hint="default" w:ascii="Times New Roman" w:hAnsi="Times New Roman" w:cs="Times New Roman"/>
          <w:i/>
          <w:iCs/>
          <w:color w:val="auto"/>
        </w:rPr>
        <w:t>2.4. Evaluation metrics</w:t>
      </w:r>
    </w:p>
    <w:p w14:paraId="28D365AF">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Given a fraud incidence of only 0.58%, a naive classifier that never predicts fraud would already achieve roughly 99.4% accuracy while catching zero fraudulent transactions, which makes accuracy an uninformative metric for this problem. The notebook therefore evaluates models on precision, recall, F1-score and, critically, the F2-score, which weights recall twice as heavily as precision This choice reflects the asymmetric cost structure of fraud detection: a missed fraud (false negative) causes a direct, often unrecoverable financial loss to the cardholder or issuer, whereas a false alarm (false positive) only costs the incremental effort of a manual review before being dismissed. Accordingly, the XGBoost</w:t>
      </w:r>
      <w:bookmarkStart w:id="0" w:name="_GoBack"/>
      <w:bookmarkEnd w:id="0"/>
      <w:r>
        <w:rPr>
          <w:color w:val="000000" w:themeColor="text1"/>
          <w:sz w:val="24"/>
          <w:szCs w:val="24"/>
          <w14:textFill>
            <w14:solidFill>
              <w14:schemeClr w14:val="tx1"/>
            </w14:solidFill>
          </w14:textFill>
        </w:rPr>
        <w:t xml:space="preserve"> decision threshold is deliberately selected by scanning a grid of probability cut-offs on the validation set and choosing the one that </w:t>
      </w:r>
      <w:r>
        <w:rPr>
          <w:color w:val="000000" w:themeColor="text1"/>
          <w:sz w:val="24"/>
          <w:szCs w:val="24"/>
          <w:lang w:val="en-US"/>
          <w14:textFill>
            <w14:solidFill>
              <w14:schemeClr w14:val="tx1"/>
            </w14:solidFill>
          </w14:textFill>
        </w:rPr>
        <w:t>maximizes</w:t>
      </w:r>
      <w:r>
        <w:rPr>
          <w:color w:val="000000" w:themeColor="text1"/>
          <w:sz w:val="24"/>
          <w:szCs w:val="24"/>
          <w14:textFill>
            <w14:solidFill>
              <w14:schemeClr w14:val="tx1"/>
            </w14:solidFill>
          </w14:textFill>
        </w:rPr>
        <w:t xml:space="preserve"> F2 (Section 3.7).</w:t>
      </w:r>
    </w:p>
    <w:p w14:paraId="50F0A34B">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Methodology</w:t>
      </w:r>
    </w:p>
    <w:p w14:paraId="3AB56158">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drawing>
          <wp:inline distT="0" distB="0" distL="0" distR="0">
            <wp:extent cx="4454525" cy="1403350"/>
            <wp:effectExtent l="0" t="0" r="3175" b="6350"/>
            <wp:docPr id="179594282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42825"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454525" cy="1403350"/>
                    </a:xfrm>
                    <a:prstGeom prst="rect">
                      <a:avLst/>
                    </a:prstGeom>
                    <a:noFill/>
                    <a:ln>
                      <a:noFill/>
                    </a:ln>
                  </pic:spPr>
                </pic:pic>
              </a:graphicData>
            </a:graphic>
          </wp:inline>
        </w:drawing>
      </w:r>
    </w:p>
    <w:p w14:paraId="15F46D74">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rFonts w:hint="default" w:ascii="Times New Roman" w:hAnsi="Times New Roman" w:cs="Times New Roman"/>
          <w:b w:val="0"/>
          <w:bCs w:val="0"/>
          <w:i/>
          <w:iCs/>
          <w:color w:val="000000" w:themeColor="text1"/>
          <w:sz w:val="22"/>
          <w:szCs w:val="22"/>
          <w:lang w:val="vi-VN"/>
          <w14:textFill>
            <w14:solidFill>
              <w14:schemeClr w14:val="tx1"/>
            </w14:solidFill>
          </w14:textFill>
        </w:rPr>
      </w:pPr>
      <w:r>
        <w:rPr>
          <w:rFonts w:hint="default" w:ascii="Times New Roman" w:hAnsi="Times New Roman" w:cs="Times New Roman"/>
          <w:b w:val="0"/>
          <w:bCs w:val="0"/>
          <w:i/>
          <w:iCs/>
          <w:color w:val="000000" w:themeColor="text1"/>
          <w:sz w:val="22"/>
          <w:szCs w:val="22"/>
          <w:lang w:val="vi-VN"/>
          <w14:textFill>
            <w14:solidFill>
              <w14:schemeClr w14:val="tx1"/>
            </w14:solidFill>
          </w14:textFill>
        </w:rPr>
        <w:t>Figure 6</w:t>
      </w:r>
      <w:r>
        <w:rPr>
          <w:rFonts w:hint="default" w:ascii="Times New Roman" w:hAnsi="Times New Roman" w:cs="Times New Roman"/>
          <w:b w:val="0"/>
          <w:bCs w:val="0"/>
          <w:i/>
          <w:iCs/>
          <w:color w:val="000000" w:themeColor="text1"/>
          <w:sz w:val="22"/>
          <w:szCs w:val="22"/>
          <w:lang w:val="en-US"/>
          <w14:textFill>
            <w14:solidFill>
              <w14:schemeClr w14:val="tx1"/>
            </w14:solidFill>
          </w14:textFill>
        </w:rPr>
        <w:t>.</w:t>
      </w:r>
      <w:r>
        <w:rPr>
          <w:rFonts w:hint="default" w:ascii="Times New Roman" w:hAnsi="Times New Roman" w:cs="Times New Roman"/>
          <w:b w:val="0"/>
          <w:bCs w:val="0"/>
          <w:i/>
          <w:iCs/>
          <w:color w:val="000000" w:themeColor="text1"/>
          <w:sz w:val="22"/>
          <w:szCs w:val="22"/>
          <w:lang w:val="vi-VN"/>
          <w14:textFill>
            <w14:solidFill>
              <w14:schemeClr w14:val="tx1"/>
            </w14:solidFill>
          </w14:textFill>
        </w:rPr>
        <w:t xml:space="preserve"> End-to-end pipeline used in the notebook</w:t>
      </w:r>
    </w:p>
    <w:p w14:paraId="2DEF680D">
      <w:pPr>
        <w:pStyle w:val="4"/>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rPr>
          <w:rFonts w:hint="default" w:ascii="Times New Roman" w:hAnsi="Times New Roman" w:cs="Times New Roman"/>
          <w:i/>
          <w:iCs/>
          <w:color w:val="auto"/>
        </w:rPr>
      </w:pPr>
      <w:r>
        <w:rPr>
          <w:rFonts w:hint="default" w:ascii="Times New Roman" w:hAnsi="Times New Roman" w:cs="Times New Roman"/>
          <w:i/>
          <w:iCs/>
          <w:color w:val="auto"/>
        </w:rPr>
        <w:t>3.1 Data Setup and Initial Inspection</w:t>
      </w:r>
    </w:p>
    <w:p w14:paraId="54777624">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Through initial structural inspection, no null values were detected , and duplicate observations were removed from the training set. To reduce the risk of information leakage and exclude non-informative identifiers, the row index and direct-identification fields (first, last, and trans_num) were excluded from the model input features</w:t>
      </w:r>
    </w:p>
    <w:p w14:paraId="05FC1E7F">
      <w:pPr>
        <w:pStyle w:val="4"/>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rPr>
          <w:rFonts w:hint="default" w:ascii="Times New Roman" w:hAnsi="Times New Roman" w:cs="Times New Roman"/>
          <w:i/>
          <w:iCs/>
          <w:color w:val="auto"/>
        </w:rPr>
      </w:pPr>
      <w:r>
        <w:rPr>
          <w:rFonts w:hint="default" w:ascii="Times New Roman" w:hAnsi="Times New Roman" w:cs="Times New Roman"/>
          <w:i/>
          <w:iCs/>
          <w:color w:val="auto"/>
        </w:rPr>
        <w:t>3.2 EDA</w:t>
      </w:r>
    </w:p>
    <w:p w14:paraId="342A9254">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Univariate inspection covered the class balance of is_fraud, the distribution of transaction amount (raw and log-transformed), and the distribution of transaction hour. Bivariate analysis compared these distributions between genuine and fraudulent transactions and examined fraud rate as a function of amt_to_avg_ratio bins and of per-city transaction volume, as </w:t>
      </w:r>
      <w:r>
        <w:rPr>
          <w:color w:val="000000" w:themeColor="text1"/>
          <w:sz w:val="24"/>
          <w:szCs w:val="24"/>
          <w:lang w:val="en-US"/>
          <w14:textFill>
            <w14:solidFill>
              <w14:schemeClr w14:val="tx1"/>
            </w14:solidFill>
          </w14:textFill>
        </w:rPr>
        <w:t>summarized</w:t>
      </w:r>
      <w:r>
        <w:rPr>
          <w:color w:val="000000" w:themeColor="text1"/>
          <w:sz w:val="24"/>
          <w:szCs w:val="24"/>
          <w14:textFill>
            <w14:solidFill>
              <w14:schemeClr w14:val="tx1"/>
            </w14:solidFill>
          </w14:textFill>
        </w:rPr>
        <w:t xml:space="preserve"> in Section 2.4.</w:t>
      </w:r>
    </w:p>
    <w:p w14:paraId="603C7016">
      <w:pPr>
        <w:pStyle w:val="4"/>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rPr>
          <w:rFonts w:hint="default" w:ascii="Times New Roman" w:hAnsi="Times New Roman" w:cs="Times New Roman"/>
          <w:i/>
          <w:iCs/>
          <w:color w:val="auto"/>
        </w:rPr>
      </w:pPr>
      <w:r>
        <w:rPr>
          <w:rFonts w:hint="default" w:ascii="Times New Roman" w:hAnsi="Times New Roman" w:cs="Times New Roman"/>
          <w:i/>
          <w:iCs/>
          <w:color w:val="auto"/>
        </w:rPr>
        <w:t>3.3 Feature Engineering and Rationale</w:t>
      </w:r>
    </w:p>
    <w:p w14:paraId="09A4F874">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Transactions were first sorted by card number and timestamp, after which two families of engineered features were constructed. Historical behavioral features (previous_transactions, time_since_last_transaction, amt_to_avg_ratio, customer_total_amount,customer_avg_amt_excluding _current) capture how a transaction compares with a card's own recent history - a sudden, unusually large purchase relative to a customer's own baseline is a well-established fraud signal. Contextual features (distance, hour/hour_sin/hour_cos, age) capture spatial anomalies, temporal patterns, and demographic context. Because the </w:t>
      </w:r>
      <w:r>
        <w:rPr>
          <w:color w:val="000000" w:themeColor="text1"/>
          <w:sz w:val="24"/>
          <w:szCs w:val="24"/>
          <w:lang w:val="en-US"/>
          <w14:textFill>
            <w14:solidFill>
              <w14:schemeClr w14:val="tx1"/>
            </w14:solidFill>
          </w14:textFill>
        </w:rPr>
        <w:t>behavioral</w:t>
      </w:r>
      <w:r>
        <w:rPr>
          <w:color w:val="000000" w:themeColor="text1"/>
          <w:sz w:val="24"/>
          <w:szCs w:val="24"/>
          <w14:textFill>
            <w14:solidFill>
              <w14:schemeClr w14:val="tx1"/>
            </w14:solidFill>
          </w14:textFill>
        </w:rPr>
        <w:t xml:space="preserve"> features are cumulative by construction, they were recomputed independently within each of the train, validation and test partitions rather than computed once on the full dataset, to prevent data leakage.</w:t>
      </w:r>
    </w:p>
    <w:p w14:paraId="18DC224E">
      <w:pPr>
        <w:pStyle w:val="4"/>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rPr>
          <w:rFonts w:hint="default" w:ascii="Times New Roman" w:hAnsi="Times New Roman" w:cs="Times New Roman"/>
          <w:i/>
          <w:iCs/>
          <w:color w:val="auto"/>
        </w:rPr>
      </w:pPr>
      <w:r>
        <w:rPr>
          <w:rFonts w:hint="default" w:ascii="Times New Roman" w:hAnsi="Times New Roman" w:cs="Times New Roman"/>
          <w:i/>
          <w:iCs/>
          <w:color w:val="auto"/>
        </w:rPr>
        <w:t>3.4 Train / Validation / Test Split</w:t>
      </w:r>
    </w:p>
    <w:p w14:paraId="501CCB99">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To respect the temporal nature of the fraud problem and avoid leakage from future transactions into training (Bergmeir &amp; Benítez, 2012), trained data was sorted by timestamp and split 80/20 into a training set (1,037,340 transactions, 1st January 2019 – 6th March 2020) and a validation set (259,335 transactions, 6th March 2020 – 21st June 2020). </w:t>
      </w:r>
    </w:p>
    <w:p w14:paraId="7BBB8E6F">
      <w:pPr>
        <w:pStyle w:val="4"/>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rPr>
          <w:rFonts w:hint="default" w:ascii="Times New Roman" w:hAnsi="Times New Roman" w:cs="Times New Roman"/>
          <w:i/>
          <w:iCs/>
          <w:color w:val="auto"/>
        </w:rPr>
      </w:pPr>
      <w:r>
        <w:rPr>
          <w:rFonts w:hint="default" w:ascii="Times New Roman" w:hAnsi="Times New Roman" w:cs="Times New Roman"/>
          <w:i/>
          <w:iCs/>
          <w:color w:val="auto"/>
        </w:rPr>
        <w:t>3.5 Preprocessing</w:t>
      </w:r>
    </w:p>
    <w:p w14:paraId="65544111">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A scikit-learn ColumnTransformer was fit exclusively on the training partition and then applied, without refitting, to the validation and test partitions. 12 numeric features - amt, city_pop, previous_transactions, time_since_last_transaction, customer_total_amount, customer_avg_amt_excluding_current, amt_to_avg_ratio, distance, hour, hour_sin, hour_cos and age - were </w:t>
      </w:r>
      <w:r>
        <w:rPr>
          <w:color w:val="000000" w:themeColor="text1"/>
          <w:sz w:val="24"/>
          <w:szCs w:val="24"/>
          <w:lang w:val="en-US"/>
          <w14:textFill>
            <w14:solidFill>
              <w14:schemeClr w14:val="tx1"/>
            </w14:solidFill>
          </w14:textFill>
        </w:rPr>
        <w:t>standardized</w:t>
      </w:r>
      <w:r>
        <w:rPr>
          <w:color w:val="000000" w:themeColor="text1"/>
          <w:sz w:val="24"/>
          <w:szCs w:val="24"/>
          <w14:textFill>
            <w14:solidFill>
              <w14:schemeClr w14:val="tx1"/>
            </w14:solidFill>
          </w14:textFill>
        </w:rPr>
        <w:t>. The single low-cardinality categorical feature retained for modelling, category (14 levels) was encoded using one-hot encoding. The resulting processed feature matrix contains 26 columns.</w:t>
      </w:r>
    </w:p>
    <w:p w14:paraId="6C51160B">
      <w:pPr>
        <w:pStyle w:val="4"/>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rPr>
          <w:rFonts w:hint="default" w:ascii="Times New Roman" w:hAnsi="Times New Roman" w:cs="Times New Roman"/>
          <w:i/>
          <w:iCs/>
          <w:color w:val="auto"/>
        </w:rPr>
      </w:pPr>
      <w:r>
        <w:rPr>
          <w:rFonts w:hint="default" w:ascii="Times New Roman" w:hAnsi="Times New Roman" w:cs="Times New Roman"/>
          <w:i/>
          <w:iCs/>
          <w:color w:val="auto"/>
        </w:rPr>
        <w:t>3.6 Model Training</w:t>
      </w:r>
    </w:p>
    <w:p w14:paraId="7DC7A146">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Three classifiers were trained on the identical processed feature matrix:</w:t>
      </w:r>
    </w:p>
    <w:p w14:paraId="6E82EF3E">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643" w:hanging="36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Logistic Regression (solver = 'liblinear', max_iter = 1,000, random_state = 42), a linear baseline (Hosmer et al., 2013), evaluated at the default 0.5 probability threshold.</w:t>
      </w:r>
    </w:p>
    <w:p w14:paraId="3020FE42">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643" w:hanging="36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 Random Forest (random_state = 42, n_jobs = -1, with other </w:t>
      </w:r>
      <w:r>
        <w:rPr>
          <w:color w:val="000000" w:themeColor="text1"/>
          <w:sz w:val="24"/>
          <w:szCs w:val="24"/>
          <w:lang w:val="en-US"/>
          <w14:textFill>
            <w14:solidFill>
              <w14:schemeClr w14:val="tx1"/>
            </w14:solidFill>
          </w14:textFill>
        </w:rPr>
        <w:t>hyper-parameters</w:t>
      </w:r>
      <w:r>
        <w:rPr>
          <w:color w:val="000000" w:themeColor="text1"/>
          <w:sz w:val="24"/>
          <w:szCs w:val="24"/>
          <w14:textFill>
            <w14:solidFill>
              <w14:schemeClr w14:val="tx1"/>
            </w14:solidFill>
          </w14:textFill>
        </w:rPr>
        <w:t xml:space="preserve"> kept at scikit-learn defaults), an ensemble of bagged decision trees (Breiman, 2001), with the classification threshold subsequently </w:t>
      </w:r>
      <w:r>
        <w:rPr>
          <w:color w:val="000000" w:themeColor="text1"/>
          <w:sz w:val="24"/>
          <w:szCs w:val="24"/>
          <w:lang w:val="en-US"/>
          <w14:textFill>
            <w14:solidFill>
              <w14:schemeClr w14:val="tx1"/>
            </w14:solidFill>
          </w14:textFill>
        </w:rPr>
        <w:t>optimized</w:t>
      </w:r>
      <w:r>
        <w:rPr>
          <w:color w:val="000000" w:themeColor="text1"/>
          <w:sz w:val="24"/>
          <w:szCs w:val="24"/>
          <w14:textFill>
            <w14:solidFill>
              <w14:schemeClr w14:val="tx1"/>
            </w14:solidFill>
          </w14:textFill>
        </w:rPr>
        <w:t xml:space="preserve"> for F2-score.</w:t>
      </w:r>
    </w:p>
    <w:p w14:paraId="7CC6F0A1">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ind w:left="643" w:hanging="36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XGBoost (objective = 'binary:logistic', n_estimators = 100, max_depth = 6, learning_rate = 0.3,</w:t>
      </w:r>
      <w:r>
        <w:rPr>
          <w:color w:val="000000" w:themeColor="text1"/>
          <w:sz w:val="24"/>
          <w:szCs w:val="24"/>
          <w:lang w:val="vi-VN"/>
          <w14:textFill>
            <w14:solidFill>
              <w14:schemeClr w14:val="tx1"/>
            </w14:solidFill>
          </w14:textFill>
        </w:rPr>
        <w:t xml:space="preserve"> </w:t>
      </w:r>
      <w:r>
        <w:rPr>
          <w:color w:val="000000" w:themeColor="text1"/>
          <w:sz w:val="24"/>
          <w:szCs w:val="24"/>
          <w:lang w:val="en-US"/>
          <w14:textFill>
            <w14:solidFill>
              <w14:schemeClr w14:val="tx1"/>
            </w14:solidFill>
          </w14:textFill>
        </w:rPr>
        <w:t>sub-sample</w:t>
      </w:r>
      <w:r>
        <w:rPr>
          <w:color w:val="000000" w:themeColor="text1"/>
          <w:sz w:val="24"/>
          <w:szCs w:val="24"/>
          <w14:textFill>
            <w14:solidFill>
              <w14:schemeClr w14:val="tx1"/>
            </w14:solidFill>
          </w14:textFill>
        </w:rPr>
        <w:t xml:space="preserve"> = colsample_bytree = 1.0, eval_metric = 'logloss', random_state = 42, n_jobs = -1), with scale_pos_weight set to the negative-to-positive class ratio to address class imbalance and the classification threshold </w:t>
      </w:r>
      <w:r>
        <w:rPr>
          <w:color w:val="000000" w:themeColor="text1"/>
          <w:sz w:val="24"/>
          <w:szCs w:val="24"/>
          <w:lang w:val="en-US"/>
          <w14:textFill>
            <w14:solidFill>
              <w14:schemeClr w14:val="tx1"/>
            </w14:solidFill>
          </w14:textFill>
        </w:rPr>
        <w:t>optimized</w:t>
      </w:r>
      <w:r>
        <w:rPr>
          <w:color w:val="000000" w:themeColor="text1"/>
          <w:sz w:val="24"/>
          <w:szCs w:val="24"/>
          <w14:textFill>
            <w14:solidFill>
              <w14:schemeClr w14:val="tx1"/>
            </w14:solidFill>
          </w14:textFill>
        </w:rPr>
        <w:t xml:space="preserve"> for F2-score.</w:t>
      </w:r>
    </w:p>
    <w:p w14:paraId="770A5BB4">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3.7 Validation and Threshold Selection</w:t>
      </w:r>
    </w:p>
    <w:p w14:paraId="6F00BB8A">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color w:val="000000" w:themeColor="text1"/>
          <w:sz w:val="24"/>
          <w:szCs w:val="24"/>
          <w:lang w:val="vi-VN"/>
          <w14:textFill>
            <w14:solidFill>
              <w14:schemeClr w14:val="tx1"/>
            </w14:solidFill>
          </w14:textFill>
        </w:rPr>
      </w:pPr>
      <w:r>
        <w:rPr>
          <w:rFonts w:ascii="Times New Roman" w:hAnsi="Times New Roman" w:eastAsia="Times New Roman" w:cs="Times New Roman"/>
          <w:b w:val="0"/>
          <w:bCs w:val="0"/>
          <w:color w:val="000000" w:themeColor="text1"/>
          <w:sz w:val="24"/>
          <w:szCs w:val="24"/>
          <w14:textFill>
            <w14:solidFill>
              <w14:schemeClr w14:val="tx1"/>
            </w14:solidFill>
          </w14:textFill>
        </w:rPr>
        <w:t xml:space="preserve">For Random Forest, predicted probabilities on the validation set were converted to binary predictions across a grid of thresholds from 0.11 to 0.81 in steps of 0.1. After inspection, the threshold of 0.21 was found to </w:t>
      </w:r>
      <w:r>
        <w:rPr>
          <w:rFonts w:ascii="Times New Roman" w:hAnsi="Times New Roman" w:eastAsia="Times New Roman" w:cs="Times New Roman"/>
          <w:b w:val="0"/>
          <w:bCs w:val="0"/>
          <w:color w:val="000000" w:themeColor="text1"/>
          <w:sz w:val="24"/>
          <w:szCs w:val="24"/>
          <w:lang w:val="en-US"/>
          <w14:textFill>
            <w14:solidFill>
              <w14:schemeClr w14:val="tx1"/>
            </w14:solidFill>
          </w14:textFill>
        </w:rPr>
        <w:t>maximize</w:t>
      </w:r>
      <w:r>
        <w:rPr>
          <w:rFonts w:ascii="Times New Roman" w:hAnsi="Times New Roman" w:eastAsia="Times New Roman" w:cs="Times New Roman"/>
          <w:b w:val="0"/>
          <w:bCs w:val="0"/>
          <w:color w:val="000000" w:themeColor="text1"/>
          <w:sz w:val="24"/>
          <w:szCs w:val="24"/>
          <w14:textFill>
            <w14:solidFill>
              <w14:schemeClr w14:val="tx1"/>
            </w14:solidFill>
          </w14:textFill>
        </w:rPr>
        <w:t xml:space="preserve"> F2 on the validation set and was therefore selected for use in all subsequent evaluation.</w:t>
      </w:r>
    </w:p>
    <w:tbl>
      <w:tblPr>
        <w:tblStyle w:val="9"/>
        <w:tblW w:w="0" w:type="auto"/>
        <w:tblInd w:w="-8" w:type="dxa"/>
        <w:tblLayout w:type="fixed"/>
        <w:tblCellMar>
          <w:top w:w="15" w:type="dxa"/>
          <w:left w:w="15" w:type="dxa"/>
          <w:bottom w:w="15" w:type="dxa"/>
          <w:right w:w="15" w:type="dxa"/>
        </w:tblCellMar>
      </w:tblPr>
      <w:tblGrid>
        <w:gridCol w:w="1318"/>
        <w:gridCol w:w="1256"/>
        <w:gridCol w:w="1190"/>
        <w:gridCol w:w="1133"/>
        <w:gridCol w:w="1165"/>
      </w:tblGrid>
      <w:tr w14:paraId="122AE7AA">
        <w:tblPrEx>
          <w:tblCellMar>
            <w:top w:w="15" w:type="dxa"/>
            <w:left w:w="15" w:type="dxa"/>
            <w:bottom w:w="15" w:type="dxa"/>
            <w:right w:w="15" w:type="dxa"/>
          </w:tblCellMar>
        </w:tblPrEx>
        <w:trPr>
          <w:wAfter w:w="0" w:type="auto"/>
          <w:trHeight w:val="345" w:hRule="atLeast"/>
        </w:trPr>
        <w:tc>
          <w:tcPr>
            <w:tcW w:w="1318" w:type="dxa"/>
            <w:tcBorders>
              <w:top w:val="single" w:color="000000" w:sz="8" w:space="0"/>
              <w:left w:val="single" w:color="000000" w:sz="8" w:space="0"/>
              <w:bottom w:val="single" w:color="000000" w:sz="8" w:space="0"/>
              <w:right w:val="single" w:color="000000" w:sz="8" w:space="0"/>
            </w:tcBorders>
            <w:shd w:val="clear" w:color="auto" w:fill="D9E2F3"/>
            <w:tcMar>
              <w:top w:w="60" w:type="dxa"/>
              <w:left w:w="100" w:type="dxa"/>
              <w:bottom w:w="60" w:type="dxa"/>
              <w:right w:w="100" w:type="dxa"/>
            </w:tcMar>
            <w:vAlign w:val="top"/>
          </w:tcPr>
          <w:p w14:paraId="5B644820">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b/>
                <w:bCs/>
                <w:color w:val="000000" w:themeColor="text1"/>
                <w:sz w:val="24"/>
                <w:szCs w:val="24"/>
                <w14:textFill>
                  <w14:solidFill>
                    <w14:schemeClr w14:val="tx1"/>
                  </w14:solidFill>
                </w14:textFill>
              </w:rPr>
            </w:pPr>
            <w:r>
              <w:rPr>
                <w:b/>
                <w:bCs/>
                <w:color w:val="000000"/>
                <w:sz w:val="24"/>
                <w:szCs w:val="24"/>
              </w:rPr>
              <w:t>Threshold</w:t>
            </w:r>
          </w:p>
        </w:tc>
        <w:tc>
          <w:tcPr>
            <w:tcW w:w="1256" w:type="dxa"/>
            <w:tcBorders>
              <w:top w:val="single" w:color="000000" w:sz="8" w:space="0"/>
              <w:left w:val="single" w:color="000000" w:sz="8" w:space="0"/>
              <w:bottom w:val="single" w:color="000000" w:sz="8" w:space="0"/>
              <w:right w:val="single" w:color="000000" w:sz="8" w:space="0"/>
            </w:tcBorders>
            <w:shd w:val="clear" w:color="auto" w:fill="D9E2F3"/>
            <w:tcMar>
              <w:top w:w="60" w:type="dxa"/>
              <w:left w:w="100" w:type="dxa"/>
              <w:bottom w:w="60" w:type="dxa"/>
              <w:right w:w="100" w:type="dxa"/>
            </w:tcMar>
            <w:vAlign w:val="top"/>
          </w:tcPr>
          <w:p w14:paraId="2AB382D6">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b/>
                <w:bCs/>
                <w:color w:val="000000" w:themeColor="text1"/>
                <w:sz w:val="24"/>
                <w:szCs w:val="24"/>
                <w14:textFill>
                  <w14:solidFill>
                    <w14:schemeClr w14:val="tx1"/>
                  </w14:solidFill>
                </w14:textFill>
              </w:rPr>
            </w:pPr>
            <w:r>
              <w:rPr>
                <w:b/>
                <w:bCs/>
                <w:color w:val="000000"/>
                <w:sz w:val="24"/>
                <w:szCs w:val="24"/>
              </w:rPr>
              <w:t>Accuracy</w:t>
            </w:r>
          </w:p>
        </w:tc>
        <w:tc>
          <w:tcPr>
            <w:tcW w:w="1190" w:type="dxa"/>
            <w:tcBorders>
              <w:top w:val="single" w:color="000000" w:sz="8" w:space="0"/>
              <w:left w:val="single" w:color="000000" w:sz="8" w:space="0"/>
              <w:bottom w:val="single" w:color="000000" w:sz="8" w:space="0"/>
              <w:right w:val="single" w:color="000000" w:sz="8" w:space="0"/>
            </w:tcBorders>
            <w:shd w:val="clear" w:color="auto" w:fill="D9E2F3"/>
            <w:tcMar>
              <w:top w:w="60" w:type="dxa"/>
              <w:left w:w="100" w:type="dxa"/>
              <w:bottom w:w="60" w:type="dxa"/>
              <w:right w:w="100" w:type="dxa"/>
            </w:tcMar>
            <w:vAlign w:val="top"/>
          </w:tcPr>
          <w:p w14:paraId="40BEEF98">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b/>
                <w:bCs/>
                <w:color w:val="000000" w:themeColor="text1"/>
                <w:sz w:val="24"/>
                <w:szCs w:val="24"/>
                <w14:textFill>
                  <w14:solidFill>
                    <w14:schemeClr w14:val="tx1"/>
                  </w14:solidFill>
                </w14:textFill>
              </w:rPr>
            </w:pPr>
            <w:r>
              <w:rPr>
                <w:b/>
                <w:bCs/>
                <w:color w:val="000000"/>
                <w:sz w:val="24"/>
                <w:szCs w:val="24"/>
              </w:rPr>
              <w:t>Precision</w:t>
            </w:r>
          </w:p>
        </w:tc>
        <w:tc>
          <w:tcPr>
            <w:tcW w:w="1133" w:type="dxa"/>
            <w:tcBorders>
              <w:top w:val="single" w:color="000000" w:sz="8" w:space="0"/>
              <w:left w:val="single" w:color="000000" w:sz="8" w:space="0"/>
              <w:bottom w:val="single" w:color="000000" w:sz="8" w:space="0"/>
              <w:right w:val="single" w:color="000000" w:sz="8" w:space="0"/>
            </w:tcBorders>
            <w:shd w:val="clear" w:color="auto" w:fill="D9E2F3"/>
            <w:tcMar>
              <w:top w:w="60" w:type="dxa"/>
              <w:left w:w="100" w:type="dxa"/>
              <w:bottom w:w="60" w:type="dxa"/>
              <w:right w:w="100" w:type="dxa"/>
            </w:tcMar>
            <w:vAlign w:val="top"/>
          </w:tcPr>
          <w:p w14:paraId="67C0D09A">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b/>
                <w:bCs/>
                <w:color w:val="000000" w:themeColor="text1"/>
                <w:sz w:val="24"/>
                <w:szCs w:val="24"/>
                <w14:textFill>
                  <w14:solidFill>
                    <w14:schemeClr w14:val="tx1"/>
                  </w14:solidFill>
                </w14:textFill>
              </w:rPr>
            </w:pPr>
            <w:r>
              <w:rPr>
                <w:b/>
                <w:bCs/>
                <w:color w:val="000000"/>
                <w:sz w:val="24"/>
                <w:szCs w:val="24"/>
              </w:rPr>
              <w:t>Recall</w:t>
            </w:r>
          </w:p>
        </w:tc>
        <w:tc>
          <w:tcPr>
            <w:tcW w:w="1165" w:type="dxa"/>
            <w:tcBorders>
              <w:top w:val="single" w:color="000000" w:sz="8" w:space="0"/>
              <w:left w:val="single" w:color="000000" w:sz="8" w:space="0"/>
              <w:bottom w:val="single" w:color="000000" w:sz="8" w:space="0"/>
              <w:right w:val="single" w:color="000000" w:sz="8" w:space="0"/>
            </w:tcBorders>
            <w:shd w:val="clear" w:color="auto" w:fill="D9E2F3"/>
            <w:tcMar>
              <w:top w:w="60" w:type="dxa"/>
              <w:left w:w="100" w:type="dxa"/>
              <w:bottom w:w="60" w:type="dxa"/>
              <w:right w:w="100" w:type="dxa"/>
            </w:tcMar>
            <w:vAlign w:val="top"/>
          </w:tcPr>
          <w:p w14:paraId="1A655AB5">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b/>
                <w:bCs/>
                <w:color w:val="000000" w:themeColor="text1"/>
                <w:sz w:val="24"/>
                <w:szCs w:val="24"/>
                <w14:textFill>
                  <w14:solidFill>
                    <w14:schemeClr w14:val="tx1"/>
                  </w14:solidFill>
                </w14:textFill>
              </w:rPr>
            </w:pPr>
            <w:r>
              <w:rPr>
                <w:b/>
                <w:bCs/>
                <w:color w:val="000000"/>
                <w:sz w:val="24"/>
                <w:szCs w:val="24"/>
              </w:rPr>
              <w:t>F2-score</w:t>
            </w:r>
          </w:p>
        </w:tc>
      </w:tr>
      <w:tr w14:paraId="2D75CB78">
        <w:tblPrEx>
          <w:tblCellMar>
            <w:top w:w="15" w:type="dxa"/>
            <w:left w:w="15" w:type="dxa"/>
            <w:bottom w:w="15" w:type="dxa"/>
            <w:right w:w="15" w:type="dxa"/>
          </w:tblCellMar>
        </w:tblPrEx>
        <w:trPr>
          <w:wAfter w:w="0" w:type="auto"/>
          <w:trHeight w:val="345" w:hRule="atLeast"/>
        </w:trPr>
        <w:tc>
          <w:tcPr>
            <w:tcW w:w="1318"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6578A5C0">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b/>
                <w:bCs/>
                <w:color w:val="000000" w:themeColor="text1"/>
                <w:sz w:val="24"/>
                <w:szCs w:val="24"/>
                <w14:textFill>
                  <w14:solidFill>
                    <w14:schemeClr w14:val="tx1"/>
                  </w14:solidFill>
                </w14:textFill>
              </w:rPr>
            </w:pPr>
            <w:r>
              <w:rPr>
                <w:b/>
                <w:bCs/>
                <w:color w:val="000000"/>
                <w:sz w:val="24"/>
                <w:szCs w:val="24"/>
              </w:rPr>
              <w:t>0.11</w:t>
            </w:r>
          </w:p>
        </w:tc>
        <w:tc>
          <w:tcPr>
            <w:tcW w:w="1256"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43CF4FD3">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themeColor="text1"/>
                <w:sz w:val="24"/>
                <w:szCs w:val="24"/>
                <w:lang w:val="vi-VN"/>
                <w14:textFill>
                  <w14:solidFill>
                    <w14:schemeClr w14:val="tx1"/>
                  </w14:solidFill>
                </w14:textFill>
              </w:rPr>
            </w:pPr>
            <w:r>
              <w:rPr>
                <w:color w:val="000000"/>
                <w:sz w:val="24"/>
                <w:szCs w:val="24"/>
              </w:rPr>
              <w:t>0.9950</w:t>
            </w:r>
          </w:p>
        </w:tc>
        <w:tc>
          <w:tcPr>
            <w:tcW w:w="1190"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4B0FBF05">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themeColor="text1"/>
                <w:sz w:val="24"/>
                <w:szCs w:val="24"/>
                <w14:textFill>
                  <w14:solidFill>
                    <w14:schemeClr w14:val="tx1"/>
                  </w14:solidFill>
                </w14:textFill>
              </w:rPr>
            </w:pPr>
            <w:r>
              <w:rPr>
                <w:color w:val="000000"/>
                <w:sz w:val="24"/>
                <w:szCs w:val="24"/>
              </w:rPr>
              <w:t>0.5440</w:t>
            </w:r>
          </w:p>
        </w:tc>
        <w:tc>
          <w:tcPr>
            <w:tcW w:w="1133"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77418498">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themeColor="text1"/>
                <w:sz w:val="24"/>
                <w:szCs w:val="24"/>
                <w14:textFill>
                  <w14:solidFill>
                    <w14:schemeClr w14:val="tx1"/>
                  </w14:solidFill>
                </w14:textFill>
              </w:rPr>
            </w:pPr>
            <w:r>
              <w:rPr>
                <w:color w:val="000000"/>
                <w:sz w:val="24"/>
                <w:szCs w:val="24"/>
              </w:rPr>
              <w:t>0.9363</w:t>
            </w:r>
          </w:p>
        </w:tc>
        <w:tc>
          <w:tcPr>
            <w:tcW w:w="1165"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4839B168">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themeColor="text1"/>
                <w:sz w:val="24"/>
                <w:szCs w:val="24"/>
                <w14:textFill>
                  <w14:solidFill>
                    <w14:schemeClr w14:val="tx1"/>
                  </w14:solidFill>
                </w14:textFill>
              </w:rPr>
            </w:pPr>
            <w:r>
              <w:rPr>
                <w:color w:val="000000"/>
                <w:sz w:val="24"/>
                <w:szCs w:val="24"/>
              </w:rPr>
              <w:t>0.8183</w:t>
            </w:r>
          </w:p>
        </w:tc>
      </w:tr>
      <w:tr w14:paraId="4E787290">
        <w:tblPrEx>
          <w:tblCellMar>
            <w:top w:w="15" w:type="dxa"/>
            <w:left w:w="15" w:type="dxa"/>
            <w:bottom w:w="15" w:type="dxa"/>
            <w:right w:w="15" w:type="dxa"/>
          </w:tblCellMar>
        </w:tblPrEx>
        <w:trPr>
          <w:wAfter w:w="0" w:type="auto"/>
          <w:trHeight w:val="345" w:hRule="atLeast"/>
        </w:trPr>
        <w:tc>
          <w:tcPr>
            <w:tcW w:w="1318" w:type="dxa"/>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vAlign w:val="top"/>
          </w:tcPr>
          <w:p w14:paraId="2AA478F1">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b/>
                <w:bCs/>
                <w:color w:val="000000" w:themeColor="text1"/>
                <w:sz w:val="24"/>
                <w:szCs w:val="24"/>
                <w14:textFill>
                  <w14:solidFill>
                    <w14:schemeClr w14:val="tx1"/>
                  </w14:solidFill>
                </w14:textFill>
              </w:rPr>
            </w:pPr>
            <w:r>
              <w:rPr>
                <w:b/>
                <w:bCs/>
                <w:color w:val="000000"/>
                <w:sz w:val="24"/>
                <w:szCs w:val="24"/>
              </w:rPr>
              <w:t>0.21</w:t>
            </w:r>
          </w:p>
        </w:tc>
        <w:tc>
          <w:tcPr>
            <w:tcW w:w="1256" w:type="dxa"/>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vAlign w:val="top"/>
          </w:tcPr>
          <w:p w14:paraId="00983D2A">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themeColor="text1"/>
                <w:sz w:val="24"/>
                <w:szCs w:val="24"/>
                <w14:textFill>
                  <w14:solidFill>
                    <w14:schemeClr w14:val="tx1"/>
                  </w14:solidFill>
                </w14:textFill>
              </w:rPr>
            </w:pPr>
            <w:r>
              <w:rPr>
                <w:color w:val="000000"/>
                <w:sz w:val="24"/>
                <w:szCs w:val="24"/>
              </w:rPr>
              <w:t>0.9977</w:t>
            </w:r>
          </w:p>
        </w:tc>
        <w:tc>
          <w:tcPr>
            <w:tcW w:w="1190" w:type="dxa"/>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vAlign w:val="top"/>
          </w:tcPr>
          <w:p w14:paraId="3158ECDF">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themeColor="text1"/>
                <w:sz w:val="24"/>
                <w:szCs w:val="24"/>
                <w14:textFill>
                  <w14:solidFill>
                    <w14:schemeClr w14:val="tx1"/>
                  </w14:solidFill>
                </w14:textFill>
              </w:rPr>
            </w:pPr>
            <w:r>
              <w:rPr>
                <w:color w:val="000000"/>
                <w:sz w:val="24"/>
                <w:szCs w:val="24"/>
              </w:rPr>
              <w:t>0.7598</w:t>
            </w:r>
          </w:p>
        </w:tc>
        <w:tc>
          <w:tcPr>
            <w:tcW w:w="1133" w:type="dxa"/>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vAlign w:val="top"/>
          </w:tcPr>
          <w:p w14:paraId="5D2C2ADE">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themeColor="text1"/>
                <w:sz w:val="24"/>
                <w:szCs w:val="24"/>
                <w14:textFill>
                  <w14:solidFill>
                    <w14:schemeClr w14:val="tx1"/>
                  </w14:solidFill>
                </w14:textFill>
              </w:rPr>
            </w:pPr>
            <w:r>
              <w:rPr>
                <w:color w:val="000000"/>
                <w:sz w:val="24"/>
                <w:szCs w:val="24"/>
              </w:rPr>
              <w:t>0.8927</w:t>
            </w:r>
          </w:p>
        </w:tc>
        <w:tc>
          <w:tcPr>
            <w:tcW w:w="1165" w:type="dxa"/>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vAlign w:val="top"/>
          </w:tcPr>
          <w:p w14:paraId="17C38EB3">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themeColor="text1"/>
                <w:sz w:val="24"/>
                <w:szCs w:val="24"/>
                <w14:textFill>
                  <w14:solidFill>
                    <w14:schemeClr w14:val="tx1"/>
                  </w14:solidFill>
                </w14:textFill>
              </w:rPr>
            </w:pPr>
            <w:r>
              <w:rPr>
                <w:rStyle w:val="23"/>
                <w:color w:val="000000"/>
                <w:sz w:val="24"/>
                <w:szCs w:val="24"/>
              </w:rPr>
              <w:t>0.8625</w:t>
            </w:r>
          </w:p>
        </w:tc>
      </w:tr>
      <w:tr w14:paraId="42CC9804">
        <w:tblPrEx>
          <w:tblCellMar>
            <w:top w:w="15" w:type="dxa"/>
            <w:left w:w="15" w:type="dxa"/>
            <w:bottom w:w="15" w:type="dxa"/>
            <w:right w:w="15" w:type="dxa"/>
          </w:tblCellMar>
        </w:tblPrEx>
        <w:trPr>
          <w:wAfter w:w="0" w:type="auto"/>
          <w:trHeight w:val="345" w:hRule="atLeast"/>
        </w:trPr>
        <w:tc>
          <w:tcPr>
            <w:tcW w:w="1318"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6481D8AD">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b/>
                <w:bCs/>
                <w:color w:val="000000" w:themeColor="text1"/>
                <w:sz w:val="24"/>
                <w:szCs w:val="24"/>
                <w14:textFill>
                  <w14:solidFill>
                    <w14:schemeClr w14:val="tx1"/>
                  </w14:solidFill>
                </w14:textFill>
              </w:rPr>
            </w:pPr>
            <w:r>
              <w:rPr>
                <w:b/>
                <w:bCs/>
                <w:color w:val="000000"/>
                <w:sz w:val="24"/>
                <w:szCs w:val="24"/>
              </w:rPr>
              <w:t>0.31</w:t>
            </w:r>
          </w:p>
        </w:tc>
        <w:tc>
          <w:tcPr>
            <w:tcW w:w="1256"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3902DC63">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themeColor="text1"/>
                <w:sz w:val="24"/>
                <w:szCs w:val="24"/>
                <w14:textFill>
                  <w14:solidFill>
                    <w14:schemeClr w14:val="tx1"/>
                  </w14:solidFill>
                </w14:textFill>
              </w:rPr>
            </w:pPr>
            <w:r>
              <w:rPr>
                <w:color w:val="000000"/>
                <w:sz w:val="24"/>
                <w:szCs w:val="24"/>
              </w:rPr>
              <w:t>0.9983</w:t>
            </w:r>
          </w:p>
        </w:tc>
        <w:tc>
          <w:tcPr>
            <w:tcW w:w="1190"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436AD879">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themeColor="text1"/>
                <w:sz w:val="24"/>
                <w:szCs w:val="24"/>
                <w14:textFill>
                  <w14:solidFill>
                    <w14:schemeClr w14:val="tx1"/>
                  </w14:solidFill>
                </w14:textFill>
              </w:rPr>
            </w:pPr>
            <w:r>
              <w:rPr>
                <w:color w:val="000000"/>
                <w:sz w:val="24"/>
                <w:szCs w:val="24"/>
              </w:rPr>
              <w:t>0.8602</w:t>
            </w:r>
          </w:p>
        </w:tc>
        <w:tc>
          <w:tcPr>
            <w:tcW w:w="1133"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4D883433">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themeColor="text1"/>
                <w:sz w:val="24"/>
                <w:szCs w:val="24"/>
                <w14:textFill>
                  <w14:solidFill>
                    <w14:schemeClr w14:val="tx1"/>
                  </w14:solidFill>
                </w14:textFill>
              </w:rPr>
            </w:pPr>
            <w:r>
              <w:rPr>
                <w:color w:val="000000"/>
                <w:sz w:val="24"/>
                <w:szCs w:val="24"/>
              </w:rPr>
              <w:t>0.8563</w:t>
            </w:r>
          </w:p>
        </w:tc>
        <w:tc>
          <w:tcPr>
            <w:tcW w:w="1165"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2CB0D306">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themeColor="text1"/>
                <w:sz w:val="24"/>
                <w:szCs w:val="24"/>
                <w14:textFill>
                  <w14:solidFill>
                    <w14:schemeClr w14:val="tx1"/>
                  </w14:solidFill>
                </w14:textFill>
              </w:rPr>
            </w:pPr>
            <w:r>
              <w:rPr>
                <w:color w:val="000000"/>
                <w:sz w:val="24"/>
                <w:szCs w:val="24"/>
              </w:rPr>
              <w:t>0.8571</w:t>
            </w:r>
          </w:p>
        </w:tc>
      </w:tr>
      <w:tr w14:paraId="311990AA">
        <w:tblPrEx>
          <w:tblCellMar>
            <w:top w:w="15" w:type="dxa"/>
            <w:left w:w="15" w:type="dxa"/>
            <w:bottom w:w="15" w:type="dxa"/>
            <w:right w:w="15" w:type="dxa"/>
          </w:tblCellMar>
        </w:tblPrEx>
        <w:trPr>
          <w:wAfter w:w="0" w:type="auto"/>
          <w:trHeight w:val="345" w:hRule="atLeast"/>
        </w:trPr>
        <w:tc>
          <w:tcPr>
            <w:tcW w:w="1318" w:type="dxa"/>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vAlign w:val="top"/>
          </w:tcPr>
          <w:p w14:paraId="05800CB8">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b/>
                <w:bCs/>
                <w:color w:val="000000" w:themeColor="text1"/>
                <w:sz w:val="24"/>
                <w:szCs w:val="24"/>
                <w14:textFill>
                  <w14:solidFill>
                    <w14:schemeClr w14:val="tx1"/>
                  </w14:solidFill>
                </w14:textFill>
              </w:rPr>
            </w:pPr>
            <w:r>
              <w:rPr>
                <w:b/>
                <w:bCs/>
                <w:color w:val="000000"/>
                <w:sz w:val="24"/>
                <w:szCs w:val="24"/>
              </w:rPr>
              <w:t>0.41</w:t>
            </w:r>
          </w:p>
        </w:tc>
        <w:tc>
          <w:tcPr>
            <w:tcW w:w="1256" w:type="dxa"/>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vAlign w:val="top"/>
          </w:tcPr>
          <w:p w14:paraId="07C9273B">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themeColor="text1"/>
                <w:sz w:val="24"/>
                <w:szCs w:val="24"/>
                <w14:textFill>
                  <w14:solidFill>
                    <w14:schemeClr w14:val="tx1"/>
                  </w14:solidFill>
                </w14:textFill>
              </w:rPr>
            </w:pPr>
            <w:r>
              <w:rPr>
                <w:color w:val="000000"/>
                <w:sz w:val="24"/>
                <w:szCs w:val="24"/>
              </w:rPr>
              <w:t>0.9985</w:t>
            </w:r>
          </w:p>
        </w:tc>
        <w:tc>
          <w:tcPr>
            <w:tcW w:w="1190" w:type="dxa"/>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vAlign w:val="top"/>
          </w:tcPr>
          <w:p w14:paraId="6EC96651">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themeColor="text1"/>
                <w:sz w:val="24"/>
                <w:szCs w:val="24"/>
                <w14:textFill>
                  <w14:solidFill>
                    <w14:schemeClr w14:val="tx1"/>
                  </w14:solidFill>
                </w14:textFill>
              </w:rPr>
            </w:pPr>
            <w:r>
              <w:rPr>
                <w:color w:val="000000"/>
                <w:sz w:val="24"/>
                <w:szCs w:val="24"/>
              </w:rPr>
              <w:t>0.9110</w:t>
            </w:r>
          </w:p>
        </w:tc>
        <w:tc>
          <w:tcPr>
            <w:tcW w:w="1133" w:type="dxa"/>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vAlign w:val="top"/>
          </w:tcPr>
          <w:p w14:paraId="256D7453">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themeColor="text1"/>
                <w:sz w:val="24"/>
                <w:szCs w:val="24"/>
                <w14:textFill>
                  <w14:solidFill>
                    <w14:schemeClr w14:val="tx1"/>
                  </w14:solidFill>
                </w14:textFill>
              </w:rPr>
            </w:pPr>
            <w:r>
              <w:rPr>
                <w:color w:val="000000"/>
                <w:sz w:val="24"/>
                <w:szCs w:val="24"/>
              </w:rPr>
              <w:t>0.8251</w:t>
            </w:r>
          </w:p>
        </w:tc>
        <w:tc>
          <w:tcPr>
            <w:tcW w:w="1165" w:type="dxa"/>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vAlign w:val="top"/>
          </w:tcPr>
          <w:p w14:paraId="5C803A36">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themeColor="text1"/>
                <w:sz w:val="24"/>
                <w:szCs w:val="24"/>
                <w14:textFill>
                  <w14:solidFill>
                    <w14:schemeClr w14:val="tx1"/>
                  </w14:solidFill>
                </w14:textFill>
              </w:rPr>
            </w:pPr>
            <w:r>
              <w:rPr>
                <w:color w:val="000000"/>
                <w:sz w:val="24"/>
                <w:szCs w:val="24"/>
              </w:rPr>
              <w:t>0.8410</w:t>
            </w:r>
          </w:p>
        </w:tc>
      </w:tr>
      <w:tr w14:paraId="1B766709">
        <w:tblPrEx>
          <w:tblCellMar>
            <w:top w:w="15" w:type="dxa"/>
            <w:left w:w="15" w:type="dxa"/>
            <w:bottom w:w="15" w:type="dxa"/>
            <w:right w:w="15" w:type="dxa"/>
          </w:tblCellMar>
        </w:tblPrEx>
        <w:trPr>
          <w:wAfter w:w="0" w:type="auto"/>
          <w:trHeight w:val="345" w:hRule="atLeast"/>
        </w:trPr>
        <w:tc>
          <w:tcPr>
            <w:tcW w:w="1318"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5ADF4F75">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b/>
                <w:bCs/>
                <w:color w:val="000000" w:themeColor="text1"/>
                <w:sz w:val="24"/>
                <w:szCs w:val="24"/>
                <w14:textFill>
                  <w14:solidFill>
                    <w14:schemeClr w14:val="tx1"/>
                  </w14:solidFill>
                </w14:textFill>
              </w:rPr>
            </w:pPr>
            <w:r>
              <w:rPr>
                <w:b/>
                <w:bCs/>
                <w:color w:val="000000"/>
                <w:sz w:val="24"/>
                <w:szCs w:val="24"/>
              </w:rPr>
              <w:t>0.51</w:t>
            </w:r>
          </w:p>
        </w:tc>
        <w:tc>
          <w:tcPr>
            <w:tcW w:w="1256"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242BD3BA">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themeColor="text1"/>
                <w:sz w:val="24"/>
                <w:szCs w:val="24"/>
                <w14:textFill>
                  <w14:solidFill>
                    <w14:schemeClr w14:val="tx1"/>
                  </w14:solidFill>
                </w14:textFill>
              </w:rPr>
            </w:pPr>
            <w:r>
              <w:rPr>
                <w:color w:val="000000"/>
                <w:sz w:val="24"/>
                <w:szCs w:val="24"/>
              </w:rPr>
              <w:t>0.9985</w:t>
            </w:r>
          </w:p>
        </w:tc>
        <w:tc>
          <w:tcPr>
            <w:tcW w:w="1190"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2B488875">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themeColor="text1"/>
                <w:sz w:val="24"/>
                <w:szCs w:val="24"/>
                <w14:textFill>
                  <w14:solidFill>
                    <w14:schemeClr w14:val="tx1"/>
                  </w14:solidFill>
                </w14:textFill>
              </w:rPr>
            </w:pPr>
            <w:r>
              <w:rPr>
                <w:color w:val="000000"/>
                <w:sz w:val="24"/>
                <w:szCs w:val="24"/>
              </w:rPr>
              <w:t>0.9466</w:t>
            </w:r>
          </w:p>
        </w:tc>
        <w:tc>
          <w:tcPr>
            <w:tcW w:w="1133"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461F107C">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themeColor="text1"/>
                <w:sz w:val="24"/>
                <w:szCs w:val="24"/>
                <w14:textFill>
                  <w14:solidFill>
                    <w14:schemeClr w14:val="tx1"/>
                  </w14:solidFill>
                </w14:textFill>
              </w:rPr>
            </w:pPr>
            <w:r>
              <w:rPr>
                <w:color w:val="000000"/>
                <w:sz w:val="24"/>
                <w:szCs w:val="24"/>
              </w:rPr>
              <w:t>0.7952</w:t>
            </w:r>
          </w:p>
        </w:tc>
        <w:tc>
          <w:tcPr>
            <w:tcW w:w="1165"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524D4F4E">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themeColor="text1"/>
                <w:sz w:val="24"/>
                <w:szCs w:val="24"/>
                <w14:textFill>
                  <w14:solidFill>
                    <w14:schemeClr w14:val="tx1"/>
                  </w14:solidFill>
                </w14:textFill>
              </w:rPr>
            </w:pPr>
            <w:r>
              <w:rPr>
                <w:color w:val="000000"/>
                <w:sz w:val="24"/>
                <w:szCs w:val="24"/>
              </w:rPr>
              <w:t>0.8215</w:t>
            </w:r>
          </w:p>
        </w:tc>
      </w:tr>
      <w:tr w14:paraId="263E4C00">
        <w:tblPrEx>
          <w:tblCellMar>
            <w:top w:w="15" w:type="dxa"/>
            <w:left w:w="15" w:type="dxa"/>
            <w:bottom w:w="15" w:type="dxa"/>
            <w:right w:w="15" w:type="dxa"/>
          </w:tblCellMar>
        </w:tblPrEx>
        <w:trPr>
          <w:wAfter w:w="0" w:type="auto"/>
          <w:trHeight w:val="345" w:hRule="atLeast"/>
        </w:trPr>
        <w:tc>
          <w:tcPr>
            <w:tcW w:w="1318"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291289C0">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b/>
                <w:bCs/>
                <w:color w:val="000000"/>
                <w:sz w:val="24"/>
                <w:szCs w:val="24"/>
              </w:rPr>
            </w:pPr>
            <w:r>
              <w:rPr>
                <w:b/>
                <w:bCs/>
                <w:color w:val="000000"/>
                <w:sz w:val="24"/>
                <w:szCs w:val="24"/>
              </w:rPr>
              <w:t>0.61</w:t>
            </w:r>
          </w:p>
        </w:tc>
        <w:tc>
          <w:tcPr>
            <w:tcW w:w="1256"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73BCD33C">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sz w:val="24"/>
                <w:szCs w:val="24"/>
              </w:rPr>
            </w:pPr>
            <w:r>
              <w:rPr>
                <w:color w:val="000000"/>
                <w:sz w:val="24"/>
                <w:szCs w:val="24"/>
              </w:rPr>
              <w:t>0.9984</w:t>
            </w:r>
          </w:p>
        </w:tc>
        <w:tc>
          <w:tcPr>
            <w:tcW w:w="1190"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2D85859D">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sz w:val="24"/>
                <w:szCs w:val="24"/>
              </w:rPr>
            </w:pPr>
            <w:r>
              <w:rPr>
                <w:color w:val="000000"/>
                <w:sz w:val="24"/>
                <w:szCs w:val="24"/>
              </w:rPr>
              <w:t>0.9755</w:t>
            </w:r>
          </w:p>
        </w:tc>
        <w:tc>
          <w:tcPr>
            <w:tcW w:w="1133"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4046A0E3">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sz w:val="24"/>
                <w:szCs w:val="24"/>
              </w:rPr>
            </w:pPr>
            <w:r>
              <w:rPr>
                <w:color w:val="000000"/>
                <w:sz w:val="24"/>
                <w:szCs w:val="24"/>
              </w:rPr>
              <w:t>0.7516</w:t>
            </w:r>
          </w:p>
        </w:tc>
        <w:tc>
          <w:tcPr>
            <w:tcW w:w="1165"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7BE30979">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sz w:val="24"/>
                <w:szCs w:val="24"/>
              </w:rPr>
            </w:pPr>
            <w:r>
              <w:rPr>
                <w:color w:val="000000"/>
                <w:sz w:val="24"/>
                <w:szCs w:val="24"/>
              </w:rPr>
              <w:t>0.7878</w:t>
            </w:r>
          </w:p>
        </w:tc>
      </w:tr>
      <w:tr w14:paraId="655A7976">
        <w:tblPrEx>
          <w:tblCellMar>
            <w:top w:w="15" w:type="dxa"/>
            <w:left w:w="15" w:type="dxa"/>
            <w:bottom w:w="15" w:type="dxa"/>
            <w:right w:w="15" w:type="dxa"/>
          </w:tblCellMar>
        </w:tblPrEx>
        <w:trPr>
          <w:wAfter w:w="0" w:type="auto"/>
          <w:trHeight w:val="345" w:hRule="atLeast"/>
        </w:trPr>
        <w:tc>
          <w:tcPr>
            <w:tcW w:w="1318"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44903F9D">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b/>
                <w:bCs/>
                <w:color w:val="000000"/>
                <w:sz w:val="24"/>
                <w:szCs w:val="24"/>
              </w:rPr>
            </w:pPr>
            <w:r>
              <w:rPr>
                <w:b/>
                <w:bCs/>
                <w:color w:val="000000"/>
                <w:sz w:val="24"/>
                <w:szCs w:val="24"/>
              </w:rPr>
              <w:t>0.71</w:t>
            </w:r>
          </w:p>
        </w:tc>
        <w:tc>
          <w:tcPr>
            <w:tcW w:w="1256"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4FE0F799">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sz w:val="24"/>
                <w:szCs w:val="24"/>
              </w:rPr>
            </w:pPr>
            <w:r>
              <w:rPr>
                <w:color w:val="000000"/>
                <w:sz w:val="24"/>
                <w:szCs w:val="24"/>
              </w:rPr>
              <w:t>0.9981</w:t>
            </w:r>
          </w:p>
        </w:tc>
        <w:tc>
          <w:tcPr>
            <w:tcW w:w="1190"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2D1ADD87">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sz w:val="24"/>
                <w:szCs w:val="24"/>
              </w:rPr>
            </w:pPr>
            <w:r>
              <w:rPr>
                <w:color w:val="000000"/>
                <w:sz w:val="24"/>
                <w:szCs w:val="24"/>
              </w:rPr>
              <w:t>0.9879</w:t>
            </w:r>
          </w:p>
        </w:tc>
        <w:tc>
          <w:tcPr>
            <w:tcW w:w="1133"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2AF7EB0B">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sz w:val="24"/>
                <w:szCs w:val="24"/>
              </w:rPr>
            </w:pPr>
            <w:r>
              <w:rPr>
                <w:color w:val="000000"/>
                <w:sz w:val="24"/>
                <w:szCs w:val="24"/>
              </w:rPr>
              <w:t>0.6886</w:t>
            </w:r>
          </w:p>
        </w:tc>
        <w:tc>
          <w:tcPr>
            <w:tcW w:w="1165"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281BBBF0">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sz w:val="24"/>
                <w:szCs w:val="24"/>
              </w:rPr>
            </w:pPr>
            <w:r>
              <w:rPr>
                <w:color w:val="000000"/>
                <w:sz w:val="24"/>
                <w:szCs w:val="24"/>
              </w:rPr>
              <w:t>0.7330</w:t>
            </w:r>
          </w:p>
        </w:tc>
      </w:tr>
      <w:tr w14:paraId="58BF644D">
        <w:tblPrEx>
          <w:tblCellMar>
            <w:top w:w="15" w:type="dxa"/>
            <w:left w:w="15" w:type="dxa"/>
            <w:bottom w:w="15" w:type="dxa"/>
            <w:right w:w="15" w:type="dxa"/>
          </w:tblCellMar>
        </w:tblPrEx>
        <w:trPr>
          <w:wAfter w:w="0" w:type="auto"/>
          <w:trHeight w:val="345" w:hRule="atLeast"/>
        </w:trPr>
        <w:tc>
          <w:tcPr>
            <w:tcW w:w="1318"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2B272FA3">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b/>
                <w:bCs/>
                <w:color w:val="000000"/>
                <w:sz w:val="24"/>
                <w:szCs w:val="24"/>
              </w:rPr>
            </w:pPr>
            <w:r>
              <w:rPr>
                <w:b/>
                <w:bCs/>
                <w:color w:val="000000"/>
                <w:sz w:val="24"/>
                <w:szCs w:val="24"/>
              </w:rPr>
              <w:t>0.81</w:t>
            </w:r>
          </w:p>
        </w:tc>
        <w:tc>
          <w:tcPr>
            <w:tcW w:w="1256"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726877F9">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sz w:val="24"/>
                <w:szCs w:val="24"/>
              </w:rPr>
            </w:pPr>
            <w:r>
              <w:rPr>
                <w:color w:val="000000"/>
                <w:sz w:val="24"/>
                <w:szCs w:val="24"/>
              </w:rPr>
              <w:t>0.9975</w:t>
            </w:r>
          </w:p>
        </w:tc>
        <w:tc>
          <w:tcPr>
            <w:tcW w:w="1190"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17A2D61C">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sz w:val="24"/>
                <w:szCs w:val="24"/>
              </w:rPr>
            </w:pPr>
            <w:r>
              <w:rPr>
                <w:color w:val="000000"/>
                <w:sz w:val="24"/>
                <w:szCs w:val="24"/>
              </w:rPr>
              <w:t>0.9923</w:t>
            </w:r>
          </w:p>
        </w:tc>
        <w:tc>
          <w:tcPr>
            <w:tcW w:w="1133"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738B44AB">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sz w:val="24"/>
                <w:szCs w:val="24"/>
              </w:rPr>
            </w:pPr>
            <w:r>
              <w:rPr>
                <w:color w:val="000000"/>
                <w:sz w:val="24"/>
                <w:szCs w:val="24"/>
              </w:rPr>
              <w:t>0.5858</w:t>
            </w:r>
          </w:p>
        </w:tc>
        <w:tc>
          <w:tcPr>
            <w:tcW w:w="1165"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vAlign w:val="top"/>
          </w:tcPr>
          <w:p w14:paraId="250FAF4A">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left"/>
              <w:rPr>
                <w:color w:val="000000"/>
                <w:sz w:val="24"/>
                <w:szCs w:val="24"/>
              </w:rPr>
            </w:pPr>
            <w:r>
              <w:rPr>
                <w:color w:val="000000"/>
                <w:sz w:val="24"/>
                <w:szCs w:val="24"/>
              </w:rPr>
              <w:t>0.6381</w:t>
            </w:r>
          </w:p>
        </w:tc>
      </w:tr>
    </w:tbl>
    <w:p w14:paraId="6C54AF1D">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i/>
          <w:iCs/>
          <w:color w:val="000000" w:themeColor="text1"/>
          <w:sz w:val="22"/>
          <w:szCs w:val="22"/>
          <w:lang w:val="vi-VN"/>
          <w14:textFill>
            <w14:solidFill>
              <w14:schemeClr w14:val="tx1"/>
            </w14:solidFill>
          </w14:textFill>
        </w:rPr>
      </w:pPr>
      <w:r>
        <w:rPr>
          <w:i/>
          <w:iCs/>
          <w:color w:val="000000" w:themeColor="text1"/>
          <w:sz w:val="22"/>
          <w:szCs w:val="22"/>
          <w14:textFill>
            <w14:solidFill>
              <w14:schemeClr w14:val="tx1"/>
            </w14:solidFill>
          </w14:textFill>
        </w:rPr>
        <w:t>Table 3</w:t>
      </w:r>
      <w:r>
        <w:rPr>
          <w:rFonts w:hint="default"/>
          <w:i/>
          <w:iCs/>
          <w:color w:val="000000" w:themeColor="text1"/>
          <w:sz w:val="22"/>
          <w:szCs w:val="22"/>
          <w:lang w:val="en-US"/>
          <w14:textFill>
            <w14:solidFill>
              <w14:schemeClr w14:val="tx1"/>
            </w14:solidFill>
          </w14:textFill>
        </w:rPr>
        <w:t>.</w:t>
      </w:r>
      <w:r>
        <w:rPr>
          <w:i/>
          <w:iCs/>
          <w:color w:val="000000" w:themeColor="text1"/>
          <w:sz w:val="22"/>
          <w:szCs w:val="22"/>
          <w14:textFill>
            <w14:solidFill>
              <w14:schemeClr w14:val="tx1"/>
            </w14:solidFill>
          </w14:textFill>
        </w:rPr>
        <w:t xml:space="preserve"> Random Forest threshold selection grid</w:t>
      </w:r>
    </w:p>
    <w:p w14:paraId="65FE62D9">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For XGBoost, predicted probabilities on the validation set were converted to binary predictions across a grid of thresholds from 0.11 to 0.91 in steps of 0.</w:t>
      </w:r>
      <w:r>
        <w:rPr>
          <w:color w:val="000000" w:themeColor="text1"/>
          <w:sz w:val="24"/>
          <w:szCs w:val="24"/>
          <w:lang w:val="vi-VN"/>
          <w14:textFill>
            <w14:solidFill>
              <w14:schemeClr w14:val="tx1"/>
            </w14:solidFill>
          </w14:textFill>
        </w:rPr>
        <w:t>1</w:t>
      </w:r>
      <w:r>
        <w:rPr>
          <w:color w:val="000000" w:themeColor="text1"/>
          <w:sz w:val="24"/>
          <w:szCs w:val="24"/>
          <w14:textFill>
            <w14:solidFill>
              <w14:schemeClr w14:val="tx1"/>
            </w14:solidFill>
          </w14:textFill>
        </w:rPr>
        <w:t>. After inspection, the threshold of 0.91 was found to maximise F2 on the validation set; therefore, selected for use in all subsequent evaluation.</w:t>
      </w:r>
    </w:p>
    <w:tbl>
      <w:tblPr>
        <w:tblStyle w:val="9"/>
        <w:tblW w:w="0" w:type="auto"/>
        <w:tblInd w:w="0" w:type="dxa"/>
        <w:tblLayout w:type="autofit"/>
        <w:tblCellMar>
          <w:top w:w="15" w:type="dxa"/>
          <w:left w:w="15" w:type="dxa"/>
          <w:bottom w:w="15" w:type="dxa"/>
          <w:right w:w="15" w:type="dxa"/>
        </w:tblCellMar>
      </w:tblPr>
      <w:tblGrid>
        <w:gridCol w:w="1557"/>
        <w:gridCol w:w="1557"/>
        <w:gridCol w:w="1558"/>
        <w:gridCol w:w="1557"/>
        <w:gridCol w:w="1558"/>
      </w:tblGrid>
      <w:tr w14:paraId="77DEE060">
        <w:trPr>
          <w:trHeight w:val="345" w:hRule="atLeast"/>
        </w:trPr>
        <w:tc>
          <w:tcPr>
            <w:tcW w:w="1557" w:type="dxa"/>
            <w:tcBorders>
              <w:top w:val="single" w:color="000000" w:sz="8" w:space="0"/>
              <w:left w:val="single" w:color="000000" w:sz="8" w:space="0"/>
              <w:bottom w:val="single" w:color="000000" w:sz="8" w:space="0"/>
              <w:right w:val="single" w:color="000000" w:sz="8" w:space="0"/>
            </w:tcBorders>
            <w:shd w:val="clear" w:color="auto" w:fill="D9E2F3"/>
            <w:tcMar>
              <w:top w:w="60" w:type="dxa"/>
              <w:left w:w="100" w:type="dxa"/>
              <w:bottom w:w="60" w:type="dxa"/>
              <w:right w:w="100" w:type="dxa"/>
            </w:tcMar>
          </w:tcPr>
          <w:p w14:paraId="6B2304BB">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b/>
                <w:bCs/>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Threshold</w:t>
            </w:r>
          </w:p>
        </w:tc>
        <w:tc>
          <w:tcPr>
            <w:tcW w:w="1557" w:type="dxa"/>
            <w:tcBorders>
              <w:top w:val="single" w:color="000000" w:sz="8" w:space="0"/>
              <w:left w:val="single" w:color="000000" w:sz="8" w:space="0"/>
              <w:bottom w:val="single" w:color="000000" w:sz="8" w:space="0"/>
              <w:right w:val="single" w:color="000000" w:sz="8" w:space="0"/>
            </w:tcBorders>
            <w:shd w:val="clear" w:color="auto" w:fill="D9E2F3"/>
            <w:tcMar>
              <w:top w:w="60" w:type="dxa"/>
              <w:left w:w="100" w:type="dxa"/>
              <w:bottom w:w="60" w:type="dxa"/>
              <w:right w:w="100" w:type="dxa"/>
            </w:tcMar>
          </w:tcPr>
          <w:p w14:paraId="39797B56">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b/>
                <w:bCs/>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Precision</w:t>
            </w:r>
          </w:p>
        </w:tc>
        <w:tc>
          <w:tcPr>
            <w:tcW w:w="1558" w:type="dxa"/>
            <w:tcBorders>
              <w:top w:val="single" w:color="000000" w:sz="8" w:space="0"/>
              <w:left w:val="single" w:color="000000" w:sz="8" w:space="0"/>
              <w:bottom w:val="single" w:color="000000" w:sz="8" w:space="0"/>
              <w:right w:val="single" w:color="000000" w:sz="8" w:space="0"/>
            </w:tcBorders>
            <w:shd w:val="clear" w:color="auto" w:fill="D9E2F3"/>
            <w:tcMar>
              <w:top w:w="60" w:type="dxa"/>
              <w:left w:w="100" w:type="dxa"/>
              <w:bottom w:w="60" w:type="dxa"/>
              <w:right w:w="100" w:type="dxa"/>
            </w:tcMar>
          </w:tcPr>
          <w:p w14:paraId="047D6065">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b/>
                <w:bCs/>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Recall</w:t>
            </w:r>
          </w:p>
        </w:tc>
        <w:tc>
          <w:tcPr>
            <w:tcW w:w="1557" w:type="dxa"/>
            <w:tcBorders>
              <w:top w:val="single" w:color="000000" w:sz="8" w:space="0"/>
              <w:left w:val="single" w:color="000000" w:sz="8" w:space="0"/>
              <w:bottom w:val="single" w:color="000000" w:sz="8" w:space="0"/>
              <w:right w:val="single" w:color="000000" w:sz="8" w:space="0"/>
            </w:tcBorders>
            <w:shd w:val="clear" w:color="auto" w:fill="D9E2F3"/>
            <w:tcMar>
              <w:top w:w="60" w:type="dxa"/>
              <w:left w:w="100" w:type="dxa"/>
              <w:bottom w:w="60" w:type="dxa"/>
              <w:right w:w="100" w:type="dxa"/>
            </w:tcMar>
          </w:tcPr>
          <w:p w14:paraId="58E7C779">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b/>
                <w:bCs/>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F1</w:t>
            </w:r>
          </w:p>
        </w:tc>
        <w:tc>
          <w:tcPr>
            <w:tcW w:w="1558" w:type="dxa"/>
            <w:tcBorders>
              <w:top w:val="single" w:color="000000" w:sz="8" w:space="0"/>
              <w:left w:val="single" w:color="000000" w:sz="8" w:space="0"/>
              <w:bottom w:val="single" w:color="000000" w:sz="8" w:space="0"/>
              <w:right w:val="single" w:color="000000" w:sz="8" w:space="0"/>
            </w:tcBorders>
            <w:shd w:val="clear" w:color="auto" w:fill="D9E2F3"/>
            <w:tcMar>
              <w:top w:w="60" w:type="dxa"/>
              <w:left w:w="100" w:type="dxa"/>
              <w:bottom w:w="60" w:type="dxa"/>
              <w:right w:w="100" w:type="dxa"/>
            </w:tcMar>
          </w:tcPr>
          <w:p w14:paraId="4EDC636B">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b/>
                <w:bCs/>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F2</w:t>
            </w:r>
          </w:p>
        </w:tc>
      </w:tr>
      <w:tr w14:paraId="65DFD022">
        <w:tblPrEx>
          <w:tblCellMar>
            <w:top w:w="15" w:type="dxa"/>
            <w:left w:w="15" w:type="dxa"/>
            <w:bottom w:w="15" w:type="dxa"/>
            <w:right w:w="15" w:type="dxa"/>
          </w:tblCellMar>
        </w:tblPrEx>
        <w:trPr>
          <w:trHeight w:val="345" w:hRule="atLeast"/>
        </w:trPr>
        <w:tc>
          <w:tcPr>
            <w:tcW w:w="1557"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3C52C148">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b/>
                <w:bCs/>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0.11</w:t>
            </w:r>
          </w:p>
        </w:tc>
        <w:tc>
          <w:tcPr>
            <w:tcW w:w="1557"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4DCDAB1E">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color w:val="000000" w:themeColor="text1"/>
                <w:sz w:val="22"/>
                <w:szCs w:val="22"/>
                <w:lang w:val="vi-VN"/>
                <w14:textFill>
                  <w14:solidFill>
                    <w14:schemeClr w14:val="tx1"/>
                  </w14:solidFill>
                </w14:textFill>
              </w:rPr>
            </w:pPr>
            <w:r>
              <w:rPr>
                <w:color w:val="000000" w:themeColor="text1"/>
                <w:sz w:val="22"/>
                <w:szCs w:val="22"/>
                <w14:textFill>
                  <w14:solidFill>
                    <w14:schemeClr w14:val="tx1"/>
                  </w14:solidFill>
                </w14:textFill>
              </w:rPr>
              <w:t>0.260</w:t>
            </w:r>
          </w:p>
        </w:tc>
        <w:tc>
          <w:tcPr>
            <w:tcW w:w="1558"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662A6E12">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0.989</w:t>
            </w:r>
          </w:p>
        </w:tc>
        <w:tc>
          <w:tcPr>
            <w:tcW w:w="1557"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04CD9005">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0.412</w:t>
            </w:r>
          </w:p>
        </w:tc>
        <w:tc>
          <w:tcPr>
            <w:tcW w:w="1558"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5D1ABD5F">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0.634</w:t>
            </w:r>
          </w:p>
        </w:tc>
      </w:tr>
      <w:tr w14:paraId="3E12DA81">
        <w:tblPrEx>
          <w:tblCellMar>
            <w:top w:w="15" w:type="dxa"/>
            <w:left w:w="15" w:type="dxa"/>
            <w:bottom w:w="15" w:type="dxa"/>
            <w:right w:w="15" w:type="dxa"/>
          </w:tblCellMar>
        </w:tblPrEx>
        <w:trPr>
          <w:trHeight w:val="345" w:hRule="atLeast"/>
        </w:trPr>
        <w:tc>
          <w:tcPr>
            <w:tcW w:w="1557" w:type="dxa"/>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tcPr>
          <w:p w14:paraId="56409466">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b/>
                <w:bCs/>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0.31</w:t>
            </w:r>
          </w:p>
        </w:tc>
        <w:tc>
          <w:tcPr>
            <w:tcW w:w="1557" w:type="dxa"/>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tcPr>
          <w:p w14:paraId="0689E40D">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0.402</w:t>
            </w:r>
          </w:p>
        </w:tc>
        <w:tc>
          <w:tcPr>
            <w:tcW w:w="1558" w:type="dxa"/>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tcPr>
          <w:p w14:paraId="72FE75C6">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0.978</w:t>
            </w:r>
          </w:p>
        </w:tc>
        <w:tc>
          <w:tcPr>
            <w:tcW w:w="1557" w:type="dxa"/>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tcPr>
          <w:p w14:paraId="26F92FD5">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0.570</w:t>
            </w:r>
          </w:p>
        </w:tc>
        <w:tc>
          <w:tcPr>
            <w:tcW w:w="1558" w:type="dxa"/>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tcPr>
          <w:p w14:paraId="40ACBE71">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0.760</w:t>
            </w:r>
          </w:p>
        </w:tc>
      </w:tr>
      <w:tr w14:paraId="35C6D474">
        <w:tblPrEx>
          <w:tblCellMar>
            <w:top w:w="15" w:type="dxa"/>
            <w:left w:w="15" w:type="dxa"/>
            <w:bottom w:w="15" w:type="dxa"/>
            <w:right w:w="15" w:type="dxa"/>
          </w:tblCellMar>
        </w:tblPrEx>
        <w:trPr>
          <w:trHeight w:val="345" w:hRule="atLeast"/>
        </w:trPr>
        <w:tc>
          <w:tcPr>
            <w:tcW w:w="1557"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74555E74">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b/>
                <w:bCs/>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0.51</w:t>
            </w:r>
          </w:p>
        </w:tc>
        <w:tc>
          <w:tcPr>
            <w:tcW w:w="1557"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0A156EF2">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0.513</w:t>
            </w:r>
          </w:p>
        </w:tc>
        <w:tc>
          <w:tcPr>
            <w:tcW w:w="1558"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734DF57B">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0.967</w:t>
            </w:r>
          </w:p>
        </w:tc>
        <w:tc>
          <w:tcPr>
            <w:tcW w:w="1557"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10CF5909">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0.670</w:t>
            </w:r>
          </w:p>
        </w:tc>
        <w:tc>
          <w:tcPr>
            <w:tcW w:w="1558"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7D977094">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0.822</w:t>
            </w:r>
          </w:p>
        </w:tc>
      </w:tr>
      <w:tr w14:paraId="6324E1D9">
        <w:tblPrEx>
          <w:tblCellMar>
            <w:top w:w="15" w:type="dxa"/>
            <w:left w:w="15" w:type="dxa"/>
            <w:bottom w:w="15" w:type="dxa"/>
            <w:right w:w="15" w:type="dxa"/>
          </w:tblCellMar>
        </w:tblPrEx>
        <w:trPr>
          <w:trHeight w:val="345" w:hRule="atLeast"/>
        </w:trPr>
        <w:tc>
          <w:tcPr>
            <w:tcW w:w="1557" w:type="dxa"/>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tcPr>
          <w:p w14:paraId="27D13531">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b/>
                <w:bCs/>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0.71</w:t>
            </w:r>
          </w:p>
        </w:tc>
        <w:tc>
          <w:tcPr>
            <w:tcW w:w="1557" w:type="dxa"/>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tcPr>
          <w:p w14:paraId="1FF2647B">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0.626</w:t>
            </w:r>
          </w:p>
        </w:tc>
        <w:tc>
          <w:tcPr>
            <w:tcW w:w="1558" w:type="dxa"/>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tcPr>
          <w:p w14:paraId="310587B2">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0.947</w:t>
            </w:r>
          </w:p>
        </w:tc>
        <w:tc>
          <w:tcPr>
            <w:tcW w:w="1557" w:type="dxa"/>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tcPr>
          <w:p w14:paraId="3C33764E">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0.754</w:t>
            </w:r>
          </w:p>
        </w:tc>
        <w:tc>
          <w:tcPr>
            <w:tcW w:w="1558" w:type="dxa"/>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tcPr>
          <w:p w14:paraId="1D4E627C">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0.859</w:t>
            </w:r>
          </w:p>
        </w:tc>
      </w:tr>
      <w:tr w14:paraId="765D45F0">
        <w:tblPrEx>
          <w:tblCellMar>
            <w:top w:w="15" w:type="dxa"/>
            <w:left w:w="15" w:type="dxa"/>
            <w:bottom w:w="15" w:type="dxa"/>
            <w:right w:w="15" w:type="dxa"/>
          </w:tblCellMar>
        </w:tblPrEx>
        <w:trPr>
          <w:trHeight w:val="345" w:hRule="atLeast"/>
        </w:trPr>
        <w:tc>
          <w:tcPr>
            <w:tcW w:w="1557"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18F92185">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b/>
                <w:bCs/>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0.91 (selected)</w:t>
            </w:r>
          </w:p>
        </w:tc>
        <w:tc>
          <w:tcPr>
            <w:tcW w:w="1557"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28879D12">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0.810</w:t>
            </w:r>
          </w:p>
        </w:tc>
        <w:tc>
          <w:tcPr>
            <w:tcW w:w="1558"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75A18664">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0.915</w:t>
            </w:r>
          </w:p>
        </w:tc>
        <w:tc>
          <w:tcPr>
            <w:tcW w:w="1557"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50AD95C6">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0.859</w:t>
            </w:r>
          </w:p>
        </w:tc>
        <w:tc>
          <w:tcPr>
            <w:tcW w:w="1558" w:type="dxa"/>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2E57B8E7">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0.892</w:t>
            </w:r>
          </w:p>
        </w:tc>
      </w:tr>
    </w:tbl>
    <w:p w14:paraId="3414D5DD">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i/>
          <w:iCs/>
          <w:color w:val="000000" w:themeColor="text1"/>
          <w:sz w:val="22"/>
          <w:szCs w:val="22"/>
          <w14:textFill>
            <w14:solidFill>
              <w14:schemeClr w14:val="tx1"/>
            </w14:solidFill>
          </w14:textFill>
        </w:rPr>
      </w:pPr>
      <w:r>
        <w:rPr>
          <w:i/>
          <w:iCs/>
          <w:color w:val="000000" w:themeColor="text1"/>
          <w:sz w:val="22"/>
          <w:szCs w:val="22"/>
          <w14:textFill>
            <w14:solidFill>
              <w14:schemeClr w14:val="tx1"/>
            </w14:solidFill>
          </w14:textFill>
        </w:rPr>
        <w:t>Table 4</w:t>
      </w:r>
      <w:r>
        <w:rPr>
          <w:rFonts w:hint="default"/>
          <w:i/>
          <w:iCs/>
          <w:color w:val="000000" w:themeColor="text1"/>
          <w:sz w:val="22"/>
          <w:szCs w:val="22"/>
          <w:lang w:val="en-US"/>
          <w14:textFill>
            <w14:solidFill>
              <w14:schemeClr w14:val="tx1"/>
            </w14:solidFill>
          </w14:textFill>
        </w:rPr>
        <w:t>.</w:t>
      </w:r>
      <w:r>
        <w:rPr>
          <w:i/>
          <w:iCs/>
          <w:color w:val="000000" w:themeColor="text1"/>
          <w:sz w:val="22"/>
          <w:szCs w:val="22"/>
          <w14:textFill>
            <w14:solidFill>
              <w14:schemeClr w14:val="tx1"/>
            </w14:solidFill>
          </w14:textFill>
        </w:rPr>
        <w:t xml:space="preserve"> XGBoost threshold selection grid</w:t>
      </w:r>
    </w:p>
    <w:p w14:paraId="73510816">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3.8 Final Evaluation on the Independent Test Set</w:t>
      </w:r>
    </w:p>
    <w:p w14:paraId="06B03699">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Using the validation-selected threshold of 0.91, the trained XGBoost model was applied to the Test dataset for final evaluation. A 100-iteration bootstrap resample of the test set was additionally performed to quantify the sampling variability of precision, recall and F2.</w:t>
      </w:r>
    </w:p>
    <w:p w14:paraId="312B2FC6">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 Results</w:t>
      </w:r>
    </w:p>
    <w:p w14:paraId="60D48E80">
      <w:pPr>
        <w:pStyle w:val="4"/>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rPr>
          <w:rFonts w:hint="default" w:ascii="Times New Roman" w:hAnsi="Times New Roman" w:cs="Times New Roman"/>
          <w:i/>
          <w:iCs/>
          <w:color w:val="auto"/>
        </w:rPr>
      </w:pPr>
      <w:r>
        <w:rPr>
          <w:rFonts w:hint="default" w:ascii="Times New Roman" w:hAnsi="Times New Roman" w:cs="Times New Roman"/>
          <w:i/>
          <w:iCs/>
          <w:color w:val="auto"/>
        </w:rPr>
        <w:t>4.1 Validation Performance Across Models</w:t>
      </w:r>
    </w:p>
    <w:p w14:paraId="21D64588">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4"/>
          <w:szCs w:val="24"/>
          <w:lang w:val="vi-VN"/>
          <w14:textFill>
            <w14:solidFill>
              <w14:schemeClr w14:val="tx1"/>
            </w14:solidFill>
          </w14:textFill>
        </w:rPr>
      </w:pPr>
      <w:r>
        <w:rPr>
          <w:color w:val="000000" w:themeColor="text1"/>
          <w:sz w:val="24"/>
          <w:szCs w:val="24"/>
          <w14:textFill>
            <w14:solidFill>
              <w14:schemeClr w14:val="tx1"/>
            </w14:solidFill>
          </w14:textFill>
        </w:rPr>
        <w:t>Table 3 compares the three classifiers at the operating point actually used for each: Logistic regression baselines at the default 0.5 threshold, Random forest at optimal XGBoost at its F2-optimal threshold of 0.91.</w:t>
      </w:r>
    </w:p>
    <w:tbl>
      <w:tblPr>
        <w:tblStyle w:val="9"/>
        <w:tblW w:w="0" w:type="auto"/>
        <w:tblInd w:w="0" w:type="dxa"/>
        <w:tblLayout w:type="autofit"/>
        <w:tblCellMar>
          <w:top w:w="15" w:type="dxa"/>
          <w:left w:w="15" w:type="dxa"/>
          <w:bottom w:w="15" w:type="dxa"/>
          <w:right w:w="15" w:type="dxa"/>
        </w:tblCellMar>
      </w:tblPr>
      <w:tblGrid>
        <w:gridCol w:w="2260"/>
        <w:gridCol w:w="1594"/>
        <w:gridCol w:w="1595"/>
        <w:gridCol w:w="1595"/>
        <w:gridCol w:w="1595"/>
      </w:tblGrid>
      <w:tr w14:paraId="226B1605">
        <w:tblPrEx>
          <w:tblCellMar>
            <w:top w:w="15" w:type="dxa"/>
            <w:left w:w="15" w:type="dxa"/>
            <w:bottom w:w="15" w:type="dxa"/>
            <w:right w:w="15" w:type="dxa"/>
          </w:tblCellMar>
        </w:tblPrEx>
        <w:trPr>
          <w:trHeight w:val="360" w:hRule="atLeast"/>
        </w:trPr>
        <w:tc>
          <w:tcPr>
            <w:tcW w:w="2260" w:type="dxa"/>
            <w:tcBorders>
              <w:top w:val="single" w:color="000000" w:sz="6" w:space="0"/>
              <w:left w:val="single" w:color="000000" w:sz="6" w:space="0"/>
              <w:bottom w:val="single" w:color="000000" w:sz="6" w:space="0"/>
              <w:right w:val="single" w:color="000000" w:sz="6" w:space="0"/>
            </w:tcBorders>
            <w:shd w:val="clear" w:color="auto" w:fill="D9E2F3"/>
            <w:tcMar>
              <w:top w:w="60" w:type="dxa"/>
              <w:left w:w="100" w:type="dxa"/>
              <w:bottom w:w="60" w:type="dxa"/>
              <w:right w:w="100" w:type="dxa"/>
            </w:tcMar>
            <w:vAlign w:val="bottom"/>
          </w:tcPr>
          <w:p w14:paraId="343633AB">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Model</w:t>
            </w:r>
          </w:p>
        </w:tc>
        <w:tc>
          <w:tcPr>
            <w:tcW w:w="1594" w:type="dxa"/>
            <w:tcBorders>
              <w:top w:val="single" w:color="000000" w:sz="6" w:space="0"/>
              <w:left w:val="single" w:color="000000" w:sz="6" w:space="0"/>
              <w:bottom w:val="single" w:color="000000" w:sz="6" w:space="0"/>
              <w:right w:val="single" w:color="000000" w:sz="6" w:space="0"/>
            </w:tcBorders>
            <w:shd w:val="clear" w:color="auto" w:fill="D9E2F3"/>
            <w:tcMar>
              <w:top w:w="60" w:type="dxa"/>
              <w:left w:w="100" w:type="dxa"/>
              <w:bottom w:w="60" w:type="dxa"/>
              <w:right w:w="100" w:type="dxa"/>
            </w:tcMar>
            <w:vAlign w:val="bottom"/>
          </w:tcPr>
          <w:p w14:paraId="1E6908FB">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Precision</w:t>
            </w:r>
          </w:p>
        </w:tc>
        <w:tc>
          <w:tcPr>
            <w:tcW w:w="1595" w:type="dxa"/>
            <w:tcBorders>
              <w:top w:val="single" w:color="000000" w:sz="6" w:space="0"/>
              <w:left w:val="single" w:color="000000" w:sz="6" w:space="0"/>
              <w:bottom w:val="single" w:color="000000" w:sz="6" w:space="0"/>
              <w:right w:val="single" w:color="000000" w:sz="6" w:space="0"/>
            </w:tcBorders>
            <w:shd w:val="clear" w:color="auto" w:fill="D9E2F3"/>
            <w:tcMar>
              <w:top w:w="60" w:type="dxa"/>
              <w:left w:w="100" w:type="dxa"/>
              <w:bottom w:w="60" w:type="dxa"/>
              <w:right w:w="100" w:type="dxa"/>
            </w:tcMar>
            <w:vAlign w:val="bottom"/>
          </w:tcPr>
          <w:p w14:paraId="3E8A4134">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Recall</w:t>
            </w:r>
          </w:p>
        </w:tc>
        <w:tc>
          <w:tcPr>
            <w:tcW w:w="1595" w:type="dxa"/>
            <w:tcBorders>
              <w:top w:val="single" w:color="000000" w:sz="6" w:space="0"/>
              <w:left w:val="single" w:color="000000" w:sz="6" w:space="0"/>
              <w:bottom w:val="single" w:color="000000" w:sz="6" w:space="0"/>
              <w:right w:val="single" w:color="000000" w:sz="6" w:space="0"/>
            </w:tcBorders>
            <w:shd w:val="clear" w:color="auto" w:fill="D9E2F3"/>
            <w:tcMar>
              <w:top w:w="0" w:type="dxa"/>
              <w:left w:w="20" w:type="dxa"/>
              <w:bottom w:w="0" w:type="dxa"/>
              <w:right w:w="20" w:type="dxa"/>
            </w:tcMar>
            <w:vAlign w:val="bottom"/>
          </w:tcPr>
          <w:p w14:paraId="58F42E52">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lang w:val="vi-VN"/>
                <w14:textFill>
                  <w14:solidFill>
                    <w14:schemeClr w14:val="tx1"/>
                  </w14:solidFill>
                </w14:textFill>
              </w:rPr>
              <w:t xml:space="preserve"> </w:t>
            </w:r>
            <w:r>
              <w:rPr>
                <w:rFonts w:ascii="Times New Roman" w:hAnsi="Times New Roman" w:cs="Times New Roman"/>
                <w:color w:val="000000" w:themeColor="text1"/>
                <w:sz w:val="22"/>
                <w:szCs w:val="22"/>
                <w14:textFill>
                  <w14:solidFill>
                    <w14:schemeClr w14:val="tx1"/>
                  </w14:solidFill>
                </w14:textFill>
              </w:rPr>
              <w:t>F1-score</w:t>
            </w:r>
          </w:p>
        </w:tc>
        <w:tc>
          <w:tcPr>
            <w:tcW w:w="1595" w:type="dxa"/>
            <w:tcBorders>
              <w:top w:val="single" w:color="000000" w:sz="6" w:space="0"/>
              <w:left w:val="single" w:color="000000" w:sz="6" w:space="0"/>
              <w:bottom w:val="single" w:color="000000" w:sz="6" w:space="0"/>
              <w:right w:val="single" w:color="000000" w:sz="6" w:space="0"/>
            </w:tcBorders>
            <w:shd w:val="clear" w:color="auto" w:fill="D9E2F3"/>
            <w:tcMar>
              <w:top w:w="0" w:type="dxa"/>
              <w:left w:w="20" w:type="dxa"/>
              <w:bottom w:w="0" w:type="dxa"/>
              <w:right w:w="20" w:type="dxa"/>
            </w:tcMar>
            <w:vAlign w:val="bottom"/>
          </w:tcPr>
          <w:p w14:paraId="2AA1F61A">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lang w:val="vi-VN"/>
                <w14:textFill>
                  <w14:solidFill>
                    <w14:schemeClr w14:val="tx1"/>
                  </w14:solidFill>
                </w14:textFill>
              </w:rPr>
              <w:t xml:space="preserve"> </w:t>
            </w:r>
            <w:r>
              <w:rPr>
                <w:rFonts w:ascii="Times New Roman" w:hAnsi="Times New Roman" w:cs="Times New Roman"/>
                <w:color w:val="000000" w:themeColor="text1"/>
                <w:sz w:val="22"/>
                <w:szCs w:val="22"/>
                <w14:textFill>
                  <w14:solidFill>
                    <w14:schemeClr w14:val="tx1"/>
                  </w14:solidFill>
                </w14:textFill>
              </w:rPr>
              <w:t>F2-score</w:t>
            </w:r>
          </w:p>
        </w:tc>
      </w:tr>
      <w:tr w14:paraId="3839BD0D">
        <w:tblPrEx>
          <w:tblCellMar>
            <w:top w:w="15" w:type="dxa"/>
            <w:left w:w="15" w:type="dxa"/>
            <w:bottom w:w="15" w:type="dxa"/>
            <w:right w:w="15" w:type="dxa"/>
          </w:tblCellMar>
        </w:tblPrEx>
        <w:trPr>
          <w:trHeight w:val="360" w:hRule="atLeast"/>
        </w:trPr>
        <w:tc>
          <w:tcPr>
            <w:tcW w:w="226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vAlign w:val="bottom"/>
          </w:tcPr>
          <w:p w14:paraId="013877BD">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Logistic Regression</w:t>
            </w:r>
          </w:p>
        </w:tc>
        <w:tc>
          <w:tcPr>
            <w:tcW w:w="1594"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vAlign w:val="bottom"/>
          </w:tcPr>
          <w:p w14:paraId="6E5650CB">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0.7535</w:t>
            </w:r>
          </w:p>
        </w:tc>
        <w:tc>
          <w:tcPr>
            <w:tcW w:w="1595"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vAlign w:val="bottom"/>
          </w:tcPr>
          <w:p w14:paraId="0066725D">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0.2802</w:t>
            </w:r>
          </w:p>
        </w:tc>
        <w:tc>
          <w:tcPr>
            <w:tcW w:w="1595" w:type="dxa"/>
            <w:tcBorders>
              <w:top w:val="single" w:color="000000" w:sz="6" w:space="0"/>
              <w:left w:val="single" w:color="000000" w:sz="6" w:space="0"/>
              <w:bottom w:val="single" w:color="000000" w:sz="6" w:space="0"/>
              <w:right w:val="single" w:color="000000" w:sz="6" w:space="0"/>
            </w:tcBorders>
            <w:tcMar>
              <w:top w:w="0" w:type="dxa"/>
              <w:left w:w="20" w:type="dxa"/>
              <w:bottom w:w="0" w:type="dxa"/>
              <w:right w:w="20" w:type="dxa"/>
            </w:tcMar>
            <w:vAlign w:val="bottom"/>
          </w:tcPr>
          <w:p w14:paraId="753E06F7">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lang w:val="vi-VN"/>
                <w14:textFill>
                  <w14:solidFill>
                    <w14:schemeClr w14:val="tx1"/>
                  </w14:solidFill>
                </w14:textFill>
              </w:rPr>
              <w:t xml:space="preserve"> </w:t>
            </w:r>
            <w:r>
              <w:rPr>
                <w:rFonts w:ascii="Times New Roman" w:hAnsi="Times New Roman" w:cs="Times New Roman"/>
                <w:b w:val="0"/>
                <w:bCs w:val="0"/>
                <w:color w:val="000000" w:themeColor="text1"/>
                <w:sz w:val="22"/>
                <w:szCs w:val="22"/>
                <w14:textFill>
                  <w14:solidFill>
                    <w14:schemeClr w14:val="tx1"/>
                  </w14:solidFill>
                </w14:textFill>
              </w:rPr>
              <w:t>0.4085</w:t>
            </w:r>
          </w:p>
        </w:tc>
        <w:tc>
          <w:tcPr>
            <w:tcW w:w="1595" w:type="dxa"/>
            <w:tcBorders>
              <w:top w:val="single" w:color="000000" w:sz="6" w:space="0"/>
              <w:left w:val="single" w:color="000000" w:sz="6" w:space="0"/>
              <w:bottom w:val="single" w:color="000000" w:sz="6" w:space="0"/>
              <w:right w:val="single" w:color="000000" w:sz="6" w:space="0"/>
            </w:tcBorders>
            <w:tcMar>
              <w:top w:w="0" w:type="dxa"/>
              <w:left w:w="20" w:type="dxa"/>
              <w:bottom w:w="0" w:type="dxa"/>
              <w:right w:w="20" w:type="dxa"/>
            </w:tcMar>
            <w:vAlign w:val="bottom"/>
          </w:tcPr>
          <w:p w14:paraId="679E1FE0">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lang w:val="vi-VN"/>
                <w14:textFill>
                  <w14:solidFill>
                    <w14:schemeClr w14:val="tx1"/>
                  </w14:solidFill>
                </w14:textFill>
              </w:rPr>
              <w:t xml:space="preserve"> </w:t>
            </w:r>
            <w:r>
              <w:rPr>
                <w:rFonts w:ascii="Times New Roman" w:hAnsi="Times New Roman" w:cs="Times New Roman"/>
                <w:b w:val="0"/>
                <w:bCs w:val="0"/>
                <w:color w:val="000000" w:themeColor="text1"/>
                <w:sz w:val="22"/>
                <w:szCs w:val="22"/>
                <w14:textFill>
                  <w14:solidFill>
                    <w14:schemeClr w14:val="tx1"/>
                  </w14:solidFill>
                </w14:textFill>
              </w:rPr>
              <w:t>0.3204</w:t>
            </w:r>
          </w:p>
        </w:tc>
      </w:tr>
      <w:tr w14:paraId="0FA15A34">
        <w:tblPrEx>
          <w:tblCellMar>
            <w:top w:w="15" w:type="dxa"/>
            <w:left w:w="15" w:type="dxa"/>
            <w:bottom w:w="15" w:type="dxa"/>
            <w:right w:w="15" w:type="dxa"/>
          </w:tblCellMar>
        </w:tblPrEx>
        <w:trPr>
          <w:trHeight w:val="360" w:hRule="atLeast"/>
        </w:trPr>
        <w:tc>
          <w:tcPr>
            <w:tcW w:w="2260" w:type="dxa"/>
            <w:tcBorders>
              <w:top w:val="single" w:color="000000" w:sz="6" w:space="0"/>
              <w:left w:val="single" w:color="000000" w:sz="6" w:space="0"/>
              <w:bottom w:val="single" w:color="000000" w:sz="6" w:space="0"/>
              <w:right w:val="single" w:color="000000" w:sz="6" w:space="0"/>
            </w:tcBorders>
            <w:shd w:val="clear" w:color="auto" w:fill="F2F2F2"/>
            <w:tcMar>
              <w:top w:w="60" w:type="dxa"/>
              <w:left w:w="100" w:type="dxa"/>
              <w:bottom w:w="60" w:type="dxa"/>
              <w:right w:w="100" w:type="dxa"/>
            </w:tcMar>
            <w:vAlign w:val="bottom"/>
          </w:tcPr>
          <w:p w14:paraId="1A166C0C">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Random Forest</w:t>
            </w:r>
          </w:p>
        </w:tc>
        <w:tc>
          <w:tcPr>
            <w:tcW w:w="1594" w:type="dxa"/>
            <w:tcBorders>
              <w:top w:val="single" w:color="000000" w:sz="6" w:space="0"/>
              <w:left w:val="single" w:color="000000" w:sz="6" w:space="0"/>
              <w:bottom w:val="single" w:color="000000" w:sz="6" w:space="0"/>
              <w:right w:val="single" w:color="000000" w:sz="6" w:space="0"/>
            </w:tcBorders>
            <w:shd w:val="clear" w:color="auto" w:fill="F2F2F2"/>
            <w:tcMar>
              <w:top w:w="60" w:type="dxa"/>
              <w:left w:w="100" w:type="dxa"/>
              <w:bottom w:w="60" w:type="dxa"/>
              <w:right w:w="100" w:type="dxa"/>
            </w:tcMar>
            <w:vAlign w:val="bottom"/>
          </w:tcPr>
          <w:p w14:paraId="693BD768">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0.7456</w:t>
            </w:r>
          </w:p>
        </w:tc>
        <w:tc>
          <w:tcPr>
            <w:tcW w:w="1595" w:type="dxa"/>
            <w:tcBorders>
              <w:top w:val="single" w:color="000000" w:sz="6" w:space="0"/>
              <w:left w:val="single" w:color="000000" w:sz="6" w:space="0"/>
              <w:bottom w:val="single" w:color="000000" w:sz="6" w:space="0"/>
              <w:right w:val="single" w:color="000000" w:sz="6" w:space="0"/>
            </w:tcBorders>
            <w:shd w:val="clear" w:color="auto" w:fill="F2F2F2"/>
            <w:tcMar>
              <w:top w:w="60" w:type="dxa"/>
              <w:left w:w="100" w:type="dxa"/>
              <w:bottom w:w="60" w:type="dxa"/>
              <w:right w:w="100" w:type="dxa"/>
            </w:tcMar>
            <w:vAlign w:val="bottom"/>
          </w:tcPr>
          <w:p w14:paraId="37C3A2D3">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0.8966</w:t>
            </w:r>
          </w:p>
        </w:tc>
        <w:tc>
          <w:tcPr>
            <w:tcW w:w="1595" w:type="dxa"/>
            <w:tcBorders>
              <w:top w:val="single" w:color="000000" w:sz="6" w:space="0"/>
              <w:left w:val="single" w:color="000000" w:sz="6" w:space="0"/>
              <w:bottom w:val="single" w:color="000000" w:sz="6" w:space="0"/>
              <w:right w:val="single" w:color="000000" w:sz="6" w:space="0"/>
            </w:tcBorders>
            <w:shd w:val="clear" w:color="auto" w:fill="F2F2F2"/>
            <w:tcMar>
              <w:top w:w="0" w:type="dxa"/>
              <w:left w:w="20" w:type="dxa"/>
              <w:bottom w:w="0" w:type="dxa"/>
              <w:right w:w="20" w:type="dxa"/>
            </w:tcMar>
            <w:vAlign w:val="bottom"/>
          </w:tcPr>
          <w:p w14:paraId="674A3DA9">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lang w:val="vi-VN"/>
                <w14:textFill>
                  <w14:solidFill>
                    <w14:schemeClr w14:val="tx1"/>
                  </w14:solidFill>
                </w14:textFill>
              </w:rPr>
              <w:t xml:space="preserve"> </w:t>
            </w:r>
            <w:r>
              <w:rPr>
                <w:rFonts w:ascii="Times New Roman" w:hAnsi="Times New Roman" w:cs="Times New Roman"/>
                <w:b w:val="0"/>
                <w:bCs w:val="0"/>
                <w:color w:val="000000" w:themeColor="text1"/>
                <w:sz w:val="22"/>
                <w:szCs w:val="22"/>
                <w14:textFill>
                  <w14:solidFill>
                    <w14:schemeClr w14:val="tx1"/>
                  </w14:solidFill>
                </w14:textFill>
              </w:rPr>
              <w:t>0.8143</w:t>
            </w:r>
          </w:p>
        </w:tc>
        <w:tc>
          <w:tcPr>
            <w:tcW w:w="1595" w:type="dxa"/>
            <w:tcBorders>
              <w:top w:val="single" w:color="000000" w:sz="6" w:space="0"/>
              <w:left w:val="single" w:color="000000" w:sz="6" w:space="0"/>
              <w:bottom w:val="single" w:color="000000" w:sz="6" w:space="0"/>
              <w:right w:val="single" w:color="000000" w:sz="6" w:space="0"/>
            </w:tcBorders>
            <w:shd w:val="clear" w:color="auto" w:fill="F2F2F2"/>
            <w:tcMar>
              <w:top w:w="0" w:type="dxa"/>
              <w:left w:w="20" w:type="dxa"/>
              <w:bottom w:w="0" w:type="dxa"/>
              <w:right w:w="20" w:type="dxa"/>
            </w:tcMar>
            <w:vAlign w:val="bottom"/>
          </w:tcPr>
          <w:p w14:paraId="262C6166">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lang w:val="vi-VN"/>
                <w14:textFill>
                  <w14:solidFill>
                    <w14:schemeClr w14:val="tx1"/>
                  </w14:solidFill>
                </w14:textFill>
              </w:rPr>
              <w:t xml:space="preserve"> </w:t>
            </w:r>
            <w:r>
              <w:rPr>
                <w:rFonts w:ascii="Times New Roman" w:hAnsi="Times New Roman" w:cs="Times New Roman"/>
                <w:b w:val="0"/>
                <w:bCs w:val="0"/>
                <w:color w:val="000000" w:themeColor="text1"/>
                <w:sz w:val="22"/>
                <w:szCs w:val="22"/>
                <w14:textFill>
                  <w14:solidFill>
                    <w14:schemeClr w14:val="tx1"/>
                  </w14:solidFill>
                </w14:textFill>
              </w:rPr>
              <w:t>0.8618</w:t>
            </w:r>
          </w:p>
        </w:tc>
      </w:tr>
      <w:tr w14:paraId="144F80E0">
        <w:tblPrEx>
          <w:tblCellMar>
            <w:top w:w="15" w:type="dxa"/>
            <w:left w:w="15" w:type="dxa"/>
            <w:bottom w:w="15" w:type="dxa"/>
            <w:right w:w="15" w:type="dxa"/>
          </w:tblCellMar>
        </w:tblPrEx>
        <w:trPr>
          <w:trHeight w:val="360" w:hRule="atLeast"/>
        </w:trPr>
        <w:tc>
          <w:tcPr>
            <w:tcW w:w="2260"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vAlign w:val="bottom"/>
          </w:tcPr>
          <w:p w14:paraId="3C0E2FB1">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XGBoost</w:t>
            </w:r>
          </w:p>
        </w:tc>
        <w:tc>
          <w:tcPr>
            <w:tcW w:w="1594"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vAlign w:val="bottom"/>
          </w:tcPr>
          <w:p w14:paraId="074878FD">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0.8105</w:t>
            </w:r>
          </w:p>
        </w:tc>
        <w:tc>
          <w:tcPr>
            <w:tcW w:w="1595"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vAlign w:val="bottom"/>
          </w:tcPr>
          <w:p w14:paraId="025633AB">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14:textFill>
                  <w14:solidFill>
                    <w14:schemeClr w14:val="tx1"/>
                  </w14:solidFill>
                </w14:textFill>
              </w:rPr>
              <w:t>0.9148</w:t>
            </w:r>
          </w:p>
        </w:tc>
        <w:tc>
          <w:tcPr>
            <w:tcW w:w="1595" w:type="dxa"/>
            <w:tcBorders>
              <w:top w:val="single" w:color="000000" w:sz="6" w:space="0"/>
              <w:left w:val="single" w:color="000000" w:sz="6" w:space="0"/>
              <w:bottom w:val="single" w:color="000000" w:sz="6" w:space="0"/>
              <w:right w:val="single" w:color="000000" w:sz="6" w:space="0"/>
            </w:tcBorders>
            <w:tcMar>
              <w:top w:w="0" w:type="dxa"/>
              <w:left w:w="20" w:type="dxa"/>
              <w:bottom w:w="0" w:type="dxa"/>
              <w:right w:w="20" w:type="dxa"/>
            </w:tcMar>
            <w:vAlign w:val="bottom"/>
          </w:tcPr>
          <w:p w14:paraId="4008CB9D">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lang w:val="vi-VN"/>
                <w14:textFill>
                  <w14:solidFill>
                    <w14:schemeClr w14:val="tx1"/>
                  </w14:solidFill>
                </w14:textFill>
              </w:rPr>
              <w:t xml:space="preserve"> </w:t>
            </w:r>
            <w:r>
              <w:rPr>
                <w:rFonts w:ascii="Times New Roman" w:hAnsi="Times New Roman" w:cs="Times New Roman"/>
                <w:b w:val="0"/>
                <w:bCs w:val="0"/>
                <w:color w:val="000000" w:themeColor="text1"/>
                <w:sz w:val="22"/>
                <w:szCs w:val="22"/>
                <w14:textFill>
                  <w14:solidFill>
                    <w14:schemeClr w14:val="tx1"/>
                  </w14:solidFill>
                </w14:textFill>
              </w:rPr>
              <w:t>0.8595</w:t>
            </w:r>
          </w:p>
        </w:tc>
        <w:tc>
          <w:tcPr>
            <w:tcW w:w="1595" w:type="dxa"/>
            <w:tcBorders>
              <w:top w:val="single" w:color="000000" w:sz="6" w:space="0"/>
              <w:left w:val="single" w:color="000000" w:sz="6" w:space="0"/>
              <w:bottom w:val="single" w:color="000000" w:sz="6" w:space="0"/>
              <w:right w:val="single" w:color="000000" w:sz="6" w:space="0"/>
            </w:tcBorders>
            <w:tcMar>
              <w:top w:w="0" w:type="dxa"/>
              <w:left w:w="20" w:type="dxa"/>
              <w:bottom w:w="0" w:type="dxa"/>
              <w:right w:w="20" w:type="dxa"/>
            </w:tcMar>
            <w:vAlign w:val="bottom"/>
          </w:tcPr>
          <w:p w14:paraId="2C780B1F">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lang w:val="vi-VN"/>
                <w14:textFill>
                  <w14:solidFill>
                    <w14:schemeClr w14:val="tx1"/>
                  </w14:solidFill>
                </w14:textFill>
              </w:rPr>
              <w:t xml:space="preserve"> </w:t>
            </w:r>
            <w:r>
              <w:rPr>
                <w:rFonts w:ascii="Times New Roman" w:hAnsi="Times New Roman" w:cs="Times New Roman"/>
                <w:b w:val="0"/>
                <w:bCs w:val="0"/>
                <w:color w:val="000000" w:themeColor="text1"/>
                <w:sz w:val="22"/>
                <w:szCs w:val="22"/>
                <w14:textFill>
                  <w14:solidFill>
                    <w14:schemeClr w14:val="tx1"/>
                  </w14:solidFill>
                </w14:textFill>
              </w:rPr>
              <w:t>0.8919</w:t>
            </w:r>
          </w:p>
        </w:tc>
      </w:tr>
    </w:tbl>
    <w:p w14:paraId="1691612D">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center"/>
        <w:rPr>
          <w:i/>
          <w:iCs/>
          <w:color w:val="000000" w:themeColor="text1"/>
          <w:sz w:val="24"/>
          <w:szCs w:val="24"/>
          <w:lang w:val="vi-VN"/>
          <w14:textFill>
            <w14:solidFill>
              <w14:schemeClr w14:val="tx1"/>
            </w14:solidFill>
          </w14:textFill>
        </w:rPr>
      </w:pPr>
      <w:r>
        <w:rPr>
          <w:i/>
          <w:iCs/>
          <w:color w:val="000000" w:themeColor="text1"/>
          <w:sz w:val="22"/>
          <w:szCs w:val="22"/>
          <w14:textFill>
            <w14:solidFill>
              <w14:schemeClr w14:val="tx1"/>
            </w14:solidFill>
          </w14:textFill>
        </w:rPr>
        <w:t xml:space="preserve">Table </w:t>
      </w:r>
      <w:r>
        <w:rPr>
          <w:rFonts w:hint="default"/>
          <w:i/>
          <w:iCs/>
          <w:color w:val="000000" w:themeColor="text1"/>
          <w:sz w:val="22"/>
          <w:szCs w:val="22"/>
          <w:lang w:val="en-US"/>
          <w14:textFill>
            <w14:solidFill>
              <w14:schemeClr w14:val="tx1"/>
            </w14:solidFill>
          </w14:textFill>
        </w:rPr>
        <w:t>5</w:t>
      </w:r>
      <w:r>
        <w:rPr>
          <w:i/>
          <w:iCs/>
          <w:color w:val="000000" w:themeColor="text1"/>
          <w:sz w:val="22"/>
          <w:szCs w:val="22"/>
          <w14:textFill>
            <w14:solidFill>
              <w14:schemeClr w14:val="tx1"/>
            </w14:solidFill>
          </w14:textFill>
        </w:rPr>
        <w:t>. Model Comparison on the Validation Set</w:t>
      </w:r>
    </w:p>
    <w:p w14:paraId="7FEB0F3D">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Logistic Regression substantially under-detects fraud at the default threshold (recall = 0.28 on the class-1 report, F2 = 0.320), reflecting the well-known difficulty of an unweighted linear classifier in separating a 0.58%-prevalence minority class. Random Forest performs considerably better at the same default threshold (F1 = 0.814, F2 = 0.862). Evaluated at its F2-optimal threshold, XGBoost achieves moderately lower F1 to Random Forest but a materially higher F2 (0.892), making XGBoost the pipeline's selected final model.</w:t>
      </w:r>
    </w:p>
    <w:p w14:paraId="75BDB50E">
      <w:pPr>
        <w:pStyle w:val="4"/>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rPr>
          <w:rFonts w:hint="default" w:ascii="Times New Roman" w:hAnsi="Times New Roman" w:cs="Times New Roman"/>
          <w:i/>
          <w:iCs/>
          <w:color w:val="auto"/>
        </w:rPr>
      </w:pPr>
      <w:r>
        <w:rPr>
          <w:rFonts w:hint="default" w:ascii="Times New Roman" w:hAnsi="Times New Roman" w:cs="Times New Roman"/>
          <w:i/>
          <w:iCs/>
          <w:color w:val="auto"/>
        </w:rPr>
        <w:t>4.2 Confusion Matrices and Final Metrics</w:t>
      </w:r>
    </w:p>
    <w:tbl>
      <w:tblPr>
        <w:tblStyle w:val="9"/>
        <w:tblW w:w="4956" w:type="pct"/>
        <w:tblInd w:w="0" w:type="dxa"/>
        <w:tblLayout w:type="autofit"/>
        <w:tblCellMar>
          <w:top w:w="15" w:type="dxa"/>
          <w:left w:w="15" w:type="dxa"/>
          <w:bottom w:w="15" w:type="dxa"/>
          <w:right w:w="15" w:type="dxa"/>
        </w:tblCellMar>
      </w:tblPr>
      <w:tblGrid>
        <w:gridCol w:w="2574"/>
        <w:gridCol w:w="1705"/>
        <w:gridCol w:w="1706"/>
        <w:gridCol w:w="1706"/>
        <w:gridCol w:w="1706"/>
      </w:tblGrid>
      <w:tr w14:paraId="2123D28F">
        <w:tblPrEx>
          <w:tblCellMar>
            <w:top w:w="15" w:type="dxa"/>
            <w:left w:w="15" w:type="dxa"/>
            <w:bottom w:w="15" w:type="dxa"/>
            <w:right w:w="15" w:type="dxa"/>
          </w:tblCellMar>
        </w:tblPrEx>
        <w:trPr>
          <w:wBefore w:w="0" w:type="auto"/>
          <w:trHeight w:val="360" w:hRule="atLeast"/>
        </w:trPr>
        <w:tc>
          <w:tcPr>
            <w:tcW w:w="1369" w:type="pct"/>
            <w:tcBorders>
              <w:top w:val="single" w:color="000000" w:sz="6" w:space="0"/>
              <w:left w:val="single" w:color="000000" w:sz="6" w:space="0"/>
              <w:bottom w:val="single" w:color="000000" w:sz="6" w:space="0"/>
              <w:right w:val="single" w:color="000000" w:sz="6" w:space="0"/>
            </w:tcBorders>
            <w:shd w:val="clear" w:color="auto" w:fill="D9E2F3"/>
            <w:tcMar>
              <w:top w:w="60" w:type="dxa"/>
              <w:left w:w="100" w:type="dxa"/>
              <w:bottom w:w="60" w:type="dxa"/>
              <w:right w:w="100" w:type="dxa"/>
            </w:tcMar>
            <w:vAlign w:val="center"/>
          </w:tcPr>
          <w:p w14:paraId="214837BB">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bCs/>
                <w:color w:val="000000" w:themeColor="text1"/>
                <w:sz w:val="22"/>
                <w:szCs w:val="22"/>
                <w14:textFill>
                  <w14:solidFill>
                    <w14:schemeClr w14:val="tx1"/>
                  </w14:solidFill>
                </w14:textFill>
              </w:rPr>
            </w:pPr>
            <w:r>
              <w:rPr>
                <w:rFonts w:ascii="Times New Roman" w:hAnsi="Times New Roman" w:cs="Times New Roman"/>
                <w:b/>
                <w:bCs/>
                <w:color w:val="000000" w:themeColor="text1"/>
                <w:sz w:val="22"/>
                <w:szCs w:val="22"/>
                <w:lang w:val="en-US" w:eastAsia="zh-CN"/>
                <w14:textFill>
                  <w14:solidFill>
                    <w14:schemeClr w14:val="tx1"/>
                  </w14:solidFill>
                </w14:textFill>
              </w:rPr>
              <w:t>Set</w:t>
            </w:r>
          </w:p>
        </w:tc>
        <w:tc>
          <w:tcPr>
            <w:tcW w:w="907" w:type="pct"/>
            <w:tcBorders>
              <w:top w:val="single" w:color="000000" w:sz="6" w:space="0"/>
              <w:left w:val="single" w:color="000000" w:sz="6" w:space="0"/>
              <w:bottom w:val="single" w:color="000000" w:sz="6" w:space="0"/>
              <w:right w:val="single" w:color="000000" w:sz="6" w:space="0"/>
            </w:tcBorders>
            <w:shd w:val="clear" w:color="auto" w:fill="D9E2F3"/>
            <w:tcMar>
              <w:top w:w="60" w:type="dxa"/>
              <w:left w:w="100" w:type="dxa"/>
              <w:bottom w:w="60" w:type="dxa"/>
              <w:right w:w="100" w:type="dxa"/>
            </w:tcMar>
            <w:vAlign w:val="center"/>
          </w:tcPr>
          <w:p w14:paraId="0210CC4C">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bCs/>
                <w:color w:val="000000" w:themeColor="text1"/>
                <w:sz w:val="22"/>
                <w:szCs w:val="22"/>
                <w14:textFill>
                  <w14:solidFill>
                    <w14:schemeClr w14:val="tx1"/>
                  </w14:solidFill>
                </w14:textFill>
              </w:rPr>
            </w:pPr>
            <w:r>
              <w:rPr>
                <w:rFonts w:ascii="Times New Roman" w:hAnsi="Times New Roman" w:cs="Times New Roman"/>
                <w:b/>
                <w:bCs/>
                <w:color w:val="000000" w:themeColor="text1"/>
                <w:sz w:val="22"/>
                <w:szCs w:val="22"/>
                <w:lang w:val="en-US" w:eastAsia="zh-CN"/>
                <w14:textFill>
                  <w14:solidFill>
                    <w14:schemeClr w14:val="tx1"/>
                  </w14:solidFill>
                </w14:textFill>
              </w:rPr>
              <w:t>True Negatives</w:t>
            </w:r>
          </w:p>
        </w:tc>
        <w:tc>
          <w:tcPr>
            <w:tcW w:w="907" w:type="pct"/>
            <w:tcBorders>
              <w:top w:val="single" w:color="000000" w:sz="6" w:space="0"/>
              <w:left w:val="single" w:color="000000" w:sz="6" w:space="0"/>
              <w:bottom w:val="single" w:color="000000" w:sz="6" w:space="0"/>
              <w:right w:val="single" w:color="000000" w:sz="6" w:space="0"/>
            </w:tcBorders>
            <w:shd w:val="clear" w:color="auto" w:fill="D9E2F3"/>
            <w:tcMar>
              <w:top w:w="60" w:type="dxa"/>
              <w:left w:w="100" w:type="dxa"/>
              <w:bottom w:w="60" w:type="dxa"/>
              <w:right w:w="100" w:type="dxa"/>
            </w:tcMar>
            <w:vAlign w:val="center"/>
          </w:tcPr>
          <w:p w14:paraId="645D7330">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bCs/>
                <w:color w:val="000000" w:themeColor="text1"/>
                <w:sz w:val="22"/>
                <w:szCs w:val="22"/>
                <w14:textFill>
                  <w14:solidFill>
                    <w14:schemeClr w14:val="tx1"/>
                  </w14:solidFill>
                </w14:textFill>
              </w:rPr>
            </w:pPr>
            <w:r>
              <w:rPr>
                <w:rFonts w:ascii="Times New Roman" w:hAnsi="Times New Roman" w:cs="Times New Roman"/>
                <w:b/>
                <w:bCs/>
                <w:color w:val="000000" w:themeColor="text1"/>
                <w:sz w:val="22"/>
                <w:szCs w:val="22"/>
                <w:lang w:val="en-US" w:eastAsia="zh-CN"/>
                <w14:textFill>
                  <w14:solidFill>
                    <w14:schemeClr w14:val="tx1"/>
                  </w14:solidFill>
                </w14:textFill>
              </w:rPr>
              <w:t>False Positives</w:t>
            </w:r>
          </w:p>
        </w:tc>
        <w:tc>
          <w:tcPr>
            <w:tcW w:w="907" w:type="pct"/>
            <w:tcBorders>
              <w:top w:val="single" w:color="000000" w:sz="6" w:space="0"/>
              <w:left w:val="single" w:color="000000" w:sz="6" w:space="0"/>
              <w:bottom w:val="single" w:color="000000" w:sz="6" w:space="0"/>
              <w:right w:val="single" w:color="000000" w:sz="6" w:space="0"/>
            </w:tcBorders>
            <w:shd w:val="clear" w:color="auto" w:fill="D9E2F3"/>
            <w:tcMar>
              <w:top w:w="0" w:type="dxa"/>
              <w:left w:w="20" w:type="dxa"/>
              <w:bottom w:w="0" w:type="dxa"/>
              <w:right w:w="20" w:type="dxa"/>
            </w:tcMar>
            <w:vAlign w:val="center"/>
          </w:tcPr>
          <w:p w14:paraId="5F2348EA">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bCs/>
                <w:color w:val="000000" w:themeColor="text1"/>
                <w:sz w:val="22"/>
                <w:szCs w:val="22"/>
                <w:lang w:val="en-US" w:eastAsia="zh-CN"/>
                <w14:textFill>
                  <w14:solidFill>
                    <w14:schemeClr w14:val="tx1"/>
                  </w14:solidFill>
                </w14:textFill>
              </w:rPr>
            </w:pPr>
            <w:r>
              <w:rPr>
                <w:rFonts w:ascii="Times New Roman" w:hAnsi="Times New Roman" w:cs="Times New Roman"/>
                <w:b/>
                <w:bCs/>
                <w:color w:val="000000" w:themeColor="text1"/>
                <w:sz w:val="22"/>
                <w:szCs w:val="22"/>
                <w:lang w:val="en-US" w:eastAsia="zh-CN"/>
                <w14:textFill>
                  <w14:solidFill>
                    <w14:schemeClr w14:val="tx1"/>
                  </w14:solidFill>
                </w14:textFill>
              </w:rPr>
              <w:t>False Negatives</w:t>
            </w:r>
          </w:p>
        </w:tc>
        <w:tc>
          <w:tcPr>
            <w:tcW w:w="907" w:type="pct"/>
            <w:tcBorders>
              <w:top w:val="single" w:color="000000" w:sz="6" w:space="0"/>
              <w:left w:val="single" w:color="000000" w:sz="6" w:space="0"/>
              <w:bottom w:val="single" w:color="000000" w:sz="6" w:space="0"/>
              <w:right w:val="single" w:color="000000" w:sz="6" w:space="0"/>
            </w:tcBorders>
            <w:shd w:val="clear" w:color="auto" w:fill="D9E2F3"/>
            <w:tcMar>
              <w:top w:w="0" w:type="dxa"/>
              <w:left w:w="20" w:type="dxa"/>
              <w:bottom w:w="0" w:type="dxa"/>
              <w:right w:w="20" w:type="dxa"/>
            </w:tcMar>
            <w:vAlign w:val="center"/>
          </w:tcPr>
          <w:p w14:paraId="5D111AE6">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bCs/>
                <w:color w:val="000000" w:themeColor="text1"/>
                <w:sz w:val="22"/>
                <w:szCs w:val="22"/>
                <w:lang w:val="en-US" w:eastAsia="zh-CN"/>
                <w14:textFill>
                  <w14:solidFill>
                    <w14:schemeClr w14:val="tx1"/>
                  </w14:solidFill>
                </w14:textFill>
              </w:rPr>
            </w:pPr>
            <w:r>
              <w:rPr>
                <w:rFonts w:ascii="Times New Roman" w:hAnsi="Times New Roman" w:cs="Times New Roman"/>
                <w:b/>
                <w:bCs/>
                <w:color w:val="000000" w:themeColor="text1"/>
                <w:sz w:val="22"/>
                <w:szCs w:val="22"/>
                <w:lang w:val="en-US" w:eastAsia="zh-CN"/>
                <w14:textFill>
                  <w14:solidFill>
                    <w14:schemeClr w14:val="tx1"/>
                  </w14:solidFill>
                </w14:textFill>
              </w:rPr>
              <w:t>True Positives</w:t>
            </w:r>
          </w:p>
        </w:tc>
      </w:tr>
      <w:tr w14:paraId="2C051DF4">
        <w:tblPrEx>
          <w:tblCellMar>
            <w:top w:w="15" w:type="dxa"/>
            <w:left w:w="15" w:type="dxa"/>
            <w:bottom w:w="15" w:type="dxa"/>
            <w:right w:w="15" w:type="dxa"/>
          </w:tblCellMar>
        </w:tblPrEx>
        <w:trPr>
          <w:wBefore w:w="0" w:type="auto"/>
          <w:trHeight w:val="360" w:hRule="atLeast"/>
        </w:trPr>
        <w:tc>
          <w:tcPr>
            <w:tcW w:w="1369" w:type="pct"/>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vAlign w:val="center"/>
          </w:tcPr>
          <w:p w14:paraId="358B6DEF">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Validation (n = 259,335)</w:t>
            </w:r>
          </w:p>
        </w:tc>
        <w:tc>
          <w:tcPr>
            <w:tcW w:w="907" w:type="pct"/>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vAlign w:val="center"/>
          </w:tcPr>
          <w:p w14:paraId="693C30D3">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257,468</w:t>
            </w:r>
          </w:p>
        </w:tc>
        <w:tc>
          <w:tcPr>
            <w:tcW w:w="907" w:type="pct"/>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vAlign w:val="center"/>
          </w:tcPr>
          <w:p w14:paraId="2101D4F2">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329</w:t>
            </w:r>
          </w:p>
        </w:tc>
        <w:tc>
          <w:tcPr>
            <w:tcW w:w="907" w:type="pct"/>
            <w:tcBorders>
              <w:top w:val="single" w:color="000000" w:sz="6" w:space="0"/>
              <w:left w:val="single" w:color="000000" w:sz="6" w:space="0"/>
              <w:bottom w:val="single" w:color="000000" w:sz="6" w:space="0"/>
              <w:right w:val="single" w:color="000000" w:sz="6" w:space="0"/>
            </w:tcBorders>
            <w:tcMar>
              <w:top w:w="0" w:type="dxa"/>
              <w:left w:w="20" w:type="dxa"/>
              <w:bottom w:w="0" w:type="dxa"/>
              <w:right w:w="20" w:type="dxa"/>
            </w:tcMar>
            <w:vAlign w:val="center"/>
          </w:tcPr>
          <w:p w14:paraId="11E3A6B2">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131</w:t>
            </w:r>
          </w:p>
        </w:tc>
        <w:tc>
          <w:tcPr>
            <w:tcW w:w="907" w:type="pct"/>
            <w:tcBorders>
              <w:top w:val="single" w:color="000000" w:sz="6" w:space="0"/>
              <w:left w:val="single" w:color="000000" w:sz="6" w:space="0"/>
              <w:bottom w:val="single" w:color="000000" w:sz="6" w:space="0"/>
              <w:right w:val="single" w:color="000000" w:sz="6" w:space="0"/>
            </w:tcBorders>
            <w:tcMar>
              <w:top w:w="0" w:type="dxa"/>
              <w:left w:w="20" w:type="dxa"/>
              <w:bottom w:w="0" w:type="dxa"/>
              <w:right w:w="20" w:type="dxa"/>
            </w:tcMar>
            <w:vAlign w:val="center"/>
          </w:tcPr>
          <w:p w14:paraId="6A0F7B30">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1,407</w:t>
            </w:r>
          </w:p>
        </w:tc>
      </w:tr>
      <w:tr w14:paraId="2767D850">
        <w:tblPrEx>
          <w:tblCellMar>
            <w:top w:w="15" w:type="dxa"/>
            <w:left w:w="15" w:type="dxa"/>
            <w:bottom w:w="15" w:type="dxa"/>
            <w:right w:w="15" w:type="dxa"/>
          </w:tblCellMar>
        </w:tblPrEx>
        <w:trPr>
          <w:wBefore w:w="0" w:type="auto"/>
          <w:trHeight w:val="360" w:hRule="atLeast"/>
        </w:trPr>
        <w:tc>
          <w:tcPr>
            <w:tcW w:w="1369" w:type="pct"/>
            <w:tcBorders>
              <w:top w:val="single" w:color="000000" w:sz="6" w:space="0"/>
              <w:left w:val="single" w:color="000000" w:sz="6" w:space="0"/>
              <w:bottom w:val="single" w:color="000000" w:sz="6" w:space="0"/>
              <w:right w:val="single" w:color="000000" w:sz="6" w:space="0"/>
            </w:tcBorders>
            <w:shd w:val="clear" w:color="auto" w:fill="F2F2F2"/>
            <w:tcMar>
              <w:top w:w="60" w:type="dxa"/>
              <w:left w:w="100" w:type="dxa"/>
              <w:bottom w:w="60" w:type="dxa"/>
              <w:right w:w="100" w:type="dxa"/>
            </w:tcMar>
            <w:vAlign w:val="center"/>
          </w:tcPr>
          <w:p w14:paraId="1BCF9B4F">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Test (n = 555,719)</w:t>
            </w:r>
          </w:p>
        </w:tc>
        <w:tc>
          <w:tcPr>
            <w:tcW w:w="907" w:type="pct"/>
            <w:tcBorders>
              <w:top w:val="single" w:color="000000" w:sz="6" w:space="0"/>
              <w:left w:val="single" w:color="000000" w:sz="6" w:space="0"/>
              <w:bottom w:val="single" w:color="000000" w:sz="6" w:space="0"/>
              <w:right w:val="single" w:color="000000" w:sz="6" w:space="0"/>
            </w:tcBorders>
            <w:shd w:val="clear" w:color="auto" w:fill="F2F2F2"/>
            <w:tcMar>
              <w:top w:w="60" w:type="dxa"/>
              <w:left w:w="100" w:type="dxa"/>
              <w:bottom w:w="60" w:type="dxa"/>
              <w:right w:w="100" w:type="dxa"/>
            </w:tcMar>
            <w:vAlign w:val="center"/>
          </w:tcPr>
          <w:p w14:paraId="3D008A4C">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552,904</w:t>
            </w:r>
          </w:p>
        </w:tc>
        <w:tc>
          <w:tcPr>
            <w:tcW w:w="907" w:type="pct"/>
            <w:tcBorders>
              <w:top w:val="single" w:color="000000" w:sz="6" w:space="0"/>
              <w:left w:val="single" w:color="000000" w:sz="6" w:space="0"/>
              <w:bottom w:val="single" w:color="000000" w:sz="6" w:space="0"/>
              <w:right w:val="single" w:color="000000" w:sz="6" w:space="0"/>
            </w:tcBorders>
            <w:shd w:val="clear" w:color="auto" w:fill="F2F2F2"/>
            <w:tcMar>
              <w:top w:w="60" w:type="dxa"/>
              <w:left w:w="100" w:type="dxa"/>
              <w:bottom w:w="60" w:type="dxa"/>
              <w:right w:w="100" w:type="dxa"/>
            </w:tcMar>
            <w:vAlign w:val="center"/>
          </w:tcPr>
          <w:p w14:paraId="25B8E7A9">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670</w:t>
            </w:r>
          </w:p>
        </w:tc>
        <w:tc>
          <w:tcPr>
            <w:tcW w:w="907" w:type="pct"/>
            <w:tcBorders>
              <w:top w:val="single" w:color="000000" w:sz="6" w:space="0"/>
              <w:left w:val="single" w:color="000000" w:sz="6" w:space="0"/>
              <w:bottom w:val="single" w:color="000000" w:sz="6" w:space="0"/>
              <w:right w:val="single" w:color="000000" w:sz="6" w:space="0"/>
            </w:tcBorders>
            <w:shd w:val="clear" w:color="auto" w:fill="F2F2F2"/>
            <w:tcMar>
              <w:top w:w="0" w:type="dxa"/>
              <w:left w:w="20" w:type="dxa"/>
              <w:bottom w:w="0" w:type="dxa"/>
              <w:right w:w="20" w:type="dxa"/>
            </w:tcMar>
            <w:vAlign w:val="center"/>
          </w:tcPr>
          <w:p w14:paraId="36A39117">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262</w:t>
            </w:r>
          </w:p>
        </w:tc>
        <w:tc>
          <w:tcPr>
            <w:tcW w:w="907" w:type="pct"/>
            <w:tcBorders>
              <w:top w:val="single" w:color="000000" w:sz="6" w:space="0"/>
              <w:left w:val="single" w:color="000000" w:sz="6" w:space="0"/>
              <w:bottom w:val="single" w:color="000000" w:sz="6" w:space="0"/>
              <w:right w:val="single" w:color="000000" w:sz="6" w:space="0"/>
            </w:tcBorders>
            <w:shd w:val="clear" w:color="auto" w:fill="F2F2F2"/>
            <w:tcMar>
              <w:top w:w="0" w:type="dxa"/>
              <w:left w:w="20" w:type="dxa"/>
              <w:bottom w:w="0" w:type="dxa"/>
              <w:right w:w="20" w:type="dxa"/>
            </w:tcMar>
            <w:vAlign w:val="center"/>
          </w:tcPr>
          <w:p w14:paraId="2035B863">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1,883</w:t>
            </w:r>
          </w:p>
        </w:tc>
      </w:tr>
    </w:tbl>
    <w:p w14:paraId="601864BA">
      <w:pPr>
        <w:pStyle w:val="22"/>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3" w:lineRule="atLeast"/>
        <w:jc w:val="center"/>
        <w:rPr>
          <w:rStyle w:val="13"/>
          <w:sz w:val="22"/>
          <w:szCs w:val="22"/>
        </w:rPr>
      </w:pPr>
      <w:r>
        <w:rPr>
          <w:rStyle w:val="13"/>
          <w:sz w:val="22"/>
          <w:szCs w:val="22"/>
        </w:rPr>
        <w:t xml:space="preserve">Table </w:t>
      </w:r>
      <w:r>
        <w:rPr>
          <w:rStyle w:val="13"/>
          <w:rFonts w:hint="default"/>
          <w:sz w:val="22"/>
          <w:szCs w:val="22"/>
          <w:lang w:val="en-US"/>
        </w:rPr>
        <w:t>6</w:t>
      </w:r>
      <w:r>
        <w:rPr>
          <w:rStyle w:val="13"/>
          <w:sz w:val="22"/>
          <w:szCs w:val="22"/>
        </w:rPr>
        <w:t>. XGBoost Confusion Matrices (Threshold = 0.91)</w:t>
      </w:r>
    </w:p>
    <w:p w14:paraId="60C4C786">
      <w:pPr>
        <w:pStyle w:val="22"/>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3" w:lineRule="atLeast"/>
        <w:rPr>
          <w:rStyle w:val="13"/>
          <w:sz w:val="22"/>
          <w:szCs w:val="22"/>
        </w:rPr>
      </w:pPr>
    </w:p>
    <w:tbl>
      <w:tblPr>
        <w:tblStyle w:val="9"/>
        <w:tblW w:w="0" w:type="auto"/>
        <w:tblInd w:w="55" w:type="dxa"/>
        <w:tblLayout w:type="autofit"/>
        <w:tblCellMar>
          <w:top w:w="15" w:type="dxa"/>
          <w:left w:w="15" w:type="dxa"/>
          <w:bottom w:w="15" w:type="dxa"/>
          <w:right w:w="15" w:type="dxa"/>
        </w:tblCellMar>
      </w:tblPr>
      <w:tblGrid>
        <w:gridCol w:w="1773"/>
        <w:gridCol w:w="1758"/>
        <w:gridCol w:w="1758"/>
      </w:tblGrid>
      <w:tr w14:paraId="69CBD852">
        <w:tblPrEx>
          <w:tblCellMar>
            <w:top w:w="15" w:type="dxa"/>
            <w:left w:w="15" w:type="dxa"/>
            <w:bottom w:w="15" w:type="dxa"/>
            <w:right w:w="15" w:type="dxa"/>
          </w:tblCellMar>
        </w:tblPrEx>
        <w:trPr>
          <w:trHeight w:val="360" w:hRule="atLeast"/>
        </w:trPr>
        <w:tc>
          <w:tcPr>
            <w:tcW w:w="1773" w:type="dxa"/>
            <w:tcBorders>
              <w:top w:val="single" w:color="000000" w:sz="6" w:space="0"/>
              <w:left w:val="single" w:color="000000" w:sz="6" w:space="0"/>
              <w:bottom w:val="single" w:color="000000" w:sz="6" w:space="0"/>
              <w:right w:val="single" w:color="000000" w:sz="6" w:space="0"/>
            </w:tcBorders>
            <w:shd w:val="clear" w:color="auto" w:fill="D9E2F3"/>
            <w:tcMar>
              <w:top w:w="60" w:type="dxa"/>
              <w:left w:w="100" w:type="dxa"/>
              <w:bottom w:w="60" w:type="dxa"/>
              <w:right w:w="100" w:type="dxa"/>
            </w:tcMar>
            <w:vAlign w:val="center"/>
          </w:tcPr>
          <w:p w14:paraId="013D25D4">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bCs/>
                <w:color w:val="000000" w:themeColor="text1"/>
                <w:sz w:val="22"/>
                <w:szCs w:val="22"/>
                <w:lang w:val="en-US" w:eastAsia="zh-CN"/>
                <w14:textFill>
                  <w14:solidFill>
                    <w14:schemeClr w14:val="tx1"/>
                  </w14:solidFill>
                </w14:textFill>
              </w:rPr>
            </w:pPr>
            <w:r>
              <w:rPr>
                <w:rFonts w:ascii="Times New Roman" w:hAnsi="Times New Roman" w:cs="Times New Roman"/>
                <w:b/>
                <w:bCs/>
                <w:color w:val="000000" w:themeColor="text1"/>
                <w:sz w:val="22"/>
                <w:szCs w:val="22"/>
                <w:lang w:val="en-US" w:eastAsia="zh-CN"/>
                <w14:textFill>
                  <w14:solidFill>
                    <w14:schemeClr w14:val="tx1"/>
                  </w14:solidFill>
                </w14:textFill>
              </w:rPr>
              <w:t>Metric</w:t>
            </w:r>
          </w:p>
        </w:tc>
        <w:tc>
          <w:tcPr>
            <w:tcW w:w="1758" w:type="dxa"/>
            <w:tcBorders>
              <w:top w:val="single" w:color="000000" w:sz="6" w:space="0"/>
              <w:left w:val="single" w:color="000000" w:sz="6" w:space="0"/>
              <w:bottom w:val="single" w:color="000000" w:sz="6" w:space="0"/>
              <w:right w:val="single" w:color="000000" w:sz="6" w:space="0"/>
            </w:tcBorders>
            <w:shd w:val="clear" w:color="auto" w:fill="D9E2F3"/>
            <w:tcMar>
              <w:top w:w="60" w:type="dxa"/>
              <w:left w:w="100" w:type="dxa"/>
              <w:bottom w:w="60" w:type="dxa"/>
              <w:right w:w="100" w:type="dxa"/>
            </w:tcMar>
            <w:vAlign w:val="center"/>
          </w:tcPr>
          <w:p w14:paraId="5B0CF8BD">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bCs/>
                <w:color w:val="000000" w:themeColor="text1"/>
                <w:sz w:val="22"/>
                <w:szCs w:val="22"/>
                <w:lang w:val="en-US" w:eastAsia="zh-CN"/>
                <w14:textFill>
                  <w14:solidFill>
                    <w14:schemeClr w14:val="tx1"/>
                  </w14:solidFill>
                </w14:textFill>
              </w:rPr>
            </w:pPr>
            <w:r>
              <w:rPr>
                <w:rFonts w:ascii="Times New Roman" w:hAnsi="Times New Roman" w:cs="Times New Roman"/>
                <w:b/>
                <w:bCs/>
                <w:color w:val="000000" w:themeColor="text1"/>
                <w:sz w:val="22"/>
                <w:szCs w:val="22"/>
                <w:lang w:val="en-US" w:eastAsia="zh-CN"/>
                <w14:textFill>
                  <w14:solidFill>
                    <w14:schemeClr w14:val="tx1"/>
                  </w14:solidFill>
                </w14:textFill>
              </w:rPr>
              <w:t>Validation</w:t>
            </w:r>
          </w:p>
        </w:tc>
        <w:tc>
          <w:tcPr>
            <w:tcW w:w="1758" w:type="dxa"/>
            <w:tcBorders>
              <w:top w:val="single" w:color="000000" w:sz="6" w:space="0"/>
              <w:left w:val="single" w:color="000000" w:sz="6" w:space="0"/>
              <w:bottom w:val="single" w:color="000000" w:sz="6" w:space="0"/>
              <w:right w:val="single" w:color="000000" w:sz="6" w:space="0"/>
            </w:tcBorders>
            <w:shd w:val="clear" w:color="auto" w:fill="D9E2F3"/>
            <w:tcMar>
              <w:top w:w="60" w:type="dxa"/>
              <w:left w:w="100" w:type="dxa"/>
              <w:bottom w:w="60" w:type="dxa"/>
              <w:right w:w="100" w:type="dxa"/>
            </w:tcMar>
            <w:vAlign w:val="center"/>
          </w:tcPr>
          <w:p w14:paraId="5B91565A">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bCs/>
                <w:color w:val="000000" w:themeColor="text1"/>
                <w:sz w:val="22"/>
                <w:szCs w:val="22"/>
                <w:lang w:val="en-US" w:eastAsia="zh-CN"/>
                <w14:textFill>
                  <w14:solidFill>
                    <w14:schemeClr w14:val="tx1"/>
                  </w14:solidFill>
                </w14:textFill>
              </w:rPr>
            </w:pPr>
            <w:r>
              <w:rPr>
                <w:rFonts w:ascii="Times New Roman" w:hAnsi="Times New Roman" w:cs="Times New Roman"/>
                <w:b/>
                <w:bCs/>
                <w:color w:val="000000" w:themeColor="text1"/>
                <w:sz w:val="22"/>
                <w:szCs w:val="22"/>
                <w:lang w:val="en-US" w:eastAsia="zh-CN"/>
                <w14:textFill>
                  <w14:solidFill>
                    <w14:schemeClr w14:val="tx1"/>
                  </w14:solidFill>
                </w14:textFill>
              </w:rPr>
              <w:t>Test</w:t>
            </w:r>
          </w:p>
        </w:tc>
      </w:tr>
      <w:tr w14:paraId="58F07115">
        <w:tblPrEx>
          <w:tblCellMar>
            <w:top w:w="15" w:type="dxa"/>
            <w:left w:w="15" w:type="dxa"/>
            <w:bottom w:w="15" w:type="dxa"/>
            <w:right w:w="15" w:type="dxa"/>
          </w:tblCellMar>
        </w:tblPrEx>
        <w:trPr>
          <w:trHeight w:val="360" w:hRule="atLeast"/>
        </w:trPr>
        <w:tc>
          <w:tcPr>
            <w:tcW w:w="1773"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vAlign w:val="center"/>
          </w:tcPr>
          <w:p w14:paraId="468BBC7D">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Precision</w:t>
            </w:r>
          </w:p>
        </w:tc>
        <w:tc>
          <w:tcPr>
            <w:tcW w:w="1758"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vAlign w:val="center"/>
          </w:tcPr>
          <w:p w14:paraId="25D61FAE">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0.810</w:t>
            </w:r>
          </w:p>
        </w:tc>
        <w:tc>
          <w:tcPr>
            <w:tcW w:w="1758"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vAlign w:val="center"/>
          </w:tcPr>
          <w:p w14:paraId="1FB8F3E9">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0.738</w:t>
            </w:r>
          </w:p>
        </w:tc>
      </w:tr>
      <w:tr w14:paraId="1FB76800">
        <w:tblPrEx>
          <w:tblCellMar>
            <w:top w:w="15" w:type="dxa"/>
            <w:left w:w="15" w:type="dxa"/>
            <w:bottom w:w="15" w:type="dxa"/>
            <w:right w:w="15" w:type="dxa"/>
          </w:tblCellMar>
        </w:tblPrEx>
        <w:trPr>
          <w:trHeight w:val="360" w:hRule="atLeast"/>
        </w:trPr>
        <w:tc>
          <w:tcPr>
            <w:tcW w:w="1773" w:type="dxa"/>
            <w:tcBorders>
              <w:top w:val="single" w:color="000000" w:sz="6" w:space="0"/>
              <w:left w:val="single" w:color="000000" w:sz="6" w:space="0"/>
              <w:bottom w:val="single" w:color="000000" w:sz="6" w:space="0"/>
              <w:right w:val="single" w:color="000000" w:sz="6" w:space="0"/>
            </w:tcBorders>
            <w:shd w:val="clear" w:color="auto" w:fill="F2F2F2"/>
            <w:tcMar>
              <w:top w:w="60" w:type="dxa"/>
              <w:left w:w="100" w:type="dxa"/>
              <w:bottom w:w="60" w:type="dxa"/>
              <w:right w:w="100" w:type="dxa"/>
            </w:tcMar>
            <w:vAlign w:val="center"/>
          </w:tcPr>
          <w:p w14:paraId="2F513895">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Recall</w:t>
            </w:r>
          </w:p>
        </w:tc>
        <w:tc>
          <w:tcPr>
            <w:tcW w:w="1758" w:type="dxa"/>
            <w:tcBorders>
              <w:top w:val="single" w:color="000000" w:sz="6" w:space="0"/>
              <w:left w:val="single" w:color="000000" w:sz="6" w:space="0"/>
              <w:bottom w:val="single" w:color="000000" w:sz="6" w:space="0"/>
              <w:right w:val="single" w:color="000000" w:sz="6" w:space="0"/>
            </w:tcBorders>
            <w:shd w:val="clear" w:color="auto" w:fill="F2F2F2"/>
            <w:tcMar>
              <w:top w:w="60" w:type="dxa"/>
              <w:left w:w="100" w:type="dxa"/>
              <w:bottom w:w="60" w:type="dxa"/>
              <w:right w:w="100" w:type="dxa"/>
            </w:tcMar>
            <w:vAlign w:val="center"/>
          </w:tcPr>
          <w:p w14:paraId="6AC2AE12">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0.915</w:t>
            </w:r>
          </w:p>
        </w:tc>
        <w:tc>
          <w:tcPr>
            <w:tcW w:w="1758" w:type="dxa"/>
            <w:tcBorders>
              <w:top w:val="single" w:color="000000" w:sz="6" w:space="0"/>
              <w:left w:val="single" w:color="000000" w:sz="6" w:space="0"/>
              <w:bottom w:val="single" w:color="000000" w:sz="6" w:space="0"/>
              <w:right w:val="single" w:color="000000" w:sz="6" w:space="0"/>
            </w:tcBorders>
            <w:shd w:val="clear" w:color="auto" w:fill="F2F2F2"/>
            <w:tcMar>
              <w:top w:w="60" w:type="dxa"/>
              <w:left w:w="100" w:type="dxa"/>
              <w:bottom w:w="60" w:type="dxa"/>
              <w:right w:w="100" w:type="dxa"/>
            </w:tcMar>
            <w:vAlign w:val="center"/>
          </w:tcPr>
          <w:p w14:paraId="5B4DF20F">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0.878</w:t>
            </w:r>
          </w:p>
        </w:tc>
      </w:tr>
      <w:tr w14:paraId="222A4D8B">
        <w:tblPrEx>
          <w:tblCellMar>
            <w:top w:w="15" w:type="dxa"/>
            <w:left w:w="15" w:type="dxa"/>
            <w:bottom w:w="15" w:type="dxa"/>
            <w:right w:w="15" w:type="dxa"/>
          </w:tblCellMar>
        </w:tblPrEx>
        <w:trPr>
          <w:trHeight w:val="360" w:hRule="atLeast"/>
        </w:trPr>
        <w:tc>
          <w:tcPr>
            <w:tcW w:w="1773" w:type="dxa"/>
            <w:tcBorders>
              <w:top w:val="single" w:color="000000" w:sz="6" w:space="0"/>
              <w:left w:val="single" w:color="000000" w:sz="6" w:space="0"/>
              <w:bottom w:val="single" w:color="000000" w:sz="6" w:space="0"/>
              <w:right w:val="single" w:color="000000" w:sz="6" w:space="0"/>
            </w:tcBorders>
            <w:shd w:val="clear" w:color="auto" w:fill="auto"/>
            <w:tcMar>
              <w:top w:w="60" w:type="dxa"/>
              <w:left w:w="100" w:type="dxa"/>
              <w:bottom w:w="60" w:type="dxa"/>
              <w:right w:w="100" w:type="dxa"/>
            </w:tcMar>
            <w:vAlign w:val="center"/>
          </w:tcPr>
          <w:p w14:paraId="1D60CE6E">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F1-score</w:t>
            </w:r>
          </w:p>
        </w:tc>
        <w:tc>
          <w:tcPr>
            <w:tcW w:w="1758" w:type="dxa"/>
            <w:tcBorders>
              <w:top w:val="single" w:color="000000" w:sz="6" w:space="0"/>
              <w:left w:val="single" w:color="000000" w:sz="6" w:space="0"/>
              <w:bottom w:val="single" w:color="000000" w:sz="6" w:space="0"/>
              <w:right w:val="single" w:color="000000" w:sz="6" w:space="0"/>
            </w:tcBorders>
            <w:shd w:val="clear" w:color="auto" w:fill="auto"/>
            <w:tcMar>
              <w:top w:w="60" w:type="dxa"/>
              <w:left w:w="100" w:type="dxa"/>
              <w:bottom w:w="60" w:type="dxa"/>
              <w:right w:w="100" w:type="dxa"/>
            </w:tcMar>
            <w:vAlign w:val="center"/>
          </w:tcPr>
          <w:p w14:paraId="2CDE31FA">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0.859</w:t>
            </w:r>
          </w:p>
        </w:tc>
        <w:tc>
          <w:tcPr>
            <w:tcW w:w="1758" w:type="dxa"/>
            <w:tcBorders>
              <w:top w:val="single" w:color="000000" w:sz="6" w:space="0"/>
              <w:left w:val="single" w:color="000000" w:sz="6" w:space="0"/>
              <w:bottom w:val="single" w:color="000000" w:sz="6" w:space="0"/>
              <w:right w:val="single" w:color="000000" w:sz="6" w:space="0"/>
            </w:tcBorders>
            <w:shd w:val="clear" w:color="auto" w:fill="auto"/>
            <w:tcMar>
              <w:top w:w="60" w:type="dxa"/>
              <w:left w:w="100" w:type="dxa"/>
              <w:bottom w:w="60" w:type="dxa"/>
              <w:right w:w="100" w:type="dxa"/>
            </w:tcMar>
            <w:vAlign w:val="center"/>
          </w:tcPr>
          <w:p w14:paraId="78726C11">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0.802</w:t>
            </w:r>
          </w:p>
        </w:tc>
      </w:tr>
      <w:tr w14:paraId="3BBFF3F4">
        <w:tblPrEx>
          <w:tblCellMar>
            <w:top w:w="15" w:type="dxa"/>
            <w:left w:w="15" w:type="dxa"/>
            <w:bottom w:w="15" w:type="dxa"/>
            <w:right w:w="15" w:type="dxa"/>
          </w:tblCellMar>
        </w:tblPrEx>
        <w:trPr>
          <w:trHeight w:val="360" w:hRule="atLeast"/>
        </w:trPr>
        <w:tc>
          <w:tcPr>
            <w:tcW w:w="1773" w:type="dxa"/>
            <w:tcBorders>
              <w:top w:val="single" w:color="000000" w:sz="6" w:space="0"/>
              <w:left w:val="single" w:color="000000" w:sz="6" w:space="0"/>
              <w:bottom w:val="single" w:color="000000" w:sz="6" w:space="0"/>
              <w:right w:val="single" w:color="000000" w:sz="6" w:space="0"/>
            </w:tcBorders>
            <w:shd w:val="clear" w:color="auto" w:fill="auto"/>
            <w:tcMar>
              <w:top w:w="60" w:type="dxa"/>
              <w:left w:w="100" w:type="dxa"/>
              <w:bottom w:w="60" w:type="dxa"/>
              <w:right w:w="100" w:type="dxa"/>
            </w:tcMar>
            <w:vAlign w:val="center"/>
          </w:tcPr>
          <w:p w14:paraId="3CDB5F6B">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F2-score</w:t>
            </w:r>
          </w:p>
        </w:tc>
        <w:tc>
          <w:tcPr>
            <w:tcW w:w="1758" w:type="dxa"/>
            <w:tcBorders>
              <w:top w:val="single" w:color="000000" w:sz="6" w:space="0"/>
              <w:left w:val="single" w:color="000000" w:sz="6" w:space="0"/>
              <w:bottom w:val="single" w:color="000000" w:sz="6" w:space="0"/>
              <w:right w:val="single" w:color="000000" w:sz="6" w:space="0"/>
            </w:tcBorders>
            <w:shd w:val="clear" w:color="auto" w:fill="auto"/>
            <w:tcMar>
              <w:top w:w="60" w:type="dxa"/>
              <w:left w:w="100" w:type="dxa"/>
              <w:bottom w:w="60" w:type="dxa"/>
              <w:right w:w="100" w:type="dxa"/>
            </w:tcMar>
            <w:vAlign w:val="center"/>
          </w:tcPr>
          <w:p w14:paraId="26DE34E4">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0.892</w:t>
            </w:r>
          </w:p>
        </w:tc>
        <w:tc>
          <w:tcPr>
            <w:tcW w:w="1758" w:type="dxa"/>
            <w:tcBorders>
              <w:top w:val="single" w:color="000000" w:sz="6" w:space="0"/>
              <w:left w:val="single" w:color="000000" w:sz="6" w:space="0"/>
              <w:bottom w:val="single" w:color="000000" w:sz="6" w:space="0"/>
              <w:right w:val="single" w:color="000000" w:sz="6" w:space="0"/>
            </w:tcBorders>
            <w:shd w:val="clear" w:color="auto" w:fill="auto"/>
            <w:tcMar>
              <w:top w:w="60" w:type="dxa"/>
              <w:left w:w="100" w:type="dxa"/>
              <w:bottom w:w="60" w:type="dxa"/>
              <w:right w:w="100" w:type="dxa"/>
            </w:tcMar>
            <w:vAlign w:val="center"/>
          </w:tcPr>
          <w:p w14:paraId="7540E22A">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0.846</w:t>
            </w:r>
          </w:p>
        </w:tc>
      </w:tr>
    </w:tbl>
    <w:p w14:paraId="1C759554">
      <w:pPr>
        <w:pStyle w:val="22"/>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3" w:lineRule="atLeast"/>
        <w:jc w:val="center"/>
        <w:rPr>
          <w:rStyle w:val="13"/>
          <w:sz w:val="22"/>
          <w:szCs w:val="22"/>
        </w:rPr>
      </w:pPr>
      <w:r>
        <w:rPr>
          <w:rStyle w:val="13"/>
          <w:sz w:val="22"/>
          <w:szCs w:val="22"/>
        </w:rPr>
        <w:t xml:space="preserve">Table </w:t>
      </w:r>
      <w:r>
        <w:rPr>
          <w:rStyle w:val="13"/>
          <w:rFonts w:hint="default"/>
          <w:sz w:val="22"/>
          <w:szCs w:val="22"/>
          <w:lang w:val="en-US"/>
        </w:rPr>
        <w:t>7</w:t>
      </w:r>
      <w:r>
        <w:rPr>
          <w:rStyle w:val="13"/>
          <w:sz w:val="22"/>
          <w:szCs w:val="22"/>
        </w:rPr>
        <w:t>. XGBoost Performance: Validation vs Independent Test Set</w:t>
      </w:r>
    </w:p>
    <w:p w14:paraId="770265E9">
      <w:pPr>
        <w:pStyle w:val="22"/>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3" w:lineRule="atLeast"/>
        <w:rPr>
          <w:rStyle w:val="13"/>
          <w:sz w:val="22"/>
          <w:szCs w:val="22"/>
        </w:rPr>
      </w:pPr>
    </w:p>
    <w:p w14:paraId="293E8B16">
      <w:pPr>
        <w:pStyle w:val="22"/>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3" w:lineRule="atLeast"/>
        <w:rPr>
          <w:sz w:val="24"/>
          <w:szCs w:val="24"/>
        </w:rPr>
      </w:pPr>
      <w:r>
        <w:rPr>
          <w:sz w:val="24"/>
          <w:szCs w:val="24"/>
        </w:rPr>
        <w:t>On the independent test set, XGBoost correctly identified 1,883 of the 2,145 actual frauds (recall = 0.878), while flagging 670 legitimate transactions as false positives (precision = 0.738). A 100-iteration bootstrap resample of the test set confirmed this performance is stable rather than a sampling artefact:</w:t>
      </w:r>
    </w:p>
    <w:tbl>
      <w:tblPr>
        <w:tblStyle w:val="9"/>
        <w:tblW w:w="0" w:type="auto"/>
        <w:tblInd w:w="55" w:type="dxa"/>
        <w:tblLayout w:type="autofit"/>
        <w:tblCellMar>
          <w:top w:w="15" w:type="dxa"/>
          <w:left w:w="15" w:type="dxa"/>
          <w:bottom w:w="15" w:type="dxa"/>
          <w:right w:w="15" w:type="dxa"/>
        </w:tblCellMar>
      </w:tblPr>
      <w:tblGrid>
        <w:gridCol w:w="1773"/>
        <w:gridCol w:w="1758"/>
        <w:gridCol w:w="1758"/>
        <w:gridCol w:w="1758"/>
        <w:gridCol w:w="1773"/>
      </w:tblGrid>
      <w:tr w14:paraId="01235FD3">
        <w:tblPrEx>
          <w:tblCellMar>
            <w:top w:w="15" w:type="dxa"/>
            <w:left w:w="15" w:type="dxa"/>
            <w:bottom w:w="15" w:type="dxa"/>
            <w:right w:w="15" w:type="dxa"/>
          </w:tblCellMar>
        </w:tblPrEx>
        <w:trPr>
          <w:trHeight w:val="360" w:hRule="atLeast"/>
        </w:trPr>
        <w:tc>
          <w:tcPr>
            <w:tcW w:w="1773" w:type="dxa"/>
            <w:tcBorders>
              <w:top w:val="single" w:color="000000" w:sz="6" w:space="0"/>
              <w:left w:val="single" w:color="000000" w:sz="6" w:space="0"/>
              <w:bottom w:val="single" w:color="000000" w:sz="6" w:space="0"/>
              <w:right w:val="single" w:color="000000" w:sz="6" w:space="0"/>
            </w:tcBorders>
            <w:shd w:val="clear" w:color="auto" w:fill="D9E2F3"/>
            <w:tcMar>
              <w:top w:w="60" w:type="dxa"/>
              <w:left w:w="100" w:type="dxa"/>
              <w:bottom w:w="60" w:type="dxa"/>
              <w:right w:w="100" w:type="dxa"/>
            </w:tcMar>
            <w:vAlign w:val="center"/>
          </w:tcPr>
          <w:p w14:paraId="0EA129C3">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bCs/>
                <w:color w:val="000000" w:themeColor="text1"/>
                <w:sz w:val="22"/>
                <w:szCs w:val="22"/>
                <w:lang w:val="en-US" w:eastAsia="zh-CN"/>
                <w14:textFill>
                  <w14:solidFill>
                    <w14:schemeClr w14:val="tx1"/>
                  </w14:solidFill>
                </w14:textFill>
              </w:rPr>
            </w:pPr>
            <w:r>
              <w:rPr>
                <w:rFonts w:ascii="Times New Roman" w:hAnsi="Times New Roman" w:cs="Times New Roman"/>
                <w:b/>
                <w:bCs/>
                <w:color w:val="000000" w:themeColor="text1"/>
                <w:sz w:val="22"/>
                <w:szCs w:val="22"/>
                <w:lang w:val="en-US" w:eastAsia="zh-CN"/>
                <w14:textFill>
                  <w14:solidFill>
                    <w14:schemeClr w14:val="tx1"/>
                  </w14:solidFill>
                </w14:textFill>
              </w:rPr>
              <w:t>Metric</w:t>
            </w:r>
          </w:p>
        </w:tc>
        <w:tc>
          <w:tcPr>
            <w:tcW w:w="1758" w:type="dxa"/>
            <w:tcBorders>
              <w:top w:val="single" w:color="000000" w:sz="6" w:space="0"/>
              <w:left w:val="single" w:color="000000" w:sz="6" w:space="0"/>
              <w:bottom w:val="single" w:color="000000" w:sz="6" w:space="0"/>
              <w:right w:val="single" w:color="000000" w:sz="6" w:space="0"/>
            </w:tcBorders>
            <w:shd w:val="clear" w:color="auto" w:fill="D9E2F3"/>
            <w:tcMar>
              <w:top w:w="60" w:type="dxa"/>
              <w:left w:w="100" w:type="dxa"/>
              <w:bottom w:w="60" w:type="dxa"/>
              <w:right w:w="100" w:type="dxa"/>
            </w:tcMar>
            <w:vAlign w:val="center"/>
          </w:tcPr>
          <w:p w14:paraId="2E31D583">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bCs/>
                <w:color w:val="000000" w:themeColor="text1"/>
                <w:sz w:val="22"/>
                <w:szCs w:val="22"/>
                <w:lang w:val="en-US" w:eastAsia="zh-CN"/>
                <w14:textFill>
                  <w14:solidFill>
                    <w14:schemeClr w14:val="tx1"/>
                  </w14:solidFill>
                </w14:textFill>
              </w:rPr>
            </w:pPr>
            <w:r>
              <w:rPr>
                <w:rFonts w:ascii="Times New Roman" w:hAnsi="Times New Roman" w:cs="Times New Roman"/>
                <w:b/>
                <w:bCs/>
                <w:color w:val="000000" w:themeColor="text1"/>
                <w:sz w:val="22"/>
                <w:szCs w:val="22"/>
                <w:lang w:val="en-US" w:eastAsia="zh-CN"/>
                <w14:textFill>
                  <w14:solidFill>
                    <w14:schemeClr w14:val="tx1"/>
                  </w14:solidFill>
                </w14:textFill>
              </w:rPr>
              <w:t>Mean</w:t>
            </w:r>
          </w:p>
        </w:tc>
        <w:tc>
          <w:tcPr>
            <w:tcW w:w="1758" w:type="dxa"/>
            <w:tcBorders>
              <w:top w:val="single" w:color="000000" w:sz="6" w:space="0"/>
              <w:left w:val="single" w:color="000000" w:sz="6" w:space="0"/>
              <w:bottom w:val="single" w:color="000000" w:sz="6" w:space="0"/>
              <w:right w:val="single" w:color="000000" w:sz="6" w:space="0"/>
            </w:tcBorders>
            <w:shd w:val="clear" w:color="auto" w:fill="D9E2F3"/>
            <w:tcMar>
              <w:top w:w="60" w:type="dxa"/>
              <w:left w:w="100" w:type="dxa"/>
              <w:bottom w:w="60" w:type="dxa"/>
              <w:right w:w="100" w:type="dxa"/>
            </w:tcMar>
            <w:vAlign w:val="center"/>
          </w:tcPr>
          <w:p w14:paraId="7D41E22A">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bCs/>
                <w:color w:val="000000" w:themeColor="text1"/>
                <w:sz w:val="22"/>
                <w:szCs w:val="22"/>
                <w:lang w:val="en-US" w:eastAsia="zh-CN"/>
                <w14:textFill>
                  <w14:solidFill>
                    <w14:schemeClr w14:val="tx1"/>
                  </w14:solidFill>
                </w14:textFill>
              </w:rPr>
            </w:pPr>
            <w:r>
              <w:rPr>
                <w:rFonts w:ascii="Times New Roman" w:hAnsi="Times New Roman" w:cs="Times New Roman"/>
                <w:b/>
                <w:bCs/>
                <w:color w:val="000000" w:themeColor="text1"/>
                <w:sz w:val="22"/>
                <w:szCs w:val="22"/>
                <w:lang w:val="en-US" w:eastAsia="zh-CN"/>
                <w14:textFill>
                  <w14:solidFill>
                    <w14:schemeClr w14:val="tx1"/>
                  </w14:solidFill>
                </w14:textFill>
              </w:rPr>
              <w:t>Std. Dev.</w:t>
            </w:r>
          </w:p>
        </w:tc>
        <w:tc>
          <w:tcPr>
            <w:tcW w:w="1758" w:type="dxa"/>
            <w:tcBorders>
              <w:top w:val="single" w:color="000000" w:sz="6" w:space="0"/>
              <w:left w:val="single" w:color="000000" w:sz="6" w:space="0"/>
              <w:bottom w:val="single" w:color="000000" w:sz="6" w:space="0"/>
              <w:right w:val="single" w:color="000000" w:sz="6" w:space="0"/>
            </w:tcBorders>
            <w:shd w:val="clear" w:color="auto" w:fill="D9E2F3"/>
            <w:tcMar>
              <w:top w:w="0" w:type="dxa"/>
              <w:left w:w="20" w:type="dxa"/>
              <w:bottom w:w="0" w:type="dxa"/>
              <w:right w:w="20" w:type="dxa"/>
            </w:tcMar>
            <w:vAlign w:val="center"/>
          </w:tcPr>
          <w:p w14:paraId="45BD875B">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bCs/>
                <w:color w:val="000000" w:themeColor="text1"/>
                <w:sz w:val="22"/>
                <w:szCs w:val="22"/>
                <w:lang w:val="en-US" w:eastAsia="zh-CN"/>
                <w14:textFill>
                  <w14:solidFill>
                    <w14:schemeClr w14:val="tx1"/>
                  </w14:solidFill>
                </w14:textFill>
              </w:rPr>
            </w:pPr>
            <w:r>
              <w:rPr>
                <w:rFonts w:ascii="Times New Roman" w:hAnsi="Times New Roman" w:cs="Times New Roman"/>
                <w:b/>
                <w:bCs/>
                <w:color w:val="000000" w:themeColor="text1"/>
                <w:sz w:val="22"/>
                <w:szCs w:val="22"/>
                <w:lang w:val="en-US" w:eastAsia="zh-CN"/>
                <w14:textFill>
                  <w14:solidFill>
                    <w14:schemeClr w14:val="tx1"/>
                  </w14:solidFill>
                </w14:textFill>
              </w:rPr>
              <w:t>Min</w:t>
            </w:r>
          </w:p>
        </w:tc>
        <w:tc>
          <w:tcPr>
            <w:tcW w:w="1773" w:type="dxa"/>
            <w:tcBorders>
              <w:top w:val="single" w:color="000000" w:sz="6" w:space="0"/>
              <w:left w:val="single" w:color="000000" w:sz="6" w:space="0"/>
              <w:bottom w:val="single" w:color="000000" w:sz="6" w:space="0"/>
              <w:right w:val="single" w:color="000000" w:sz="6" w:space="0"/>
            </w:tcBorders>
            <w:shd w:val="clear" w:color="auto" w:fill="D9E2F3"/>
            <w:tcMar>
              <w:top w:w="0" w:type="dxa"/>
              <w:left w:w="20" w:type="dxa"/>
              <w:bottom w:w="0" w:type="dxa"/>
              <w:right w:w="20" w:type="dxa"/>
            </w:tcMar>
            <w:vAlign w:val="center"/>
          </w:tcPr>
          <w:p w14:paraId="3F48DD9C">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bCs/>
                <w:color w:val="000000" w:themeColor="text1"/>
                <w:sz w:val="22"/>
                <w:szCs w:val="22"/>
                <w:lang w:val="en-US" w:eastAsia="zh-CN"/>
                <w14:textFill>
                  <w14:solidFill>
                    <w14:schemeClr w14:val="tx1"/>
                  </w14:solidFill>
                </w14:textFill>
              </w:rPr>
            </w:pPr>
            <w:r>
              <w:rPr>
                <w:rFonts w:ascii="Times New Roman" w:hAnsi="Times New Roman" w:cs="Times New Roman"/>
                <w:b/>
                <w:bCs/>
                <w:color w:val="000000" w:themeColor="text1"/>
                <w:sz w:val="22"/>
                <w:szCs w:val="22"/>
                <w:lang w:val="en-US" w:eastAsia="zh-CN"/>
                <w14:textFill>
                  <w14:solidFill>
                    <w14:schemeClr w14:val="tx1"/>
                  </w14:solidFill>
                </w14:textFill>
              </w:rPr>
              <w:t>Max</w:t>
            </w:r>
          </w:p>
        </w:tc>
      </w:tr>
      <w:tr w14:paraId="0F3861EC">
        <w:tblPrEx>
          <w:tblCellMar>
            <w:top w:w="15" w:type="dxa"/>
            <w:left w:w="15" w:type="dxa"/>
            <w:bottom w:w="15" w:type="dxa"/>
            <w:right w:w="15" w:type="dxa"/>
          </w:tblCellMar>
        </w:tblPrEx>
        <w:trPr>
          <w:trHeight w:val="360" w:hRule="atLeast"/>
        </w:trPr>
        <w:tc>
          <w:tcPr>
            <w:tcW w:w="1773"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vAlign w:val="center"/>
          </w:tcPr>
          <w:p w14:paraId="3A44ACC0">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F2-score</w:t>
            </w:r>
          </w:p>
        </w:tc>
        <w:tc>
          <w:tcPr>
            <w:tcW w:w="1758"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vAlign w:val="center"/>
          </w:tcPr>
          <w:p w14:paraId="68D31499">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0.846</w:t>
            </w:r>
          </w:p>
        </w:tc>
        <w:tc>
          <w:tcPr>
            <w:tcW w:w="1758" w:type="dxa"/>
            <w:tcBorders>
              <w:top w:val="single" w:color="000000" w:sz="6" w:space="0"/>
              <w:left w:val="single" w:color="000000" w:sz="6" w:space="0"/>
              <w:bottom w:val="single" w:color="000000" w:sz="6" w:space="0"/>
              <w:right w:val="single" w:color="000000" w:sz="6" w:space="0"/>
            </w:tcBorders>
            <w:tcMar>
              <w:top w:w="60" w:type="dxa"/>
              <w:left w:w="100" w:type="dxa"/>
              <w:bottom w:w="60" w:type="dxa"/>
              <w:right w:w="100" w:type="dxa"/>
            </w:tcMar>
            <w:vAlign w:val="center"/>
          </w:tcPr>
          <w:p w14:paraId="380846F9">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0.007</w:t>
            </w:r>
          </w:p>
        </w:tc>
        <w:tc>
          <w:tcPr>
            <w:tcW w:w="1758" w:type="dxa"/>
            <w:tcBorders>
              <w:top w:val="single" w:color="000000" w:sz="6" w:space="0"/>
              <w:left w:val="single" w:color="000000" w:sz="6" w:space="0"/>
              <w:bottom w:val="single" w:color="000000" w:sz="6" w:space="0"/>
              <w:right w:val="single" w:color="000000" w:sz="6" w:space="0"/>
            </w:tcBorders>
            <w:tcMar>
              <w:top w:w="0" w:type="dxa"/>
              <w:left w:w="20" w:type="dxa"/>
              <w:bottom w:w="0" w:type="dxa"/>
              <w:right w:w="20" w:type="dxa"/>
            </w:tcMar>
            <w:vAlign w:val="center"/>
          </w:tcPr>
          <w:p w14:paraId="31B99934">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0.828</w:t>
            </w:r>
          </w:p>
        </w:tc>
        <w:tc>
          <w:tcPr>
            <w:tcW w:w="1773" w:type="dxa"/>
            <w:tcBorders>
              <w:top w:val="single" w:color="000000" w:sz="6" w:space="0"/>
              <w:left w:val="single" w:color="000000" w:sz="6" w:space="0"/>
              <w:bottom w:val="single" w:color="000000" w:sz="6" w:space="0"/>
              <w:right w:val="single" w:color="000000" w:sz="6" w:space="0"/>
            </w:tcBorders>
            <w:tcMar>
              <w:top w:w="0" w:type="dxa"/>
              <w:left w:w="20" w:type="dxa"/>
              <w:bottom w:w="0" w:type="dxa"/>
              <w:right w:w="20" w:type="dxa"/>
            </w:tcMar>
            <w:vAlign w:val="center"/>
          </w:tcPr>
          <w:p w14:paraId="077311AE">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0.860</w:t>
            </w:r>
          </w:p>
        </w:tc>
      </w:tr>
      <w:tr w14:paraId="4D7A70B1">
        <w:tblPrEx>
          <w:tblCellMar>
            <w:top w:w="15" w:type="dxa"/>
            <w:left w:w="15" w:type="dxa"/>
            <w:bottom w:w="15" w:type="dxa"/>
            <w:right w:w="15" w:type="dxa"/>
          </w:tblCellMar>
        </w:tblPrEx>
        <w:trPr>
          <w:trHeight w:val="360" w:hRule="atLeast"/>
        </w:trPr>
        <w:tc>
          <w:tcPr>
            <w:tcW w:w="1773" w:type="dxa"/>
            <w:tcBorders>
              <w:top w:val="single" w:color="000000" w:sz="6" w:space="0"/>
              <w:left w:val="single" w:color="000000" w:sz="6" w:space="0"/>
              <w:bottom w:val="single" w:color="000000" w:sz="6" w:space="0"/>
              <w:right w:val="single" w:color="000000" w:sz="6" w:space="0"/>
            </w:tcBorders>
            <w:shd w:val="clear" w:color="auto" w:fill="F2F2F2"/>
            <w:tcMar>
              <w:top w:w="60" w:type="dxa"/>
              <w:left w:w="100" w:type="dxa"/>
              <w:bottom w:w="60" w:type="dxa"/>
              <w:right w:w="100" w:type="dxa"/>
            </w:tcMar>
            <w:vAlign w:val="center"/>
          </w:tcPr>
          <w:p w14:paraId="01E25CCC">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Precision</w:t>
            </w:r>
          </w:p>
        </w:tc>
        <w:tc>
          <w:tcPr>
            <w:tcW w:w="1758" w:type="dxa"/>
            <w:tcBorders>
              <w:top w:val="single" w:color="000000" w:sz="6" w:space="0"/>
              <w:left w:val="single" w:color="000000" w:sz="6" w:space="0"/>
              <w:bottom w:val="single" w:color="000000" w:sz="6" w:space="0"/>
              <w:right w:val="single" w:color="000000" w:sz="6" w:space="0"/>
            </w:tcBorders>
            <w:shd w:val="clear" w:color="auto" w:fill="F2F2F2"/>
            <w:tcMar>
              <w:top w:w="60" w:type="dxa"/>
              <w:left w:w="100" w:type="dxa"/>
              <w:bottom w:w="60" w:type="dxa"/>
              <w:right w:w="100" w:type="dxa"/>
            </w:tcMar>
            <w:vAlign w:val="center"/>
          </w:tcPr>
          <w:p w14:paraId="4C4C604F">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0.738</w:t>
            </w:r>
          </w:p>
        </w:tc>
        <w:tc>
          <w:tcPr>
            <w:tcW w:w="1758" w:type="dxa"/>
            <w:tcBorders>
              <w:top w:val="single" w:color="000000" w:sz="6" w:space="0"/>
              <w:left w:val="single" w:color="000000" w:sz="6" w:space="0"/>
              <w:bottom w:val="single" w:color="000000" w:sz="6" w:space="0"/>
              <w:right w:val="single" w:color="000000" w:sz="6" w:space="0"/>
            </w:tcBorders>
            <w:shd w:val="clear" w:color="auto" w:fill="F2F2F2"/>
            <w:tcMar>
              <w:top w:w="60" w:type="dxa"/>
              <w:left w:w="100" w:type="dxa"/>
              <w:bottom w:w="60" w:type="dxa"/>
              <w:right w:w="100" w:type="dxa"/>
            </w:tcMar>
            <w:vAlign w:val="center"/>
          </w:tcPr>
          <w:p w14:paraId="5004577B">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0.009</w:t>
            </w:r>
          </w:p>
        </w:tc>
        <w:tc>
          <w:tcPr>
            <w:tcW w:w="1758" w:type="dxa"/>
            <w:tcBorders>
              <w:top w:val="single" w:color="000000" w:sz="6" w:space="0"/>
              <w:left w:val="single" w:color="000000" w:sz="6" w:space="0"/>
              <w:bottom w:val="single" w:color="000000" w:sz="6" w:space="0"/>
              <w:right w:val="single" w:color="000000" w:sz="6" w:space="0"/>
            </w:tcBorders>
            <w:shd w:val="clear" w:color="auto" w:fill="F2F2F2"/>
            <w:tcMar>
              <w:top w:w="0" w:type="dxa"/>
              <w:left w:w="20" w:type="dxa"/>
              <w:bottom w:w="0" w:type="dxa"/>
              <w:right w:w="20" w:type="dxa"/>
            </w:tcMar>
            <w:vAlign w:val="center"/>
          </w:tcPr>
          <w:p w14:paraId="435439C4">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0.716</w:t>
            </w:r>
          </w:p>
        </w:tc>
        <w:tc>
          <w:tcPr>
            <w:tcW w:w="1773" w:type="dxa"/>
            <w:tcBorders>
              <w:top w:val="single" w:color="000000" w:sz="6" w:space="0"/>
              <w:left w:val="single" w:color="000000" w:sz="6" w:space="0"/>
              <w:bottom w:val="single" w:color="000000" w:sz="6" w:space="0"/>
              <w:right w:val="single" w:color="000000" w:sz="6" w:space="0"/>
            </w:tcBorders>
            <w:shd w:val="clear" w:color="auto" w:fill="F2F2F2"/>
            <w:tcMar>
              <w:top w:w="0" w:type="dxa"/>
              <w:left w:w="20" w:type="dxa"/>
              <w:bottom w:w="0" w:type="dxa"/>
              <w:right w:w="20" w:type="dxa"/>
            </w:tcMar>
            <w:vAlign w:val="center"/>
          </w:tcPr>
          <w:p w14:paraId="59E7333D">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0.761</w:t>
            </w:r>
          </w:p>
        </w:tc>
      </w:tr>
      <w:tr w14:paraId="66531DE7">
        <w:tblPrEx>
          <w:tblCellMar>
            <w:top w:w="15" w:type="dxa"/>
            <w:left w:w="15" w:type="dxa"/>
            <w:bottom w:w="15" w:type="dxa"/>
            <w:right w:w="15" w:type="dxa"/>
          </w:tblCellMar>
        </w:tblPrEx>
        <w:trPr>
          <w:trHeight w:val="360" w:hRule="atLeast"/>
        </w:trPr>
        <w:tc>
          <w:tcPr>
            <w:tcW w:w="1773" w:type="dxa"/>
            <w:tcBorders>
              <w:top w:val="single" w:color="000000" w:sz="6" w:space="0"/>
              <w:left w:val="single" w:color="000000" w:sz="6" w:space="0"/>
              <w:bottom w:val="single" w:color="000000" w:sz="6" w:space="0"/>
              <w:right w:val="single" w:color="000000" w:sz="6" w:space="0"/>
            </w:tcBorders>
            <w:shd w:val="clear" w:color="auto" w:fill="F2F2F2"/>
            <w:tcMar>
              <w:top w:w="60" w:type="dxa"/>
              <w:left w:w="100" w:type="dxa"/>
              <w:bottom w:w="60" w:type="dxa"/>
              <w:right w:w="100" w:type="dxa"/>
            </w:tcMar>
            <w:vAlign w:val="center"/>
          </w:tcPr>
          <w:p w14:paraId="2DF752BF">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Recall</w:t>
            </w:r>
          </w:p>
        </w:tc>
        <w:tc>
          <w:tcPr>
            <w:tcW w:w="1758" w:type="dxa"/>
            <w:tcBorders>
              <w:top w:val="single" w:color="000000" w:sz="6" w:space="0"/>
              <w:left w:val="single" w:color="000000" w:sz="6" w:space="0"/>
              <w:bottom w:val="single" w:color="000000" w:sz="6" w:space="0"/>
              <w:right w:val="single" w:color="000000" w:sz="6" w:space="0"/>
            </w:tcBorders>
            <w:shd w:val="clear" w:color="auto" w:fill="F2F2F2"/>
            <w:tcMar>
              <w:top w:w="60" w:type="dxa"/>
              <w:left w:w="100" w:type="dxa"/>
              <w:bottom w:w="60" w:type="dxa"/>
              <w:right w:w="100" w:type="dxa"/>
            </w:tcMar>
            <w:vAlign w:val="center"/>
          </w:tcPr>
          <w:p w14:paraId="34B71D2E">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0.878</w:t>
            </w:r>
          </w:p>
        </w:tc>
        <w:tc>
          <w:tcPr>
            <w:tcW w:w="1758" w:type="dxa"/>
            <w:tcBorders>
              <w:top w:val="single" w:color="000000" w:sz="6" w:space="0"/>
              <w:left w:val="single" w:color="000000" w:sz="6" w:space="0"/>
              <w:bottom w:val="single" w:color="000000" w:sz="6" w:space="0"/>
              <w:right w:val="single" w:color="000000" w:sz="6" w:space="0"/>
            </w:tcBorders>
            <w:shd w:val="clear" w:color="auto" w:fill="F2F2F2"/>
            <w:tcMar>
              <w:top w:w="60" w:type="dxa"/>
              <w:left w:w="100" w:type="dxa"/>
              <w:bottom w:w="60" w:type="dxa"/>
              <w:right w:w="100" w:type="dxa"/>
            </w:tcMar>
            <w:vAlign w:val="center"/>
          </w:tcPr>
          <w:p w14:paraId="019CDCE6">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0.007</w:t>
            </w:r>
          </w:p>
        </w:tc>
        <w:tc>
          <w:tcPr>
            <w:tcW w:w="1758" w:type="dxa"/>
            <w:tcBorders>
              <w:top w:val="single" w:color="000000" w:sz="6" w:space="0"/>
              <w:left w:val="single" w:color="000000" w:sz="6" w:space="0"/>
              <w:bottom w:val="single" w:color="000000" w:sz="6" w:space="0"/>
              <w:right w:val="single" w:color="000000" w:sz="6" w:space="0"/>
            </w:tcBorders>
            <w:shd w:val="clear" w:color="auto" w:fill="F2F2F2"/>
            <w:tcMar>
              <w:top w:w="0" w:type="dxa"/>
              <w:left w:w="20" w:type="dxa"/>
              <w:bottom w:w="0" w:type="dxa"/>
              <w:right w:w="20" w:type="dxa"/>
            </w:tcMar>
            <w:vAlign w:val="center"/>
          </w:tcPr>
          <w:p w14:paraId="17F86692">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0.857</w:t>
            </w:r>
          </w:p>
        </w:tc>
        <w:tc>
          <w:tcPr>
            <w:tcW w:w="1773" w:type="dxa"/>
            <w:tcBorders>
              <w:top w:val="single" w:color="000000" w:sz="6" w:space="0"/>
              <w:left w:val="single" w:color="000000" w:sz="6" w:space="0"/>
              <w:bottom w:val="single" w:color="000000" w:sz="6" w:space="0"/>
              <w:right w:val="single" w:color="000000" w:sz="6" w:space="0"/>
            </w:tcBorders>
            <w:shd w:val="clear" w:color="auto" w:fill="F2F2F2"/>
            <w:tcMar>
              <w:top w:w="0" w:type="dxa"/>
              <w:left w:w="20" w:type="dxa"/>
              <w:bottom w:w="0" w:type="dxa"/>
              <w:right w:w="20" w:type="dxa"/>
            </w:tcMar>
            <w:vAlign w:val="center"/>
          </w:tcPr>
          <w:p w14:paraId="5F8EEF2D">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2"/>
                <w:szCs w:val="22"/>
                <w:lang w:val="en-US" w:eastAsia="zh-CN"/>
                <w14:textFill>
                  <w14:solidFill>
                    <w14:schemeClr w14:val="tx1"/>
                  </w14:solidFill>
                </w14:textFill>
              </w:rPr>
            </w:pPr>
            <w:r>
              <w:rPr>
                <w:rFonts w:ascii="Times New Roman" w:hAnsi="Times New Roman" w:cs="Times New Roman"/>
                <w:b w:val="0"/>
                <w:bCs w:val="0"/>
                <w:color w:val="000000" w:themeColor="text1"/>
                <w:sz w:val="22"/>
                <w:szCs w:val="22"/>
                <w:lang w:val="en-US" w:eastAsia="zh-CN"/>
                <w14:textFill>
                  <w14:solidFill>
                    <w14:schemeClr w14:val="tx1"/>
                  </w14:solidFill>
                </w14:textFill>
              </w:rPr>
              <w:t>0.895</w:t>
            </w:r>
          </w:p>
        </w:tc>
      </w:tr>
    </w:tbl>
    <w:p w14:paraId="35EE5E07">
      <w:pPr>
        <w:pStyle w:val="22"/>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3" w:lineRule="atLeast"/>
        <w:jc w:val="center"/>
        <w:rPr>
          <w:rStyle w:val="13"/>
          <w:rFonts w:eastAsia="SimSun"/>
          <w:sz w:val="22"/>
          <w:szCs w:val="22"/>
        </w:rPr>
      </w:pPr>
      <w:r>
        <w:rPr>
          <w:rStyle w:val="13"/>
          <w:rFonts w:hint="default" w:eastAsia="SimSun"/>
          <w:sz w:val="22"/>
          <w:szCs w:val="22"/>
        </w:rPr>
        <w:t>Table 8</w:t>
      </w:r>
      <w:r>
        <w:rPr>
          <w:rStyle w:val="13"/>
          <w:rFonts w:hint="default" w:eastAsia="SimSun"/>
          <w:sz w:val="22"/>
          <w:szCs w:val="22"/>
          <w:lang w:val="en-US"/>
        </w:rPr>
        <w:t>.</w:t>
      </w:r>
      <w:r>
        <w:rPr>
          <w:rStyle w:val="13"/>
          <w:rFonts w:hint="default" w:eastAsia="SimSun"/>
          <w:sz w:val="22"/>
          <w:szCs w:val="22"/>
        </w:rPr>
        <w:t xml:space="preserve"> Bootstrap distribution of test-set metrics</w:t>
      </w:r>
    </w:p>
    <w:p w14:paraId="15E8C83C">
      <w:pPr>
        <w:pStyle w:val="22"/>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3" w:lineRule="atLeast"/>
        <w:jc w:val="both"/>
        <w:rPr>
          <w:sz w:val="24"/>
          <w:szCs w:val="24"/>
        </w:rPr>
      </w:pPr>
      <w:r>
        <w:rPr>
          <w:sz w:val="24"/>
          <w:szCs w:val="24"/>
        </w:rPr>
        <w:t>The narrow spread across all three metrics — standard deviations below 0.01, and a range of roughly three percentage points between minimum and maximum for each metric — indicates that the model's test-set performance is stable with respect to sampling variation, rather than being an artefact of a small number of particularly favourable or unfavourable transactions in the test set.</w:t>
      </w:r>
    </w:p>
    <w:p w14:paraId="4A96125D">
      <w:pPr>
        <w:pStyle w:val="22"/>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3" w:lineRule="atLeast"/>
        <w:jc w:val="both"/>
        <w:rPr>
          <w:sz w:val="24"/>
          <w:szCs w:val="24"/>
        </w:rPr>
      </w:pPr>
      <w:r>
        <w:rPr>
          <w:sz w:val="24"/>
          <w:szCs w:val="24"/>
        </w:rPr>
        <w:t>Although there is a moderate decline in performance between validation and test (F2: 0.892 → 0.846; precision: 0.810 → 0.738), the bootstrap results show that test-set performance is relatively stable, with small standard deviations for F2, precision, and recall, suggesting that the observed decline reflects genuine distributional shift between the validation and test periods rather than random sampling noise. This bootstrap procedure resamples observations from a single, fixed test set and a single, fixed trained model; it therefore quantifies observational sampling variability but does not capture variability that would arise from re-training the model on different data samples (e.g., via nested cross-validation or repeated train/test splits).</w:t>
      </w:r>
    </w:p>
    <w:p w14:paraId="591E9E0B">
      <w:pPr>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3" w:lineRule="atLeast"/>
        <w:rPr>
          <w:sz w:val="24"/>
          <w:szCs w:val="24"/>
        </w:rPr>
      </w:pPr>
    </w:p>
    <w:p w14:paraId="0D2F346B">
      <w:pPr>
        <w:pStyle w:val="4"/>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rPr>
          <w:rFonts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i/>
          <w:iCs/>
          <w:color w:val="auto"/>
        </w:rPr>
        <w:t>4.3 Feature Importance</w:t>
      </w:r>
    </w:p>
    <w:tbl>
      <w:tblPr>
        <w:tblStyle w:val="9"/>
        <w:tblW w:w="0" w:type="auto"/>
        <w:tblInd w:w="0" w:type="dxa"/>
        <w:tblLayout w:type="autofit"/>
        <w:tblCellMar>
          <w:top w:w="15" w:type="dxa"/>
          <w:left w:w="15" w:type="dxa"/>
          <w:bottom w:w="15" w:type="dxa"/>
          <w:right w:w="15" w:type="dxa"/>
        </w:tblCellMar>
      </w:tblPr>
      <w:tblGrid>
        <w:gridCol w:w="665"/>
        <w:gridCol w:w="2414"/>
        <w:gridCol w:w="1202"/>
      </w:tblGrid>
      <w:tr w14:paraId="42D62152">
        <w:tblPrEx>
          <w:tblCellMar>
            <w:top w:w="15" w:type="dxa"/>
            <w:left w:w="15" w:type="dxa"/>
            <w:bottom w:w="15" w:type="dxa"/>
            <w:right w:w="15" w:type="dxa"/>
          </w:tblCellMar>
        </w:tblPrEx>
        <w:trPr>
          <w:trHeight w:val="345" w:hRule="atLeast"/>
        </w:trPr>
        <w:tc>
          <w:tcPr>
            <w:tcW w:w="0" w:type="auto"/>
            <w:tcBorders>
              <w:top w:val="single" w:color="000000" w:sz="8" w:space="0"/>
              <w:left w:val="single" w:color="000000" w:sz="8" w:space="0"/>
              <w:bottom w:val="single" w:color="000000" w:sz="8" w:space="0"/>
              <w:right w:val="single" w:color="000000" w:sz="8" w:space="0"/>
            </w:tcBorders>
            <w:shd w:val="clear" w:color="auto" w:fill="D9E2F3"/>
            <w:tcMar>
              <w:top w:w="60" w:type="dxa"/>
              <w:left w:w="100" w:type="dxa"/>
              <w:bottom w:w="60" w:type="dxa"/>
              <w:right w:w="100" w:type="dxa"/>
            </w:tcMar>
          </w:tcPr>
          <w:p w14:paraId="66FAAAAF">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Rank</w:t>
            </w:r>
          </w:p>
        </w:tc>
        <w:tc>
          <w:tcPr>
            <w:tcW w:w="0" w:type="auto"/>
            <w:tcBorders>
              <w:top w:val="single" w:color="000000" w:sz="8" w:space="0"/>
              <w:left w:val="single" w:color="000000" w:sz="8" w:space="0"/>
              <w:bottom w:val="single" w:color="000000" w:sz="8" w:space="0"/>
              <w:right w:val="single" w:color="000000" w:sz="8" w:space="0"/>
            </w:tcBorders>
            <w:shd w:val="clear" w:color="auto" w:fill="D9E2F3"/>
            <w:tcMar>
              <w:top w:w="60" w:type="dxa"/>
              <w:left w:w="100" w:type="dxa"/>
              <w:bottom w:w="60" w:type="dxa"/>
              <w:right w:w="100" w:type="dxa"/>
            </w:tcMar>
          </w:tcPr>
          <w:p w14:paraId="3972F628">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Feature</w:t>
            </w:r>
          </w:p>
        </w:tc>
        <w:tc>
          <w:tcPr>
            <w:tcW w:w="0" w:type="auto"/>
            <w:tcBorders>
              <w:top w:val="single" w:color="000000" w:sz="8" w:space="0"/>
              <w:left w:val="single" w:color="000000" w:sz="8" w:space="0"/>
              <w:bottom w:val="single" w:color="000000" w:sz="8" w:space="0"/>
              <w:right w:val="single" w:color="000000" w:sz="8" w:space="0"/>
            </w:tcBorders>
            <w:shd w:val="clear" w:color="auto" w:fill="D9E2F3"/>
            <w:tcMar>
              <w:top w:w="60" w:type="dxa"/>
              <w:left w:w="100" w:type="dxa"/>
              <w:bottom w:w="60" w:type="dxa"/>
              <w:right w:w="100" w:type="dxa"/>
            </w:tcMar>
          </w:tcPr>
          <w:p w14:paraId="0A5A3CAB">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Importance</w:t>
            </w:r>
          </w:p>
        </w:tc>
      </w:tr>
      <w:tr w14:paraId="07EE0319">
        <w:tblPrEx>
          <w:tblCellMar>
            <w:top w:w="15" w:type="dxa"/>
            <w:left w:w="15" w:type="dxa"/>
            <w:bottom w:w="15" w:type="dxa"/>
            <w:right w:w="15" w:type="dxa"/>
          </w:tblCellMar>
        </w:tblPrEx>
        <w:trPr>
          <w:trHeight w:val="345" w:hRule="atLeast"/>
        </w:trPr>
        <w:tc>
          <w:tcPr>
            <w:tcW w:w="0" w:type="auto"/>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2BC91F48">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1</w:t>
            </w:r>
          </w:p>
        </w:tc>
        <w:tc>
          <w:tcPr>
            <w:tcW w:w="0" w:type="auto"/>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5DC1D47D">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amt</w:t>
            </w:r>
          </w:p>
        </w:tc>
        <w:tc>
          <w:tcPr>
            <w:tcW w:w="0" w:type="auto"/>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70019640">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0.169</w:t>
            </w:r>
          </w:p>
        </w:tc>
      </w:tr>
      <w:tr w14:paraId="54E760FF">
        <w:tblPrEx>
          <w:tblCellMar>
            <w:top w:w="15" w:type="dxa"/>
            <w:left w:w="15" w:type="dxa"/>
            <w:bottom w:w="15" w:type="dxa"/>
            <w:right w:w="15" w:type="dxa"/>
          </w:tblCellMar>
        </w:tblPrEx>
        <w:trPr>
          <w:trHeight w:val="345" w:hRule="atLeast"/>
        </w:trPr>
        <w:tc>
          <w:tcPr>
            <w:tcW w:w="0" w:type="auto"/>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tcPr>
          <w:p w14:paraId="50F9947F">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2</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tcPr>
          <w:p w14:paraId="11C2B1BE">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hour_cos</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tcPr>
          <w:p w14:paraId="7529852F">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0.148</w:t>
            </w:r>
          </w:p>
        </w:tc>
      </w:tr>
      <w:tr w14:paraId="7D4C35E8">
        <w:tblPrEx>
          <w:tblCellMar>
            <w:top w:w="15" w:type="dxa"/>
            <w:left w:w="15" w:type="dxa"/>
            <w:bottom w:w="15" w:type="dxa"/>
            <w:right w:w="15" w:type="dxa"/>
          </w:tblCellMar>
        </w:tblPrEx>
        <w:trPr>
          <w:trHeight w:val="345" w:hRule="atLeast"/>
        </w:trPr>
        <w:tc>
          <w:tcPr>
            <w:tcW w:w="0" w:type="auto"/>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4B80F951">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3</w:t>
            </w:r>
          </w:p>
        </w:tc>
        <w:tc>
          <w:tcPr>
            <w:tcW w:w="0" w:type="auto"/>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2DE97ABC">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category = gas_transport</w:t>
            </w:r>
          </w:p>
        </w:tc>
        <w:tc>
          <w:tcPr>
            <w:tcW w:w="0" w:type="auto"/>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71163DC2">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0.115</w:t>
            </w:r>
          </w:p>
        </w:tc>
      </w:tr>
      <w:tr w14:paraId="243C8C1A">
        <w:tblPrEx>
          <w:tblCellMar>
            <w:top w:w="15" w:type="dxa"/>
            <w:left w:w="15" w:type="dxa"/>
            <w:bottom w:w="15" w:type="dxa"/>
            <w:right w:w="15" w:type="dxa"/>
          </w:tblCellMar>
        </w:tblPrEx>
        <w:trPr>
          <w:trHeight w:val="345" w:hRule="atLeast"/>
        </w:trPr>
        <w:tc>
          <w:tcPr>
            <w:tcW w:w="0" w:type="auto"/>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tcPr>
          <w:p w14:paraId="6FBCFDD7">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4</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tcPr>
          <w:p w14:paraId="406304FC">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category = food_dining</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tcPr>
          <w:p w14:paraId="31C31655">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0.067</w:t>
            </w:r>
          </w:p>
        </w:tc>
      </w:tr>
      <w:tr w14:paraId="4E5F017B">
        <w:tblPrEx>
          <w:tblCellMar>
            <w:top w:w="15" w:type="dxa"/>
            <w:left w:w="15" w:type="dxa"/>
            <w:bottom w:w="15" w:type="dxa"/>
            <w:right w:w="15" w:type="dxa"/>
          </w:tblCellMar>
        </w:tblPrEx>
        <w:trPr>
          <w:trHeight w:val="345" w:hRule="atLeast"/>
        </w:trPr>
        <w:tc>
          <w:tcPr>
            <w:tcW w:w="0" w:type="auto"/>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41D79763">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5</w:t>
            </w:r>
          </w:p>
        </w:tc>
        <w:tc>
          <w:tcPr>
            <w:tcW w:w="0" w:type="auto"/>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06D797EC">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category = shopping_pos</w:t>
            </w:r>
          </w:p>
        </w:tc>
        <w:tc>
          <w:tcPr>
            <w:tcW w:w="0" w:type="auto"/>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17EBDBE1">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0.054</w:t>
            </w:r>
          </w:p>
        </w:tc>
      </w:tr>
      <w:tr w14:paraId="5FDC5164">
        <w:tblPrEx>
          <w:tblCellMar>
            <w:top w:w="15" w:type="dxa"/>
            <w:left w:w="15" w:type="dxa"/>
            <w:bottom w:w="15" w:type="dxa"/>
            <w:right w:w="15" w:type="dxa"/>
          </w:tblCellMar>
        </w:tblPrEx>
        <w:trPr>
          <w:trHeight w:val="345" w:hRule="atLeast"/>
        </w:trPr>
        <w:tc>
          <w:tcPr>
            <w:tcW w:w="0" w:type="auto"/>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tcPr>
          <w:p w14:paraId="2DC8B51C">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6</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tcPr>
          <w:p w14:paraId="07D8BC75">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category = shopping_net</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tcPr>
          <w:p w14:paraId="20C27A58">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0.052</w:t>
            </w:r>
          </w:p>
        </w:tc>
      </w:tr>
      <w:tr w14:paraId="3C369B7B">
        <w:tblPrEx>
          <w:tblCellMar>
            <w:top w:w="15" w:type="dxa"/>
            <w:left w:w="15" w:type="dxa"/>
            <w:bottom w:w="15" w:type="dxa"/>
            <w:right w:w="15" w:type="dxa"/>
          </w:tblCellMar>
        </w:tblPrEx>
        <w:trPr>
          <w:trHeight w:val="345" w:hRule="atLeast"/>
        </w:trPr>
        <w:tc>
          <w:tcPr>
            <w:tcW w:w="0" w:type="auto"/>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222B57D9">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7</w:t>
            </w:r>
          </w:p>
        </w:tc>
        <w:tc>
          <w:tcPr>
            <w:tcW w:w="0" w:type="auto"/>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73D5F699">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category = grocery_net</w:t>
            </w:r>
          </w:p>
        </w:tc>
        <w:tc>
          <w:tcPr>
            <w:tcW w:w="0" w:type="auto"/>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72623275">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0.048</w:t>
            </w:r>
          </w:p>
        </w:tc>
      </w:tr>
      <w:tr w14:paraId="708A8B47">
        <w:tblPrEx>
          <w:tblCellMar>
            <w:top w:w="15" w:type="dxa"/>
            <w:left w:w="15" w:type="dxa"/>
            <w:bottom w:w="15" w:type="dxa"/>
            <w:right w:w="15" w:type="dxa"/>
          </w:tblCellMar>
        </w:tblPrEx>
        <w:trPr>
          <w:trHeight w:val="345" w:hRule="atLeast"/>
        </w:trPr>
        <w:tc>
          <w:tcPr>
            <w:tcW w:w="0" w:type="auto"/>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tcPr>
          <w:p w14:paraId="15F78398">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8</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tcPr>
          <w:p w14:paraId="538023C0">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category = home</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tcPr>
          <w:p w14:paraId="75E86C2A">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0.047</w:t>
            </w:r>
          </w:p>
        </w:tc>
      </w:tr>
      <w:tr w14:paraId="37FEB1BE">
        <w:tblPrEx>
          <w:tblCellMar>
            <w:top w:w="15" w:type="dxa"/>
            <w:left w:w="15" w:type="dxa"/>
            <w:bottom w:w="15" w:type="dxa"/>
            <w:right w:w="15" w:type="dxa"/>
          </w:tblCellMar>
        </w:tblPrEx>
        <w:trPr>
          <w:trHeight w:val="345" w:hRule="atLeast"/>
        </w:trPr>
        <w:tc>
          <w:tcPr>
            <w:tcW w:w="0" w:type="auto"/>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0E0E24F2">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9</w:t>
            </w:r>
          </w:p>
        </w:tc>
        <w:tc>
          <w:tcPr>
            <w:tcW w:w="0" w:type="auto"/>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4FAC1F05">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category = grocery_pos</w:t>
            </w:r>
          </w:p>
        </w:tc>
        <w:tc>
          <w:tcPr>
            <w:tcW w:w="0" w:type="auto"/>
            <w:tcBorders>
              <w:top w:val="single" w:color="000000" w:sz="8" w:space="0"/>
              <w:left w:val="single" w:color="000000" w:sz="8" w:space="0"/>
              <w:bottom w:val="single" w:color="000000" w:sz="8" w:space="0"/>
              <w:right w:val="single" w:color="000000" w:sz="8" w:space="0"/>
            </w:tcBorders>
            <w:tcMar>
              <w:top w:w="60" w:type="dxa"/>
              <w:left w:w="100" w:type="dxa"/>
              <w:bottom w:w="60" w:type="dxa"/>
              <w:right w:w="100" w:type="dxa"/>
            </w:tcMar>
          </w:tcPr>
          <w:p w14:paraId="192EEB1F">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0.044</w:t>
            </w:r>
          </w:p>
        </w:tc>
      </w:tr>
      <w:tr w14:paraId="4F120D7A">
        <w:tblPrEx>
          <w:tblCellMar>
            <w:top w:w="15" w:type="dxa"/>
            <w:left w:w="15" w:type="dxa"/>
            <w:bottom w:w="15" w:type="dxa"/>
            <w:right w:w="15" w:type="dxa"/>
          </w:tblCellMar>
        </w:tblPrEx>
        <w:trPr>
          <w:trHeight w:val="345" w:hRule="atLeast"/>
        </w:trPr>
        <w:tc>
          <w:tcPr>
            <w:tcW w:w="0" w:type="auto"/>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tcPr>
          <w:p w14:paraId="40F5A9AE">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10</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tcPr>
          <w:p w14:paraId="2B7B4204">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category = entertainment</w:t>
            </w:r>
          </w:p>
        </w:tc>
        <w:tc>
          <w:tcPr>
            <w:tcW w:w="0" w:type="auto"/>
            <w:tcBorders>
              <w:top w:val="single" w:color="000000" w:sz="8" w:space="0"/>
              <w:left w:val="single" w:color="000000" w:sz="8" w:space="0"/>
              <w:bottom w:val="single" w:color="000000" w:sz="8" w:space="0"/>
              <w:right w:val="single" w:color="000000" w:sz="8" w:space="0"/>
            </w:tcBorders>
            <w:shd w:val="clear" w:color="auto" w:fill="F2F2F2"/>
            <w:tcMar>
              <w:top w:w="60" w:type="dxa"/>
              <w:left w:w="100" w:type="dxa"/>
              <w:bottom w:w="60" w:type="dxa"/>
              <w:right w:w="100" w:type="dxa"/>
            </w:tcMar>
          </w:tcPr>
          <w:p w14:paraId="32A06A12">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0.041</w:t>
            </w:r>
          </w:p>
        </w:tc>
      </w:tr>
    </w:tbl>
    <w:p w14:paraId="029BF277">
      <w:pPr>
        <w:pStyle w:val="22"/>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3" w:lineRule="atLeast"/>
        <w:jc w:val="center"/>
        <w:rPr>
          <w:rStyle w:val="13"/>
          <w:rFonts w:eastAsia="SimSun"/>
          <w:sz w:val="22"/>
          <w:szCs w:val="22"/>
        </w:rPr>
      </w:pPr>
      <w:r>
        <w:rPr>
          <w:rStyle w:val="13"/>
          <w:rFonts w:eastAsia="SimSun"/>
          <w:sz w:val="22"/>
          <w:szCs w:val="22"/>
        </w:rPr>
        <w:t xml:space="preserve">Table </w:t>
      </w:r>
      <w:r>
        <w:rPr>
          <w:rStyle w:val="13"/>
          <w:rFonts w:hint="default" w:eastAsia="SimSun"/>
          <w:sz w:val="22"/>
          <w:szCs w:val="22"/>
          <w:lang w:val="en-US"/>
        </w:rPr>
        <w:t>9</w:t>
      </w:r>
      <w:r>
        <w:rPr>
          <w:rStyle w:val="13"/>
          <w:rFonts w:eastAsia="SimSun"/>
          <w:sz w:val="22"/>
          <w:szCs w:val="22"/>
        </w:rPr>
        <w:t>. Top 10 XGBoost Feature Importances</w:t>
      </w:r>
    </w:p>
    <w:p w14:paraId="33B17D59">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The transaction amount (amt, importance = 0.169) and the cyclical hour encoding (hour_cos, 0.148) are the most influential predictors, followed by several merchant-category indicators, led by gas_transport (0.115). Among the remaining engineered predictors, the raw hour (0.019), time_since_last_transaction (0.012), customer_avg_amt_excluding_current (0.010), hour_sin (0.009) and age (0.008) contribute smaller but non-trivial shares. Overall, the feature importance results indicate that, within the final 26-feature model, transaction size, time-of-day and merchant category are the primary drivers of the model's predictions, while the </w:t>
      </w:r>
      <w:r>
        <w:rPr>
          <w:color w:val="000000" w:themeColor="text1"/>
          <w:sz w:val="24"/>
          <w:szCs w:val="24"/>
          <w:lang w:val="en-US"/>
          <w14:textFill>
            <w14:solidFill>
              <w14:schemeClr w14:val="tx1"/>
            </w14:solidFill>
          </w14:textFill>
        </w:rPr>
        <w:t>behavioral</w:t>
      </w:r>
      <w:r>
        <w:rPr>
          <w:color w:val="000000" w:themeColor="text1"/>
          <w:sz w:val="24"/>
          <w:szCs w:val="24"/>
          <w14:textFill>
            <w14:solidFill>
              <w14:schemeClr w14:val="tx1"/>
            </w14:solidFill>
          </w14:textFill>
        </w:rPr>
        <w:t xml:space="preserve"> recency features provide a secondary but complementary signal.</w:t>
      </w:r>
    </w:p>
    <w:p w14:paraId="3B228910">
      <w:pPr>
        <w:pStyle w:val="4"/>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rPr>
          <w:rFonts w:hint="default" w:ascii="Times New Roman" w:hAnsi="Times New Roman" w:cs="Times New Roman"/>
          <w:i/>
          <w:iCs/>
          <w:color w:val="auto"/>
        </w:rPr>
      </w:pPr>
      <w:r>
        <w:rPr>
          <w:rFonts w:hint="default" w:ascii="Times New Roman" w:hAnsi="Times New Roman" w:cs="Times New Roman"/>
          <w:i/>
          <w:iCs/>
          <w:color w:val="auto"/>
        </w:rPr>
        <w:t>4.4. Practical Feasibility</w:t>
      </w:r>
    </w:p>
    <w:p w14:paraId="36F11177">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4"/>
          <w:szCs w:val="24"/>
          <w14:textFill>
            <w14:solidFill>
              <w14:schemeClr w14:val="tx1"/>
            </w14:solidFill>
          </w14:textFill>
        </w:rPr>
      </w:pPr>
      <w:r>
        <w:rPr>
          <w:rFonts w:ascii="Times New Roman" w:hAnsi="Times New Roman" w:cs="Times New Roman"/>
          <w:b w:val="0"/>
          <w:bCs w:val="0"/>
          <w:color w:val="000000" w:themeColor="text1"/>
          <w:sz w:val="24"/>
          <w:szCs w:val="24"/>
          <w14:textFill>
            <w14:solidFill>
              <w14:schemeClr w14:val="tx1"/>
            </w14:solidFill>
          </w14:textFill>
        </w:rPr>
        <w:t>To assess the model’s deployment feasibility in real-world financial systems, where strict response-time requirements may demand sub-1.5 ms latency per transaction, the execution time of the proposed model was evaluated on the test set (555,719 observations and 23 features).</w:t>
      </w:r>
    </w:p>
    <w:p w14:paraId="5937D639">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4"/>
          <w:szCs w:val="24"/>
          <w14:textFill>
            <w14:solidFill>
              <w14:schemeClr w14:val="tx1"/>
            </w14:solidFill>
          </w14:textFill>
        </w:rPr>
      </w:pPr>
      <w:r>
        <w:rPr>
          <w:rFonts w:ascii="Times New Roman" w:hAnsi="Times New Roman" w:cs="Times New Roman"/>
          <w:b w:val="0"/>
          <w:bCs w:val="0"/>
          <w:color w:val="000000" w:themeColor="text1"/>
          <w:sz w:val="24"/>
          <w:szCs w:val="24"/>
          <w14:textFill>
            <w14:solidFill>
              <w14:schemeClr w14:val="tx1"/>
            </w14:solidFill>
          </w14:textFill>
        </w:rPr>
        <w:t>The results demonstrate strong computational efficiency. Training and validation were completed in 18.4 seconds on a dataset containing 1,296,675 observations, indicating a relatively low computational cost during model development. For inference the model processed the entire test set in 1.6 seconds, corresponding to an average latency of approximately 0.00288 ms per transaction (2.88 μs).</w:t>
      </w:r>
    </w:p>
    <w:p w14:paraId="4E223A4C">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rFonts w:ascii="Times New Roman" w:hAnsi="Times New Roman" w:cs="Times New Roman"/>
          <w:b w:val="0"/>
          <w:bCs w:val="0"/>
          <w:color w:val="000000" w:themeColor="text1"/>
          <w:sz w:val="24"/>
          <w:szCs w:val="24"/>
          <w14:textFill>
            <w14:solidFill>
              <w14:schemeClr w14:val="tx1"/>
            </w14:solidFill>
          </w14:textFill>
        </w:rPr>
      </w:pPr>
      <w:r>
        <w:rPr>
          <w:rFonts w:ascii="Times New Roman" w:hAnsi="Times New Roman" w:cs="Times New Roman"/>
          <w:b w:val="0"/>
          <w:bCs w:val="0"/>
          <w:color w:val="000000" w:themeColor="text1"/>
          <w:sz w:val="24"/>
          <w:szCs w:val="24"/>
          <w14:textFill>
            <w14:solidFill>
              <w14:schemeClr w14:val="tx1"/>
            </w14:solidFill>
          </w14:textFill>
        </w:rPr>
        <w:t>This inference speed is approximately 520 times faster than the stringent 1.5 ms latency requirement. These results therefore demonstrate the high computational feasibility of the proposed framework for integration into real-time transaction processing streams, where rapid fraud detection is essential without introducing substantial processing delays.</w:t>
      </w:r>
    </w:p>
    <w:p w14:paraId="12235D8A">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 Discussion and Implications</w:t>
      </w:r>
    </w:p>
    <w:p w14:paraId="71C82822">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This paper conducted a comparative evaluation of three learning algorithms - Logistic Regression, Random Forests, and XG Boost—for detecting credit card fraud using a highly imbalanced, imulated credit card transaction dataset. The findings on training data show that while Random Forest demonstrated the highest precision (81.9%%), XG Boost achieved the highest recall and F2 score (89.2%), making it the most effective at detecting fraudulent transactions among tested models. From a practical perspective, the choice of algorithm should depend on institutional priorities. If the goal is to </w:t>
      </w:r>
      <w:r>
        <w:rPr>
          <w:color w:val="000000" w:themeColor="text1"/>
          <w:sz w:val="24"/>
          <w:szCs w:val="24"/>
          <w:lang w:val="en-US"/>
          <w14:textFill>
            <w14:solidFill>
              <w14:schemeClr w14:val="tx1"/>
            </w14:solidFill>
          </w14:textFill>
        </w:rPr>
        <w:t>maximize</w:t>
      </w:r>
      <w:r>
        <w:rPr>
          <w:color w:val="000000" w:themeColor="text1"/>
          <w:sz w:val="24"/>
          <w:szCs w:val="24"/>
          <w14:textFill>
            <w14:solidFill>
              <w14:schemeClr w14:val="tx1"/>
            </w14:solidFill>
          </w14:textFill>
        </w:rPr>
        <w:t xml:space="preserve"> fraud detection while maintaining a balance between recall and precision. XGBoost may be more suitable. If reducing false positives is critical—such as when the cost of false alerts is particularly high—Random Forest provides the strongest performance. By clarifying these trade-offs, this study not only contributes to the academic discussion but also offers actionable guidance for financial institutions in selecting the most appropriate algorithm for fraud detection.</w:t>
      </w:r>
    </w:p>
    <w:p w14:paraId="26B8989D">
      <w:pPr>
        <w:pStyle w:val="22"/>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The results also highlight the fundamental trade-off between the detection rate (TPR) and false-positive rate (FPR) in fraud detection, particularly under severe class imbalance. Since increasing TPR inevitably generates more false alarms, the model would be better deployed through a review-and-escalation workflow rather than as a fully automated transaction-blocking system. This approach is justified because even a low false-positive rate can generate substantial customer friction and review costs at scale. At the same time, the model’s high recall concentrates genuine fraud cases in the review queue, enabling analysts to focus on a smaller, higher quality set of transactions. The decision threshold should also be selected according to the institution's tolerance for fraud loss, customer friction, and review capacity. Institutions with particularly high average fraud transaction values or low review queue capacity may find that a lower threshold (higher recall, lower precision) better </w:t>
      </w:r>
      <w:r>
        <w:rPr>
          <w:color w:val="000000" w:themeColor="text1"/>
          <w:sz w:val="24"/>
          <w:szCs w:val="24"/>
          <w:lang w:val="en-US"/>
          <w14:textFill>
            <w14:solidFill>
              <w14:schemeClr w14:val="tx1"/>
            </w14:solidFill>
          </w14:textFill>
        </w:rPr>
        <w:t>minimizes</w:t>
      </w:r>
      <w:r>
        <w:rPr>
          <w:color w:val="000000" w:themeColor="text1"/>
          <w:sz w:val="24"/>
          <w:szCs w:val="24"/>
          <w14:textFill>
            <w14:solidFill>
              <w14:schemeClr w14:val="tx1"/>
            </w14:solidFill>
          </w14:textFill>
        </w:rPr>
        <w:t xml:space="preserve"> total expected cost, whereas those with strict customer experience mandates may prefer a higher threshold.</w:t>
      </w:r>
    </w:p>
    <w:p w14:paraId="12C3870B">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 Limitations and Recommendations for Improvement</w:t>
      </w:r>
    </w:p>
    <w:p w14:paraId="722079D3">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sz w:val="24"/>
          <w:szCs w:val="24"/>
        </w:rPr>
      </w:pPr>
      <w:r>
        <w:rPr>
          <w:sz w:val="24"/>
          <w:szCs w:val="24"/>
        </w:rPr>
        <w:t xml:space="preserve">Despite its promising results, this study has two main limitations. First, SMOTE was not applied to address the severe class imbalance. Although F2-score and threshold </w:t>
      </w:r>
      <w:r>
        <w:rPr>
          <w:sz w:val="24"/>
          <w:szCs w:val="24"/>
          <w:lang w:val="en-US"/>
        </w:rPr>
        <w:t>optimization</w:t>
      </w:r>
      <w:r>
        <w:rPr>
          <w:sz w:val="24"/>
          <w:szCs w:val="24"/>
        </w:rPr>
        <w:t xml:space="preserve"> were used to </w:t>
      </w:r>
      <w:r>
        <w:rPr>
          <w:sz w:val="24"/>
          <w:szCs w:val="24"/>
          <w:lang w:val="en-US"/>
        </w:rPr>
        <w:t>priorities</w:t>
      </w:r>
      <w:r>
        <w:rPr>
          <w:sz w:val="24"/>
          <w:szCs w:val="24"/>
        </w:rPr>
        <w:t xml:space="preserve"> fraud recall, resampling techniques such as SMOTE could be explored in future studies to assess whether improving minority-class representation enhances model performance. Second, model evaluation focused primarily on F2-score, precision, recall, and F1-score, without considering PR-AUC and ROC-AUC. While F2-score is appropriate for </w:t>
      </w:r>
      <w:r>
        <w:rPr>
          <w:sz w:val="24"/>
          <w:szCs w:val="24"/>
          <w:lang w:val="en-US"/>
        </w:rPr>
        <w:t>prioritizing</w:t>
      </w:r>
      <w:r>
        <w:rPr>
          <w:sz w:val="24"/>
          <w:szCs w:val="24"/>
        </w:rPr>
        <w:t xml:space="preserve"> fraud recall, it provides a threshold-specific assessment. Future research should incorporate PR-AUC and ROC-AUC to provide a more comprehensive evaluation across different classification thresholds. PR-AUC is particularly relevant for highly imbalanced fraud detection, as it better reflects the precision–recall trade-off for the minority class. Future studies could therefore compare different imbalance-handling techniques and evaluation metrics, while also incorporating cost-sensitive analysis and systematic </w:t>
      </w:r>
      <w:r>
        <w:rPr>
          <w:sz w:val="24"/>
          <w:szCs w:val="24"/>
          <w:lang w:val="en-US"/>
        </w:rPr>
        <w:t>hyper-parameter</w:t>
      </w:r>
      <w:r>
        <w:rPr>
          <w:sz w:val="24"/>
          <w:szCs w:val="24"/>
        </w:rPr>
        <w:t xml:space="preserve"> </w:t>
      </w:r>
      <w:r>
        <w:rPr>
          <w:sz w:val="24"/>
          <w:szCs w:val="24"/>
          <w:lang w:val="en-US"/>
        </w:rPr>
        <w:t>optimization</w:t>
      </w:r>
      <w:r>
        <w:rPr>
          <w:sz w:val="24"/>
          <w:szCs w:val="24"/>
        </w:rPr>
        <w:t xml:space="preserve"> to improve the robustness and practical applicability of the proposed framework.</w:t>
      </w:r>
    </w:p>
    <w:p w14:paraId="62EE82C5">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 Conclusion</w:t>
      </w:r>
    </w:p>
    <w:p w14:paraId="731BA7CA">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jc w:val="both"/>
        <w:rPr>
          <w:sz w:val="24"/>
          <w:szCs w:val="24"/>
        </w:rPr>
      </w:pPr>
      <w:r>
        <w:rPr>
          <w:sz w:val="24"/>
          <w:szCs w:val="24"/>
        </w:rPr>
        <w:t xml:space="preserve">This study developed a machine-learning framework for credit card fraud detection using </w:t>
      </w:r>
      <w:r>
        <w:rPr>
          <w:sz w:val="24"/>
          <w:szCs w:val="24"/>
          <w:lang w:val="en-US"/>
        </w:rPr>
        <w:t>behavioral</w:t>
      </w:r>
      <w:r>
        <w:rPr>
          <w:sz w:val="24"/>
          <w:szCs w:val="24"/>
        </w:rPr>
        <w:t xml:space="preserve"> feature engineering and three classification models: Logistic Regression, Random Forest, and XGBoost. Given the severe class imbalance, F2-score was adopted as the primary </w:t>
      </w:r>
      <w:r>
        <w:rPr>
          <w:sz w:val="24"/>
          <w:szCs w:val="24"/>
          <w:lang w:val="en-US"/>
        </w:rPr>
        <w:t>optimization</w:t>
      </w:r>
      <w:r>
        <w:rPr>
          <w:sz w:val="24"/>
          <w:szCs w:val="24"/>
        </w:rPr>
        <w:t xml:space="preserve"> criterion, placing greater emphasis on recall. The results showed that XGBoost achieved the strongest overall performance, with a validation F2-score of 0.8919, compared with 0.8618 for Random Forest and 0.3205 for Logistic Regression. Overall, the findings suggest that XGBoost, combined with </w:t>
      </w:r>
      <w:r>
        <w:rPr>
          <w:sz w:val="24"/>
          <w:szCs w:val="24"/>
          <w:lang w:val="en-US"/>
        </w:rPr>
        <w:t>behavioral</w:t>
      </w:r>
      <w:r>
        <w:rPr>
          <w:sz w:val="24"/>
          <w:szCs w:val="24"/>
        </w:rPr>
        <w:t xml:space="preserve"> feature engineering and threshold </w:t>
      </w:r>
      <w:r>
        <w:rPr>
          <w:sz w:val="24"/>
          <w:szCs w:val="24"/>
          <w:lang w:val="en-US"/>
        </w:rPr>
        <w:t>optimization</w:t>
      </w:r>
      <w:r>
        <w:rPr>
          <w:sz w:val="24"/>
          <w:szCs w:val="24"/>
        </w:rPr>
        <w:t>, provides an effective approach to transaction-level fraud detection. Future research incorporating SMOTE, PR-AUC, ROC-AUC, and cost-sensitive evaluation could further strengthen the robustness and comprehensiveness of the proposed framework.</w:t>
      </w:r>
    </w:p>
    <w:p w14:paraId="0700E3A0">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rPr>
          <w:color w:val="000000" w:themeColor="text1"/>
          <w:sz w:val="24"/>
          <w:szCs w:val="24"/>
          <w14:textFill>
            <w14:solidFill>
              <w14:schemeClr w14:val="tx1"/>
            </w14:solidFill>
          </w14:textFill>
        </w:rPr>
      </w:pPr>
    </w:p>
    <w:p w14:paraId="4829328A">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rPr>
          <w:color w:val="000000" w:themeColor="text1"/>
          <w:sz w:val="24"/>
          <w:szCs w:val="24"/>
          <w14:textFill>
            <w14:solidFill>
              <w14:schemeClr w14:val="tx1"/>
            </w14:solidFill>
          </w14:textFill>
        </w:rPr>
      </w:pPr>
    </w:p>
    <w:p w14:paraId="4B7ECBB9">
      <w:pPr>
        <w:keepNext w:val="0"/>
        <w:keepLines w:val="0"/>
        <w:pageBreakBefore w:val="0"/>
        <w:widowControl/>
        <w:kinsoku/>
        <w:wordWrap/>
        <w:overflowPunct/>
        <w:topLinePunct w:val="0"/>
        <w:autoSpaceDE/>
        <w:autoSpaceDN/>
        <w:bidi w:val="0"/>
        <w:adjustRightInd/>
        <w:snapToGrid/>
        <w:spacing w:before="120" w:beforeAutospacing="0" w:after="120" w:afterAutospacing="0" w:line="23" w:lineRule="atLeast"/>
        <w:rPr>
          <w:color w:val="000000" w:themeColor="text1"/>
          <w:sz w:val="24"/>
          <w:szCs w:val="24"/>
          <w14:textFill>
            <w14:solidFill>
              <w14:schemeClr w14:val="tx1"/>
            </w14:solidFill>
          </w14:textFill>
        </w:rPr>
      </w:pP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20680">
    <w:pPr>
      <w:jc w:val="center"/>
    </w:pPr>
    <w:r>
      <w:rPr>
        <w:sz w:val="18"/>
        <w:szCs w:val="18"/>
      </w:rPr>
      <w:fldChar w:fldCharType="begin"/>
    </w:r>
    <w:r>
      <w:rPr>
        <w:rFonts w:ascii="Calibri" w:hAnsi="Calibri" w:eastAsia="Calibri" w:cs="Calibri"/>
        <w:sz w:val="18"/>
        <w:szCs w:val="18"/>
      </w:rPr>
      <w:instrText xml:space="preserve">PAGE</w:instrText>
    </w:r>
    <w:r>
      <w:rPr>
        <w:sz w:val="18"/>
        <w:szCs w:val="18"/>
      </w:rPr>
      <w:fldChar w:fldCharType="separate"/>
    </w:r>
    <w:r>
      <w:rPr>
        <w:sz w:val="18"/>
        <w:szCs w:val="18"/>
      </w:rPr>
      <w:t>1</w:t>
    </w:r>
    <w:r>
      <w:rPr>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D518B">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D36026"/>
    <w:multiLevelType w:val="multilevel"/>
    <w:tmpl w:val="16D360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B2051F4"/>
    <w:multiLevelType w:val="multilevel"/>
    <w:tmpl w:val="1B2051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E276BAF"/>
    <w:multiLevelType w:val="multilevel"/>
    <w:tmpl w:val="1E276B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B1E67AA"/>
    <w:multiLevelType w:val="multilevel"/>
    <w:tmpl w:val="5B1E67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E3B2A9F"/>
    <w:multiLevelType w:val="multilevel"/>
    <w:tmpl w:val="6E3B2A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F5E2CF4"/>
    <w:multiLevelType w:val="multilevel"/>
    <w:tmpl w:val="6F5E2C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4"/>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95E"/>
    <w:rsid w:val="000A7C60"/>
    <w:rsid w:val="000C2578"/>
    <w:rsid w:val="001C18E5"/>
    <w:rsid w:val="002442CC"/>
    <w:rsid w:val="002877E6"/>
    <w:rsid w:val="00292D6C"/>
    <w:rsid w:val="002A15F3"/>
    <w:rsid w:val="003021C6"/>
    <w:rsid w:val="00336BAA"/>
    <w:rsid w:val="003833B1"/>
    <w:rsid w:val="003C3C4E"/>
    <w:rsid w:val="003C7FBB"/>
    <w:rsid w:val="00445E89"/>
    <w:rsid w:val="00470985"/>
    <w:rsid w:val="004E2AC7"/>
    <w:rsid w:val="004F1D28"/>
    <w:rsid w:val="00513111"/>
    <w:rsid w:val="0053667F"/>
    <w:rsid w:val="00592664"/>
    <w:rsid w:val="005B34C2"/>
    <w:rsid w:val="005B6FBF"/>
    <w:rsid w:val="005F54AF"/>
    <w:rsid w:val="00671F6C"/>
    <w:rsid w:val="006B6DC0"/>
    <w:rsid w:val="006E6DE6"/>
    <w:rsid w:val="0073095E"/>
    <w:rsid w:val="007549CB"/>
    <w:rsid w:val="007607D8"/>
    <w:rsid w:val="007E2E36"/>
    <w:rsid w:val="007E314D"/>
    <w:rsid w:val="007E7204"/>
    <w:rsid w:val="008616C3"/>
    <w:rsid w:val="00867A2F"/>
    <w:rsid w:val="00897CB2"/>
    <w:rsid w:val="008D0ABF"/>
    <w:rsid w:val="008D6C1D"/>
    <w:rsid w:val="0091501F"/>
    <w:rsid w:val="00954AE6"/>
    <w:rsid w:val="0097409A"/>
    <w:rsid w:val="009F2332"/>
    <w:rsid w:val="009F6D21"/>
    <w:rsid w:val="00A4439C"/>
    <w:rsid w:val="00AA25DF"/>
    <w:rsid w:val="00AC5519"/>
    <w:rsid w:val="00B15C62"/>
    <w:rsid w:val="00B34848"/>
    <w:rsid w:val="00B407F7"/>
    <w:rsid w:val="00B568BB"/>
    <w:rsid w:val="00C21308"/>
    <w:rsid w:val="00C43511"/>
    <w:rsid w:val="00C87AD8"/>
    <w:rsid w:val="00CD4493"/>
    <w:rsid w:val="00CE5CD2"/>
    <w:rsid w:val="00CE7BB3"/>
    <w:rsid w:val="00D01A77"/>
    <w:rsid w:val="00D45E84"/>
    <w:rsid w:val="00D62E79"/>
    <w:rsid w:val="00D80E63"/>
    <w:rsid w:val="00D9343F"/>
    <w:rsid w:val="00DD17F9"/>
    <w:rsid w:val="00E13884"/>
    <w:rsid w:val="00EB7161"/>
    <w:rsid w:val="00EC6D31"/>
    <w:rsid w:val="6F1D4A07"/>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zh-CN" w:eastAsia="en-US" w:bidi="ar-SA"/>
    </w:rPr>
  </w:style>
  <w:style w:type="paragraph" w:styleId="2">
    <w:name w:val="heading 1"/>
    <w:qFormat/>
    <w:uiPriority w:val="9"/>
    <w:pPr>
      <w:spacing w:before="320" w:after="160"/>
      <w:outlineLvl w:val="0"/>
    </w:pPr>
    <w:rPr>
      <w:rFonts w:ascii="Calibri" w:hAnsi="Calibri" w:eastAsia="Calibri" w:cs="Calibri"/>
      <w:b/>
      <w:bCs/>
      <w:color w:val="1F3864"/>
      <w:sz w:val="28"/>
      <w:szCs w:val="28"/>
      <w:lang w:val="zh-CN" w:eastAsia="en-US" w:bidi="ar-SA"/>
    </w:rPr>
  </w:style>
  <w:style w:type="paragraph" w:styleId="3">
    <w:name w:val="heading 2"/>
    <w:unhideWhenUsed/>
    <w:qFormat/>
    <w:uiPriority w:val="9"/>
    <w:pPr>
      <w:spacing w:before="240" w:after="120"/>
      <w:outlineLvl w:val="1"/>
    </w:pPr>
    <w:rPr>
      <w:rFonts w:ascii="Calibri" w:hAnsi="Calibri" w:eastAsia="Calibri" w:cs="Calibri"/>
      <w:b/>
      <w:bCs/>
      <w:color w:val="2E5395"/>
      <w:sz w:val="24"/>
      <w:szCs w:val="24"/>
      <w:lang w:val="zh-CN" w:eastAsia="en-US" w:bidi="ar-SA"/>
    </w:rPr>
  </w:style>
  <w:style w:type="paragraph" w:styleId="4">
    <w:name w:val="heading 3"/>
    <w:unhideWhenUsed/>
    <w:qFormat/>
    <w:uiPriority w:val="9"/>
    <w:pPr>
      <w:outlineLvl w:val="2"/>
    </w:pPr>
    <w:rPr>
      <w:rFonts w:ascii="Calibri" w:hAnsi="Calibri" w:eastAsia="Calibri" w:cs="Calibri"/>
      <w:color w:val="1F4D78"/>
      <w:sz w:val="24"/>
      <w:szCs w:val="24"/>
      <w:lang w:val="zh-CN" w:eastAsia="en-US" w:bidi="ar-SA"/>
    </w:rPr>
  </w:style>
  <w:style w:type="paragraph" w:styleId="5">
    <w:name w:val="heading 4"/>
    <w:semiHidden/>
    <w:unhideWhenUsed/>
    <w:qFormat/>
    <w:uiPriority w:val="9"/>
    <w:pPr>
      <w:outlineLvl w:val="3"/>
    </w:pPr>
    <w:rPr>
      <w:rFonts w:ascii="Calibri" w:hAnsi="Calibri" w:eastAsia="Calibri" w:cs="Calibri"/>
      <w:i/>
      <w:iCs/>
      <w:color w:val="2E74B5"/>
      <w:sz w:val="22"/>
      <w:szCs w:val="22"/>
      <w:lang w:val="zh-CN" w:eastAsia="en-US" w:bidi="ar-SA"/>
    </w:rPr>
  </w:style>
  <w:style w:type="paragraph" w:styleId="6">
    <w:name w:val="heading 5"/>
    <w:semiHidden/>
    <w:unhideWhenUsed/>
    <w:qFormat/>
    <w:uiPriority w:val="9"/>
    <w:pPr>
      <w:outlineLvl w:val="4"/>
    </w:pPr>
    <w:rPr>
      <w:rFonts w:ascii="Calibri" w:hAnsi="Calibri" w:eastAsia="Calibri" w:cs="Calibri"/>
      <w:color w:val="2E74B5"/>
      <w:sz w:val="22"/>
      <w:szCs w:val="22"/>
      <w:lang w:val="zh-CN" w:eastAsia="en-US" w:bidi="ar-SA"/>
    </w:rPr>
  </w:style>
  <w:style w:type="paragraph" w:styleId="7">
    <w:name w:val="heading 6"/>
    <w:semiHidden/>
    <w:unhideWhenUsed/>
    <w:qFormat/>
    <w:uiPriority w:val="9"/>
    <w:pPr>
      <w:outlineLvl w:val="5"/>
    </w:pPr>
    <w:rPr>
      <w:rFonts w:ascii="Calibri" w:hAnsi="Calibri" w:eastAsia="Calibri" w:cs="Calibri"/>
      <w:color w:val="1F4D78"/>
      <w:sz w:val="22"/>
      <w:szCs w:val="22"/>
      <w:lang w:val="zh-CN" w:eastAsia="en-US"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uiPriority w:val="99"/>
    <w:rPr>
      <w:sz w:val="16"/>
      <w:szCs w:val="16"/>
    </w:rPr>
  </w:style>
  <w:style w:type="paragraph" w:styleId="11">
    <w:name w:val="annotation text"/>
    <w:basedOn w:val="1"/>
    <w:link w:val="30"/>
    <w:semiHidden/>
    <w:unhideWhenUsed/>
    <w:qFormat/>
    <w:uiPriority w:val="99"/>
    <w:rPr>
      <w:sz w:val="20"/>
      <w:szCs w:val="20"/>
    </w:rPr>
  </w:style>
  <w:style w:type="paragraph" w:styleId="12">
    <w:name w:val="annotation subject"/>
    <w:basedOn w:val="11"/>
    <w:next w:val="11"/>
    <w:link w:val="31"/>
    <w:semiHidden/>
    <w:unhideWhenUsed/>
    <w:qFormat/>
    <w:uiPriority w:val="99"/>
    <w:rPr>
      <w:b/>
      <w:bCs/>
    </w:rPr>
  </w:style>
  <w:style w:type="character" w:styleId="13">
    <w:name w:val="Emphasis"/>
    <w:basedOn w:val="8"/>
    <w:qFormat/>
    <w:uiPriority w:val="20"/>
    <w:rPr>
      <w:i/>
      <w:iCs/>
    </w:rPr>
  </w:style>
  <w:style w:type="character" w:styleId="14">
    <w:name w:val="endnote reference"/>
    <w:semiHidden/>
    <w:unhideWhenUsed/>
    <w:qFormat/>
    <w:uiPriority w:val="99"/>
    <w:rPr>
      <w:vertAlign w:val="superscript"/>
    </w:rPr>
  </w:style>
  <w:style w:type="paragraph" w:styleId="15">
    <w:name w:val="endnote text"/>
    <w:link w:val="29"/>
    <w:semiHidden/>
    <w:unhideWhenUsed/>
    <w:qFormat/>
    <w:uiPriority w:val="99"/>
    <w:rPr>
      <w:rFonts w:ascii="Calibri" w:hAnsi="Calibri" w:eastAsia="Calibri" w:cs="Calibri"/>
      <w:sz w:val="20"/>
      <w:szCs w:val="20"/>
      <w:lang w:val="zh-CN" w:eastAsia="en-US" w:bidi="ar-SA"/>
    </w:rPr>
  </w:style>
  <w:style w:type="paragraph" w:styleId="16">
    <w:name w:val="footer"/>
    <w:basedOn w:val="1"/>
    <w:link w:val="33"/>
    <w:unhideWhenUsed/>
    <w:qFormat/>
    <w:uiPriority w:val="99"/>
    <w:pPr>
      <w:tabs>
        <w:tab w:val="center" w:pos="4680"/>
        <w:tab w:val="right" w:pos="9360"/>
      </w:tabs>
    </w:pPr>
  </w:style>
  <w:style w:type="character" w:styleId="17">
    <w:name w:val="footnote reference"/>
    <w:semiHidden/>
    <w:unhideWhenUsed/>
    <w:qFormat/>
    <w:uiPriority w:val="99"/>
    <w:rPr>
      <w:vertAlign w:val="superscript"/>
    </w:rPr>
  </w:style>
  <w:style w:type="paragraph" w:styleId="18">
    <w:name w:val="footnote text"/>
    <w:link w:val="28"/>
    <w:semiHidden/>
    <w:unhideWhenUsed/>
    <w:qFormat/>
    <w:uiPriority w:val="99"/>
    <w:rPr>
      <w:rFonts w:ascii="Calibri" w:hAnsi="Calibri" w:eastAsia="Calibri" w:cs="Calibri"/>
      <w:sz w:val="20"/>
      <w:szCs w:val="20"/>
      <w:lang w:val="zh-CN" w:eastAsia="en-US" w:bidi="ar-SA"/>
    </w:rPr>
  </w:style>
  <w:style w:type="paragraph" w:styleId="19">
    <w:name w:val="header"/>
    <w:basedOn w:val="1"/>
    <w:link w:val="32"/>
    <w:unhideWhenUsed/>
    <w:qFormat/>
    <w:uiPriority w:val="99"/>
    <w:pPr>
      <w:tabs>
        <w:tab w:val="center" w:pos="4680"/>
        <w:tab w:val="right" w:pos="9360"/>
      </w:tabs>
    </w:pPr>
  </w:style>
  <w:style w:type="character" w:styleId="20">
    <w:name w:val="HTML Code"/>
    <w:basedOn w:val="8"/>
    <w:semiHidden/>
    <w:unhideWhenUsed/>
    <w:uiPriority w:val="99"/>
    <w:rPr>
      <w:rFonts w:ascii="Courier New" w:hAnsi="Courier New" w:cs="Courier New"/>
      <w:sz w:val="20"/>
      <w:szCs w:val="20"/>
    </w:rPr>
  </w:style>
  <w:style w:type="character" w:styleId="21">
    <w:name w:val="Hyperlink"/>
    <w:unhideWhenUsed/>
    <w:qFormat/>
    <w:uiPriority w:val="99"/>
    <w:rPr>
      <w:color w:val="0563C1"/>
      <w:u w:val="single"/>
    </w:rPr>
  </w:style>
  <w:style w:type="paragraph" w:styleId="22">
    <w:name w:val="Normal (Web)"/>
    <w:basedOn w:val="1"/>
    <w:unhideWhenUsed/>
    <w:uiPriority w:val="99"/>
    <w:pPr>
      <w:spacing w:before="100" w:beforeAutospacing="1" w:after="100" w:afterAutospacing="1"/>
    </w:pPr>
  </w:style>
  <w:style w:type="character" w:styleId="23">
    <w:name w:val="Strong"/>
    <w:basedOn w:val="8"/>
    <w:qFormat/>
    <w:uiPriority w:val="22"/>
    <w:rPr>
      <w:b/>
      <w:bCs/>
    </w:rPr>
  </w:style>
  <w:style w:type="table" w:styleId="24">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itle"/>
    <w:qFormat/>
    <w:uiPriority w:val="10"/>
    <w:rPr>
      <w:rFonts w:ascii="Calibri" w:hAnsi="Calibri" w:eastAsia="Calibri" w:cs="Calibri"/>
      <w:sz w:val="56"/>
      <w:szCs w:val="56"/>
      <w:lang w:val="zh-CN" w:eastAsia="en-US" w:bidi="ar-SA"/>
    </w:rPr>
  </w:style>
  <w:style w:type="paragraph" w:customStyle="1" w:styleId="26">
    <w:name w:val="Strong1"/>
    <w:qFormat/>
    <w:uiPriority w:val="0"/>
    <w:rPr>
      <w:rFonts w:ascii="Calibri" w:hAnsi="Calibri" w:eastAsia="Calibri" w:cs="Calibri"/>
      <w:b/>
      <w:bCs/>
      <w:sz w:val="22"/>
      <w:szCs w:val="22"/>
      <w:lang w:val="zh-CN" w:eastAsia="en-US" w:bidi="ar-SA"/>
    </w:rPr>
  </w:style>
  <w:style w:type="paragraph" w:styleId="27">
    <w:name w:val="List Paragraph"/>
    <w:qFormat/>
    <w:uiPriority w:val="0"/>
    <w:rPr>
      <w:rFonts w:ascii="Calibri" w:hAnsi="Calibri" w:eastAsia="Calibri" w:cs="Calibri"/>
      <w:sz w:val="22"/>
      <w:szCs w:val="22"/>
      <w:lang w:val="zh-CN" w:eastAsia="en-US" w:bidi="ar-SA"/>
    </w:rPr>
  </w:style>
  <w:style w:type="character" w:customStyle="1" w:styleId="28">
    <w:name w:val="Footnote Text Char"/>
    <w:link w:val="18"/>
    <w:semiHidden/>
    <w:unhideWhenUsed/>
    <w:qFormat/>
    <w:uiPriority w:val="99"/>
    <w:rPr>
      <w:sz w:val="20"/>
      <w:szCs w:val="20"/>
    </w:rPr>
  </w:style>
  <w:style w:type="character" w:customStyle="1" w:styleId="29">
    <w:name w:val="Endnote Text Char"/>
    <w:link w:val="15"/>
    <w:semiHidden/>
    <w:unhideWhenUsed/>
    <w:qFormat/>
    <w:uiPriority w:val="99"/>
    <w:rPr>
      <w:sz w:val="20"/>
      <w:szCs w:val="20"/>
    </w:rPr>
  </w:style>
  <w:style w:type="character" w:customStyle="1" w:styleId="30">
    <w:name w:val="Comment Text Char"/>
    <w:basedOn w:val="8"/>
    <w:link w:val="11"/>
    <w:semiHidden/>
    <w:qFormat/>
    <w:uiPriority w:val="99"/>
    <w:rPr>
      <w:sz w:val="20"/>
      <w:szCs w:val="20"/>
    </w:rPr>
  </w:style>
  <w:style w:type="character" w:customStyle="1" w:styleId="31">
    <w:name w:val="Comment Subject Char"/>
    <w:basedOn w:val="30"/>
    <w:link w:val="12"/>
    <w:semiHidden/>
    <w:uiPriority w:val="99"/>
    <w:rPr>
      <w:b/>
      <w:bCs/>
      <w:sz w:val="20"/>
      <w:szCs w:val="20"/>
    </w:rPr>
  </w:style>
  <w:style w:type="character" w:customStyle="1" w:styleId="32">
    <w:name w:val="Header Char"/>
    <w:basedOn w:val="8"/>
    <w:link w:val="19"/>
    <w:qFormat/>
    <w:uiPriority w:val="99"/>
  </w:style>
  <w:style w:type="character" w:customStyle="1" w:styleId="33">
    <w:name w:val="Footer Char"/>
    <w:basedOn w:val="8"/>
    <w:link w:val="16"/>
    <w:qFormat/>
    <w:uiPriority w:val="99"/>
  </w:style>
  <w:style w:type="paragraph" w:customStyle="1" w:styleId="34">
    <w:name w:val="pdq2pg_selectionanchorcontainer"/>
    <w:basedOn w:val="1"/>
    <w:qFormat/>
    <w:uiPriority w:val="0"/>
    <w:pPr>
      <w:spacing w:before="100" w:beforeAutospacing="1" w:after="100" w:afterAutospacing="1"/>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50674E-2578-D942-A90A-40B1F6894AA3}">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1678</Words>
  <Characters>10352</Characters>
  <Lines>140</Lines>
  <Paragraphs>39</Paragraphs>
  <TotalTime>42</TotalTime>
  <ScaleCrop>false</ScaleCrop>
  <LinksUpToDate>false</LinksUpToDate>
  <CharactersWithSpaces>11831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2026-08-11T10:39:00Z</dcterms:created>
  <dc:creator>Un-named</dc:creator>
  <cp:lastModifiedBy>Quỳnh Tiên - Ruăn Xian</cp:lastModifiedBy>
  <dcterms:modified xsi:type="dcterms:W3CDTF">2026-08-16T15:03:33Z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eyJoZGlkIjoiYzZkNzQ4ZWFiZmQ4NTRhOWRkZTk3YTMwMjlmMmZhYmUiLCJ1c2VySWQiOiI4ODEzNTc5NDg2NDE4In0=</vt:lpwstr>
  </property>
  <property fmtid="{D5CDD505-2E9C-101B-9397-08002B2CF9AE}" pid="3" name="KSOProductBuildVer">
    <vt:lpwstr>1033-12.1.0.28032</vt:lpwstr>
  </property>
  <property fmtid="{D5CDD505-2E9C-101B-9397-08002B2CF9AE}" pid="4" name="ICV">
    <vt:lpwstr>8C60196F2E534BA5BDABB82152C2FF58_12</vt:lpwstr>
  </property>
</Properties>
</file>