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0FF8" w14:textId="7B071493" w:rsidR="00D20B80" w:rsidRDefault="004B4475">
      <w:pPr>
        <w:pStyle w:val="Title"/>
      </w:pPr>
      <w:r w:rsidRPr="004B4475">
        <w:t>Differentiating AI and Human L2 Academic Writing: A Linguistic Analysis and Its Pedagogical Implications</w:t>
      </w:r>
    </w:p>
    <w:p w14:paraId="2FE6621B" w14:textId="77777777" w:rsidR="00D20B80" w:rsidRDefault="00000000">
      <w:r>
        <w:t>&lt;&lt;Author Name Placeholder&gt;&gt;</w:t>
      </w:r>
    </w:p>
    <w:p w14:paraId="344E6473" w14:textId="77777777" w:rsidR="00D20B80" w:rsidRDefault="00000000">
      <w:r>
        <w:t>&lt;&lt;Affiliation Placeholder&gt;&gt;</w:t>
      </w:r>
    </w:p>
    <w:p w14:paraId="3E7063EC" w14:textId="77777777" w:rsidR="00D20B80" w:rsidRDefault="00000000">
      <w:r>
        <w:t>&lt;&lt;Email Placeholder&gt;&gt;</w:t>
      </w:r>
    </w:p>
    <w:p w14:paraId="78B62DE5" w14:textId="77777777" w:rsidR="00D20B80" w:rsidRDefault="00000000">
      <w:pPr>
        <w:pStyle w:val="Heading1"/>
      </w:pPr>
      <w:r>
        <w:t>Abstract</w:t>
      </w:r>
    </w:p>
    <w:p w14:paraId="42521937" w14:textId="77777777" w:rsidR="00B551B6" w:rsidRDefault="00B551B6">
      <w:pPr>
        <w:pStyle w:val="Heading1"/>
        <w:rPr>
          <w:rFonts w:asciiTheme="minorHAnsi" w:eastAsiaTheme="minorEastAsia" w:hAnsiTheme="minorHAnsi" w:cstheme="minorBidi"/>
          <w:b w:val="0"/>
          <w:bCs w:val="0"/>
          <w:color w:val="auto"/>
          <w:sz w:val="22"/>
          <w:szCs w:val="22"/>
        </w:rPr>
      </w:pPr>
      <w:r w:rsidRPr="00B551B6">
        <w:rPr>
          <w:rFonts w:asciiTheme="minorHAnsi" w:eastAsiaTheme="minorEastAsia" w:hAnsiTheme="minorHAnsi" w:cstheme="minorBidi"/>
          <w:b w:val="0"/>
          <w:bCs w:val="0"/>
          <w:color w:val="auto"/>
          <w:sz w:val="22"/>
          <w:szCs w:val="22"/>
        </w:rPr>
        <w:t xml:space="preserve">This study examines linguistic differences between AI-generated and human L2 academic writing to understand how the distinctive strengths of each can be integrated into a coherent writing practice. Drawing on a corpus of essays produced by </w:t>
      </w:r>
      <w:r w:rsidRPr="00831CE9">
        <w:rPr>
          <w:rFonts w:asciiTheme="minorHAnsi" w:eastAsiaTheme="minorEastAsia" w:hAnsiTheme="minorHAnsi" w:cstheme="minorBidi"/>
          <w:b w:val="0"/>
          <w:bCs w:val="0"/>
          <w:color w:val="EE0000"/>
          <w:sz w:val="22"/>
          <w:szCs w:val="22"/>
        </w:rPr>
        <w:t xml:space="preserve">ChatGPT-3.5 </w:t>
      </w:r>
      <w:r w:rsidRPr="00B551B6">
        <w:rPr>
          <w:rFonts w:asciiTheme="minorHAnsi" w:eastAsiaTheme="minorEastAsia" w:hAnsiTheme="minorHAnsi" w:cstheme="minorBidi"/>
          <w:b w:val="0"/>
          <w:bCs w:val="0"/>
          <w:color w:val="auto"/>
          <w:sz w:val="22"/>
          <w:szCs w:val="22"/>
        </w:rPr>
        <w:t>and L2 undergraduate writers, we analyzed lexical, syntactic, and collocational patterns using nominalization ratios, log-odds keyword comparisons, collocation strength, and additional lexical–structural metrics. The results show that AI writing is characterized by high precision, nominalization density, and structural consistency, whereas human L2 writing demonstrates greater contextual grounding, expressive nuance, and syntactic variability. Rather than framing these differences as evidence for AI detection, we argue that they reveal complementary strengths that can be leveraged to support L2 academic writers. Based on these findings, we propose a sentence-level hybrid writing method in which human writers generate meaning-bearing sentences and selectively integrate AI-optimized reformulations to enhance clarity, precision, and cohesion without sacrificing authenticity. This approach offers a concrete, ethical, and pedagogically relevant strategy for using AI as an assistive tool while maintaining human agency and voice in academic writing.</w:t>
      </w:r>
    </w:p>
    <w:p w14:paraId="5B74EC59" w14:textId="062486C0" w:rsidR="00D20B80" w:rsidRDefault="00000000">
      <w:pPr>
        <w:pStyle w:val="Heading1"/>
      </w:pPr>
      <w:r>
        <w:t>Keywords</w:t>
      </w:r>
    </w:p>
    <w:p w14:paraId="2F9C0A85" w14:textId="77777777" w:rsidR="00D20B80" w:rsidRDefault="00000000">
      <w:r>
        <w:t>&lt;&lt;keyword1; keyword2; keyword3&gt;&gt;</w:t>
      </w:r>
    </w:p>
    <w:p w14:paraId="104C5EEB" w14:textId="77777777" w:rsidR="00D20B80" w:rsidRDefault="00000000">
      <w:pPr>
        <w:pStyle w:val="Heading1"/>
      </w:pPr>
      <w:r>
        <w:t>1 Introduction</w:t>
      </w:r>
    </w:p>
    <w:p w14:paraId="5CE2259A" w14:textId="77777777" w:rsidR="00D20B80" w:rsidRDefault="00000000">
      <w:r>
        <w:t>&lt;&lt;Introduction content placeholder&gt;&gt;</w:t>
      </w:r>
    </w:p>
    <w:p w14:paraId="6AC962AE" w14:textId="77777777" w:rsidR="00D20B80" w:rsidRDefault="00000000">
      <w:pPr>
        <w:pStyle w:val="Heading1"/>
      </w:pPr>
      <w:r>
        <w:t>2 Literature Review</w:t>
      </w:r>
    </w:p>
    <w:p w14:paraId="4ADB8FF7" w14:textId="77777777" w:rsidR="00D20B80" w:rsidRDefault="00000000">
      <w:r>
        <w:t>&lt;&lt;Literature review placeholder&gt;&gt;</w:t>
      </w:r>
    </w:p>
    <w:p w14:paraId="642EE027" w14:textId="77777777" w:rsidR="00D20B80" w:rsidRDefault="00000000">
      <w:pPr>
        <w:pStyle w:val="Heading1"/>
      </w:pPr>
      <w:r>
        <w:lastRenderedPageBreak/>
        <w:t>3 Methodology</w:t>
      </w:r>
    </w:p>
    <w:p w14:paraId="755A27CF" w14:textId="77777777" w:rsidR="00D20B80" w:rsidRDefault="00000000">
      <w:pPr>
        <w:pStyle w:val="Heading2"/>
      </w:pPr>
      <w:r>
        <w:t>3.1 Data</w:t>
      </w:r>
    </w:p>
    <w:p w14:paraId="1EB622C4" w14:textId="77777777" w:rsidR="00D20B80" w:rsidRDefault="00000000">
      <w:r>
        <w:t>&lt;&lt;Data description placeholder&gt;&gt;</w:t>
      </w:r>
    </w:p>
    <w:p w14:paraId="4C6088B4" w14:textId="77777777" w:rsidR="00D20B80" w:rsidRDefault="00000000">
      <w:pPr>
        <w:pStyle w:val="Heading2"/>
      </w:pPr>
      <w:r>
        <w:t>3.2 Analysis Pipeline</w:t>
      </w:r>
    </w:p>
    <w:p w14:paraId="2E693084" w14:textId="77777777" w:rsidR="00D20B80" w:rsidRDefault="00000000">
      <w:r>
        <w:t>&lt;&lt;Pipeline steps placeholder&gt;&gt;</w:t>
      </w:r>
    </w:p>
    <w:p w14:paraId="14770A9A" w14:textId="77777777" w:rsidR="00D20B80" w:rsidRDefault="00000000">
      <w:pPr>
        <w:pStyle w:val="Heading1"/>
      </w:pPr>
      <w:r>
        <w:t>4 Results</w:t>
      </w:r>
    </w:p>
    <w:p w14:paraId="35DE76D6" w14:textId="77777777" w:rsidR="00D20B80" w:rsidRDefault="00000000">
      <w:r>
        <w:t>&lt;&lt;Results placeholder&gt;&gt;</w:t>
      </w:r>
    </w:p>
    <w:p w14:paraId="3281AEC2" w14:textId="77777777" w:rsidR="00D20B80" w:rsidRDefault="00000000">
      <w:pPr>
        <w:pStyle w:val="Heading1"/>
      </w:pPr>
      <w:r>
        <w:t>5 Discussion</w:t>
      </w:r>
    </w:p>
    <w:p w14:paraId="38E44B38" w14:textId="77777777" w:rsidR="00B551B6" w:rsidRPr="00B551B6" w:rsidRDefault="00B551B6" w:rsidP="00B551B6">
      <w:r w:rsidRPr="00B551B6">
        <w:t xml:space="preserve">The findings of this study reveal clear and systematic linguistic differences between AI-generated and human L2 academic writing. AI produces text that is highly precise, structurally consistent, and lexically dense, but often overly nominalized and mechanically polished. In contrast, human L2 writers contribute contextual grounding, evaluative nuance, and rhetorical flexibility, yet frequently display issues of verbosity, redundancy, and syntactic instability. Rather than interpreting these contrasts as grounds for AI detection, the results highlight complementary strengths that can be purposefully combined. A productive future for academic writing lies not in choosing between AI and humans, but in leveraging </w:t>
      </w:r>
      <w:r w:rsidRPr="00B551B6">
        <w:rPr>
          <w:b/>
          <w:bCs/>
        </w:rPr>
        <w:t>the best of both worlds</w:t>
      </w:r>
      <w:r w:rsidRPr="00B551B6">
        <w:t>.</w:t>
      </w:r>
    </w:p>
    <w:p w14:paraId="29266DE6" w14:textId="77777777" w:rsidR="00B551B6" w:rsidRPr="00B551B6" w:rsidRDefault="00B551B6" w:rsidP="00B551B6">
      <w:r w:rsidRPr="00B551B6">
        <w:t xml:space="preserve">Current student practices—such as using AI to write entire drafts or to simplify readings they have not fully understood—undermine both linguistic development and authorial agency. Full AI rewriting erases the writer’s stylistic identity, while excessive reliance on simplified explanations weakens reading comprehension and critical engagement with academic texts. Our data show that AI excels at clarity, structure, and lexical economy, but lacks the lived experience and interpretive reasoning that human writers provide. These findings suggest that effective academic writing pedagogy should not aim to ban AI, nor to replace human intention with AI automation, but to guide students in integrating AI support </w:t>
      </w:r>
      <w:r w:rsidRPr="00B551B6">
        <w:rPr>
          <w:b/>
          <w:bCs/>
        </w:rPr>
        <w:t>without surrendering control of meaning</w:t>
      </w:r>
      <w:r w:rsidRPr="00B551B6">
        <w:t>.</w:t>
      </w:r>
    </w:p>
    <w:p w14:paraId="4252E021" w14:textId="77777777" w:rsidR="00B551B6" w:rsidRPr="00B551B6" w:rsidRDefault="00B551B6" w:rsidP="00B551B6">
      <w:r w:rsidRPr="00B551B6">
        <w:t xml:space="preserve">To address this need, we propose the </w:t>
      </w:r>
      <w:r w:rsidRPr="00B551B6">
        <w:rPr>
          <w:b/>
          <w:bCs/>
        </w:rPr>
        <w:t>Hybrid Sentence Integration Method</w:t>
      </w:r>
      <w:r w:rsidRPr="00B551B6">
        <w:t xml:space="preserve">, a concrete, teachable workflow that aligns directly with the linguistic patterns observed in our analysis. First, writers generate a meaning-bearing Content–Intent Sentence (CIS), which captures their stance, reasoning, and emotional or contextual insight. This step ensures that idea generation, comprehension, and argumentation remain fundamentally human. Next, AI is prompted to produce a Clarity-Optimized Sentence (COS) that improves precision, removes redundancy, and reduces unnecessary nominalizations. Finally, writers compare both versions using a set of linguistic criteria derived from this study—keeping human sentences that contain evaluative nuance or personal voice, adopting AI formulations where clarity, concision, or cohesion is improved, and merging sentences when both contain valuable </w:t>
      </w:r>
      <w:r w:rsidRPr="00B551B6">
        <w:lastRenderedPageBreak/>
        <w:t xml:space="preserve">elements. This workflow operationalizes how writers can combine </w:t>
      </w:r>
      <w:r w:rsidRPr="00B551B6">
        <w:rPr>
          <w:b/>
          <w:bCs/>
        </w:rPr>
        <w:t>AI’s linguistic efficiency</w:t>
      </w:r>
      <w:r w:rsidRPr="00B551B6">
        <w:t xml:space="preserve"> with </w:t>
      </w:r>
      <w:r w:rsidRPr="00B551B6">
        <w:rPr>
          <w:b/>
          <w:bCs/>
        </w:rPr>
        <w:t>human expressiveness and intellectual intention</w:t>
      </w:r>
      <w:r w:rsidRPr="00B551B6">
        <w:t>.</w:t>
      </w:r>
    </w:p>
    <w:p w14:paraId="006D2816" w14:textId="77777777" w:rsidR="00B551B6" w:rsidRPr="00B551B6" w:rsidRDefault="00B551B6" w:rsidP="00B551B6">
      <w:r w:rsidRPr="00B551B6">
        <w:t xml:space="preserve">A key pedagogical advantage of this method is its ability to discourage overreliance on AI while reinforcing language learning. Because the workflow requires writers to articulate their ideas before consulting AI refinements, students remain active participants in reading, reasoning, and writing. This stands in contrast to the increasingly common practice of relying on AI to summarize articles or generate arguments that students themselves have not fully processed. </w:t>
      </w:r>
      <w:proofErr w:type="gramStart"/>
      <w:r w:rsidRPr="00B551B6">
        <w:t>The</w:t>
      </w:r>
      <w:proofErr w:type="gramEnd"/>
      <w:r w:rsidRPr="00B551B6">
        <w:t xml:space="preserve"> method ensures that AI serves as a scaffold, not a substitute, thereby supporting long-term development in reading comprehension and academic writing skills.</w:t>
      </w:r>
    </w:p>
    <w:p w14:paraId="76A77C27" w14:textId="77777777" w:rsidR="00B551B6" w:rsidRPr="00B551B6" w:rsidRDefault="00B551B6" w:rsidP="00B551B6">
      <w:r w:rsidRPr="00B551B6">
        <w:t>The method also resolves a pervasive paradox in L2 writing: many students can only understand simplified English yet aspire to produce sophisticated academic prose. This mismatch often leads to inappropriate mimicry of AI-generated complexity or, conversely, to overly simplistic writing that does not meet academic expectations. By requiring students to generate an accessible CIS before integrating AI refinements, the hybrid method guarantees that complexity is added only after comprehension has been achieved. This ensures that advanced vocabulary, academic structures, and higher-level stylistic features are incorporated intentionally and meaningfully, rather than superficially imitated.</w:t>
      </w:r>
    </w:p>
    <w:p w14:paraId="1252CBCC" w14:textId="77777777" w:rsidR="00B551B6" w:rsidRPr="00B551B6" w:rsidRDefault="00B551B6" w:rsidP="00B551B6">
      <w:r w:rsidRPr="00B551B6">
        <w:t xml:space="preserve">Overall, the results and proposed workflow demonstrate that AI and human writing are not competing modalities but complementary resources. When combined strategically, they allow L2 writers to achieve writing that is </w:t>
      </w:r>
      <w:r w:rsidRPr="00B551B6">
        <w:rPr>
          <w:b/>
          <w:bCs/>
        </w:rPr>
        <w:t>clear yet expressive, precise yet human, structured yet authentic</w:t>
      </w:r>
      <w:r w:rsidRPr="00B551B6">
        <w:t xml:space="preserve">—in short, the best possible synthesis of </w:t>
      </w:r>
      <w:r w:rsidRPr="00B551B6">
        <w:rPr>
          <w:b/>
          <w:bCs/>
        </w:rPr>
        <w:t>the best of both worlds</w:t>
      </w:r>
      <w:r w:rsidRPr="00B551B6">
        <w:t>.</w:t>
      </w:r>
    </w:p>
    <w:p w14:paraId="341A191A" w14:textId="517453D0" w:rsidR="00D20B80" w:rsidRDefault="00D20B80"/>
    <w:p w14:paraId="6841BF01" w14:textId="77777777" w:rsidR="00D20B80" w:rsidRDefault="00000000">
      <w:pPr>
        <w:pStyle w:val="Heading1"/>
      </w:pPr>
      <w:r>
        <w:t>6 Conclusion</w:t>
      </w:r>
    </w:p>
    <w:p w14:paraId="2F38C05F" w14:textId="77777777" w:rsidR="00B551B6" w:rsidRPr="00B551B6" w:rsidRDefault="00B551B6" w:rsidP="00B551B6">
      <w:r w:rsidRPr="00B551B6">
        <w:t>This study demonstrates that AI-generated and human L2 academic writing possess distinct linguistic profiles, each with notable strengths and limitations. AI contributes structural clarity, lexical precision, and consistency, while human writers provide contextual depth, emotional nuance, and authentic meaning-making. Rather than using these differences to detect AI use or to discourage students from engaging with generative tools, we argue for a deliberate and principled integration of both styles.</w:t>
      </w:r>
    </w:p>
    <w:p w14:paraId="2F38DA40" w14:textId="77777777" w:rsidR="00B551B6" w:rsidRPr="00B551B6" w:rsidRDefault="00B551B6" w:rsidP="00B551B6">
      <w:r w:rsidRPr="00B551B6">
        <w:t xml:space="preserve">The </w:t>
      </w:r>
      <w:r w:rsidRPr="00B551B6">
        <w:rPr>
          <w:b/>
          <w:bCs/>
        </w:rPr>
        <w:t>Hybrid Sentence Integration Method</w:t>
      </w:r>
      <w:r w:rsidRPr="00B551B6">
        <w:t xml:space="preserve"> proposed in this article offers a practical and ethically grounded approach for combining human intention with AI-assisted clarity. By requiring writers to generate their own meaning-focused sentences before integrating AI-optimized refinements, the method preserves the writer’s voice while enhancing academic precision, coherence, and sophistication. This workflow ensures that complexity grows out of comprehension rather than imitation, enabling students to incorporate advanced academic features only when they fully understand them.</w:t>
      </w:r>
    </w:p>
    <w:p w14:paraId="331985A5" w14:textId="77777777" w:rsidR="00B551B6" w:rsidRPr="00B551B6" w:rsidRDefault="00B551B6" w:rsidP="00B551B6">
      <w:proofErr w:type="gramStart"/>
      <w:r w:rsidRPr="00B551B6">
        <w:lastRenderedPageBreak/>
        <w:t>The</w:t>
      </w:r>
      <w:proofErr w:type="gramEnd"/>
      <w:r w:rsidRPr="00B551B6">
        <w:t xml:space="preserve"> method also encourages continued development of foreign language skills. Because writers must interpret texts, formulate arguments, and choose between human and AI versions of each sentence, the workflow strengthens reading comprehension, critical thinking, and linguistic awareness. AI functions as a supportive tool—but never a replacement—for the cognitive and interpretive processes essential to academic writing.</w:t>
      </w:r>
    </w:p>
    <w:p w14:paraId="3D496AEC" w14:textId="73EF57D8" w:rsidR="00D20B80" w:rsidRDefault="00B551B6">
      <w:r w:rsidRPr="00B551B6">
        <w:t xml:space="preserve">Looking forward, the findings highlight the need for writing instruction that embraces AI as an assistive partner rather than a threat. Future research should explore classroom implementations of the hybrid method, its impact on long-term L2 proficiency, and its adaptability across genres and proficiency levels. In an era where AI will inevitably play an expanding role in language education, sustainable writing pedagogy must help learners harness </w:t>
      </w:r>
      <w:r w:rsidRPr="00B551B6">
        <w:rPr>
          <w:b/>
          <w:bCs/>
        </w:rPr>
        <w:t>the best of both worlds</w:t>
      </w:r>
      <w:r w:rsidRPr="00B551B6">
        <w:t>: AI’s efficiency and precision, and the human writer’s authenticity and intellectual depth.</w:t>
      </w:r>
    </w:p>
    <w:p w14:paraId="4497A63E" w14:textId="77777777" w:rsidR="00D20B80" w:rsidRDefault="00000000">
      <w:pPr>
        <w:pStyle w:val="Heading1"/>
      </w:pPr>
      <w:r>
        <w:t>Declarations</w:t>
      </w:r>
    </w:p>
    <w:p w14:paraId="08D16F72" w14:textId="77777777" w:rsidR="00D20B80" w:rsidRDefault="00000000">
      <w:r>
        <w:t>Funding: &lt;&lt;Placeholder&gt;&gt;</w:t>
      </w:r>
    </w:p>
    <w:p w14:paraId="65AD1080" w14:textId="77777777" w:rsidR="00D20B80" w:rsidRDefault="00000000">
      <w:r>
        <w:t>Conflicts of Interest: &lt;&lt;Placeholder&gt;&gt;</w:t>
      </w:r>
    </w:p>
    <w:p w14:paraId="3B5EDF28" w14:textId="77777777" w:rsidR="00D20B80" w:rsidRDefault="00000000">
      <w:r>
        <w:t>Ethics Approval: &lt;&lt;Placeholder&gt;&gt;</w:t>
      </w:r>
    </w:p>
    <w:p w14:paraId="41A3E782" w14:textId="77777777" w:rsidR="00D20B80" w:rsidRDefault="00000000">
      <w:r>
        <w:t>Data Availability: &lt;&lt;Placeholder&gt;&gt;</w:t>
      </w:r>
    </w:p>
    <w:p w14:paraId="47F5483C" w14:textId="77777777" w:rsidR="00D20B80" w:rsidRDefault="00000000">
      <w:pPr>
        <w:pStyle w:val="Heading1"/>
      </w:pPr>
      <w:r>
        <w:t>References</w:t>
      </w:r>
    </w:p>
    <w:p w14:paraId="27E0EFC1" w14:textId="77777777" w:rsidR="00D20B80" w:rsidRDefault="00000000">
      <w:r>
        <w:t>&lt;&lt;Reference list placeholder&gt;&gt;</w:t>
      </w:r>
    </w:p>
    <w:sectPr w:rsidR="00D20B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1744919">
    <w:abstractNumId w:val="8"/>
  </w:num>
  <w:num w:numId="2" w16cid:durableId="122313330">
    <w:abstractNumId w:val="6"/>
  </w:num>
  <w:num w:numId="3" w16cid:durableId="2057273090">
    <w:abstractNumId w:val="5"/>
  </w:num>
  <w:num w:numId="4" w16cid:durableId="392385334">
    <w:abstractNumId w:val="4"/>
  </w:num>
  <w:num w:numId="5" w16cid:durableId="2001036072">
    <w:abstractNumId w:val="7"/>
  </w:num>
  <w:num w:numId="6" w16cid:durableId="1228876397">
    <w:abstractNumId w:val="3"/>
  </w:num>
  <w:num w:numId="7" w16cid:durableId="1966963084">
    <w:abstractNumId w:val="2"/>
  </w:num>
  <w:num w:numId="8" w16cid:durableId="1611620520">
    <w:abstractNumId w:val="1"/>
  </w:num>
  <w:num w:numId="9" w16cid:durableId="87465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475"/>
    <w:rsid w:val="0052634A"/>
    <w:rsid w:val="00831CE9"/>
    <w:rsid w:val="00AA1D8D"/>
    <w:rsid w:val="00B47730"/>
    <w:rsid w:val="00B551B6"/>
    <w:rsid w:val="00CB0664"/>
    <w:rsid w:val="00CD282D"/>
    <w:rsid w:val="00D20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01D6A"/>
  <w14:defaultImageDpi w14:val="300"/>
  <w15:docId w15:val="{206E2218-506C-433D-8980-7D5FEEF3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Loc Nguyen Dinh Thien</cp:lastModifiedBy>
  <cp:revision>3</cp:revision>
  <dcterms:created xsi:type="dcterms:W3CDTF">2013-12-23T23:15:00Z</dcterms:created>
  <dcterms:modified xsi:type="dcterms:W3CDTF">2025-12-04T04:32:00Z</dcterms:modified>
  <cp:category/>
</cp:coreProperties>
</file>