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STT</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Giai đoạn</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Chi tiết</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Thời gian bình quân (ngày)</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Mua đầu vào (phải trả cho người bán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 xml:space="preserve">Thanh toán tiền 
(trả cho người bán)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Thời gian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 Dự kiến nhập hàng số lượng lớn để giảm giá đầu vào và đa dạng hóa chủng loại để đáp ứng được nhu cầu củ khách hàng mua nên dự kiến hàng tồn kho tăng.</w:t>
            </w:r>
          </w:p>
        </w:tc>
      </w:tr>
      <w:tr>
        <w:tc>
          <w:tcPr>
            <w:gridSpan w:val="3"/>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ngày bình quân:</w:t>
            </w:r>
          </w:p>
        </w:tc>
        <w:tc>
          <w:tcPr>
            <w:tcBorders>
              <w:top w:val="single" w:sz="4" w:color="000000"/>
              <w:left w:val="single" w:sz="4" w:color="000000"/>
              <w:bottom w:val="single" w:sz="4" w:color="000000"/>
              <w:right w:val="single" w:sz="4" w:color="000000"/>
            </w:tcBorders>
          </w:tcPr>
        </w:tc>
      </w:tr>
      <w:tr>
        <w:tc>
          <w:tcPr>
            <w:gridSpan w:val="3"/>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Vòng quay vốn lưu động:</w:t>
            </w:r>
          </w:p>
        </w:tc>
        <w:tc>
          <w:tcPr>
            <w:tcBorders>
              <w:top w:val="single" w:sz="4" w:color="000000"/>
              <w:left w:val="single" w:sz="4" w:color="000000"/>
              <w:bottom w:val="single" w:sz="4" w:color="000000"/>
              <w:right w:val="single" w:sz="4" w:color="000000"/>
            </w:tcBorders>
          </w:tcPr>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Vòng quay vốn lưu động</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w:t>
            </w:r>
          </w:p>
        </w:tc>
        <w:tc>
          <w:tcPr>
            <w:tcBorders>
              <w:top w:val="single" w:sz="4" w:color="000000"/>
              <w:left w:val="single" w:sz="4" w:color="000000"/>
              <w:bottom w:val="single" w:sz="4" w:color="000000"/>
              <w:right w:val="single" w:sz="4" w:color="000000"/>
            </w:tcBorders>
          </w:tcPr>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STT</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Danh mục</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Đơn vị</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Số lượng</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Đơn giá (đồng)</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Thành tiền (đồng)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Chi phí trực tiếp</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Giống gà</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Thức ăn</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